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D1B2E"/>
        </w:rPr>
        <w:t>AAN Training Program</w:t>
      </w:r>
    </w:p>
    <w:p>
      <w:r>
        <w:rPr>
          <w:i/>
          <w:color w:val="5A5A5A"/>
          <w:sz w:val="24"/>
        </w:rPr>
        <w:t>Two-track curriculum over the 20-book Federal Application-Aware Networking series — compliance and implementation</w:t>
      </w:r>
    </w:p>
    <w:p>
      <w:r>
        <w:rPr>
          <w:color w:val="1E8C8C"/>
          <w:sz w:val="18"/>
        </w:rPr>
        <w:t>Federal AAN Training Program — companion material for the federal AAN book series; not part of UIAO.</w:t>
      </w:r>
    </w:p>
    <w:p>
      <w:pPr>
        <w:shd w:val="clear" w:fill="EAF1FB"/>
      </w:pPr>
      <w:r>
        <w:rPr>
          <w:b/>
          <w:color w:val="0D1B2E"/>
          <w:sz w:val="20"/>
        </w:rPr>
        <w:t>[IMPORTANT]</w:t>
      </w:r>
    </w:p>
    <w:p>
      <w:pPr>
        <w:pStyle w:val="Heading2"/>
      </w:pPr>
      <w:r>
        <w:rPr>
          <w:color w:val="0D1B2E"/>
        </w:rPr>
        <w:t>Not part of UIAO</w:t>
      </w:r>
    </w:p>
    <w:p>
      <w:pPr>
        <w:spacing w:before="80" w:after="80"/>
      </w:pPr>
      <w:r>
        <w:rPr>
          <w:sz w:val="22"/>
        </w:rPr>
        <w:t xml:space="preserve">The AAN book series and this training program are </w:t>
      </w:r>
      <w:r>
        <w:rPr>
          <w:b/>
          <w:sz w:val="22"/>
        </w:rPr>
        <w:t>companion material for the federal vertical — they are not part of UIAO</w:t>
      </w:r>
      <w:r>
        <w:rPr>
          <w:sz w:val="22"/>
        </w:rPr>
        <w:t xml:space="preserve">. The UIAO core is vertical-agnostic (ADR-085 &lt;https://github.com/WhalerMike/uiao/blob/main/src/uiao/canon/adr/adr-085-universal-enterprise-positioning.md&gt;); the AAN corpus is external federal-modernization content that UIAO's conformance tooling happens to consume as evidence. Nothing on these pages is UIAO canon, defines UIAO doctrine, or is scoped for a </w:t>
      </w:r>
      <w:r>
        <w:rPr>
          <w:rFonts w:ascii="Consolas" w:hAnsi="Consolas"/>
          <w:sz w:val="22"/>
        </w:rPr>
        <w:t>UIAO_NNN</w:t>
      </w:r>
      <w:r>
        <w:rPr>
          <w:sz w:val="22"/>
        </w:rPr>
        <w:t xml:space="preserve"> allocation. These pages are hosted here for convenience alongside the adapter that binds the books' evidence.</w:t>
      </w:r>
    </w:p>
    <w:p>
      <w:pPr>
        <w:shd w:val="clear" w:fill="EAF1FB"/>
      </w:pPr>
      <w:r>
        <w:rPr>
          <w:b/>
          <w:color w:val="1E8C8C"/>
          <w:sz w:val="20"/>
        </w:rPr>
        <w:t>[NOTE]</w:t>
      </w:r>
    </w:p>
    <w:p>
      <w:pPr>
        <w:pStyle w:val="Heading2"/>
      </w:pPr>
      <w:r>
        <w:rPr>
          <w:color w:val="0D1B2E"/>
        </w:rPr>
        <w:t>Living program — expansion expected</w:t>
      </w:r>
    </w:p>
    <w:p>
      <w:pPr>
        <w:spacing w:before="80" w:after="80"/>
      </w:pPr>
      <w:r>
        <w:rPr>
          <w:sz w:val="22"/>
        </w:rPr>
        <w:t xml:space="preserve">This program is a </w:t>
      </w:r>
      <w:r>
        <w:rPr>
          <w:b/>
          <w:sz w:val="22"/>
        </w:rPr>
        <w:t>research-driven living curriculum</w:t>
      </w:r>
      <w:r>
        <w:rPr>
          <w:sz w:val="22"/>
        </w:rPr>
        <w:t>. It launches with the program charter, the two track outlines, and a first-pass vendor training catalog. As research continues, modules gain per-book lesson pages, labs, assessment rubrics, and additional vendor offerings. See Expansion roadmap.</w:t>
      </w:r>
    </w:p>
    <w:p>
      <w:pPr>
        <w:pStyle w:val="Heading2"/>
      </w:pPr>
      <w:r>
        <w:rPr>
          <w:color w:val="0D1B2E"/>
        </w:rPr>
        <w:t>What this program is</w:t>
      </w:r>
    </w:p>
    <w:p>
      <w:pPr>
        <w:spacing w:before="80" w:after="80"/>
      </w:pPr>
      <w:r>
        <w:rPr>
          <w:sz w:val="22"/>
        </w:rPr>
        <w:t xml:space="preserve">The Federal Application-Aware Networking (AAN) series is a </w:t>
      </w:r>
      <w:r>
        <w:rPr>
          <w:b/>
          <w:sz w:val="22"/>
        </w:rPr>
        <w:t>20-book corpus</w:t>
      </w:r>
      <w:r>
        <w:rPr>
          <w:sz w:val="22"/>
        </w:rPr>
        <w:t xml:space="preserve"> (Book 00 through Book 19) that documents a complete federal network modernization: landing zone and IPAM, network access control, cryptographic identity, the HR-driven identity and organizational SSOT, network and telecommunications modernization, data-platform authentication, privileged access, vulnerability management, data protection, detection engineering, business continuity, supply-chain risk, program governance, PII transparency, cybersecurity training, and the authorization package / ConMon wrapper. The books live in draft staging at </w:t>
      </w:r>
      <w:r>
        <w:rPr>
          <w:rFonts w:ascii="Consolas" w:hAnsi="Consolas"/>
          <w:sz w:val="22"/>
        </w:rPr>
        <w:t>inbox/Application Aware Networking/</w:t>
      </w:r>
      <w:r>
        <w:rPr>
          <w:sz w:val="22"/>
        </w:rPr>
        <w:t xml:space="preserve"> &lt;https://github.com/WhalerMike/uiao/tree/main/inbox/Application%20Aware%20Networking&gt; and are bound to FedRAMP 20x evidence slots by the </w:t>
      </w:r>
      <w:r>
        <w:rPr>
          <w:rFonts w:ascii="Consolas" w:hAnsi="Consolas"/>
          <w:sz w:val="22"/>
        </w:rPr>
        <w:t>fedramp_aan_catalog</w:t>
      </w:r>
      <w:r>
        <w:rPr>
          <w:sz w:val="22"/>
        </w:rPr>
        <w:t xml:space="preserve"> adapter &lt;https://github.com/WhalerMike/uiao/tree/main/src/uiao/adapters/fedramp_aan_catalog&gt;.</w:t>
      </w:r>
    </w:p>
    <w:p>
      <w:pPr>
        <w:jc w:val="center"/>
      </w:pPr>
      <w:r>
        <w:drawing>
          <wp:inline xmlns:a="http://schemas.openxmlformats.org/drawingml/2006/main" xmlns:pic="http://schemas.openxmlformats.org/drawingml/2006/picture">
            <wp:extent cx="5760720" cy="3240405"/>
            <wp:docPr id="1" name="Picture 1"/>
            <wp:cNvGraphicFramePr>
              <a:graphicFrameLocks noChangeAspect="1"/>
            </wp:cNvGraphicFramePr>
            <a:graphic>
              <a:graphicData uri="http://schemas.openxmlformats.org/drawingml/2006/picture">
                <pic:pic>
                  <pic:nvPicPr>
                    <pic:cNvPr id="0" name="tp-fig-01-program-map.png"/>
                    <pic:cNvPicPr/>
                  </pic:nvPicPr>
                  <pic:blipFill>
                    <a:blip r:embed="rId9"/>
                    <a:stretch>
                      <a:fillRect/>
                    </a:stretch>
                  </pic:blipFill>
                  <pic:spPr>
                    <a:xfrm>
                      <a:off x="0" y="0"/>
                      <a:ext cx="5760720" cy="3240405"/>
                    </a:xfrm>
                    <a:prstGeom prst="rect"/>
                  </pic:spPr>
                </pic:pic>
              </a:graphicData>
            </a:graphic>
          </wp:inline>
        </w:drawing>
      </w:r>
    </w:p>
    <w:p>
      <w:pPr>
        <w:jc w:val="center"/>
      </w:pPr>
      <w:r>
        <w:rPr>
          <w:i/>
          <w:color w:val="5A5A5A"/>
          <w:sz w:val="18"/>
        </w:rPr>
        <w:t>Figure 1 — The program at a glance: 20 books produce artifacts, eight slot mappings bind them as evidence, and two tracks teach the corpus.</w:t>
      </w:r>
    </w:p>
    <w:p>
      <w:pPr>
        <w:spacing w:before="80" w:after="80"/>
      </w:pPr>
      <w:r>
        <w:rPr>
          <w:sz w:val="22"/>
        </w:rPr>
        <w:t xml:space="preserve">The AAN Training Program teaches that corpus in </w:t>
      </w:r>
      <w:r>
        <w:rPr>
          <w:b/>
          <w:sz w:val="22"/>
        </w:rPr>
        <w:t>two tracks</w:t>
      </w:r>
      <w:r>
        <w:rPr>
          <w:sz w:val="22"/>
        </w:rPr>
        <w:t>:</w:t>
      </w:r>
    </w:p>
    <w:tbl>
      <w:tblPr>
        <w:tblStyle w:val="LightList-Accent1"/>
        <w:tblW w:type="auto" w:w="0"/>
        <w:tblLook w:firstColumn="1" w:firstRow="1" w:lastColumn="0" w:lastRow="0" w:noHBand="0" w:noVBand="1" w:val="04A0"/>
      </w:tblPr>
      <w:tblGrid>
        <w:gridCol w:w="2340"/>
        <w:gridCol w:w="2340"/>
        <w:gridCol w:w="2340"/>
        <w:gridCol w:w="2340"/>
      </w:tblGrid>
      <w:tr>
        <w:tc>
          <w:tcPr>
            <w:tcW w:type="dxa" w:w="2340"/>
          </w:tcPr>
          <w:p>
            <w:r>
              <w:rPr>
                <w:b/>
              </w:rPr>
            </w:r>
            <w:r>
              <w:rPr>
                <w:b/>
                <w:sz w:val="18"/>
              </w:rPr>
              <w:t>Track</w:t>
            </w:r>
          </w:p>
        </w:tc>
        <w:tc>
          <w:tcPr>
            <w:tcW w:type="dxa" w:w="2340"/>
          </w:tcPr>
          <w:p>
            <w:r>
              <w:rPr>
                <w:b/>
              </w:rPr>
            </w:r>
            <w:r>
              <w:rPr>
                <w:b/>
                <w:sz w:val="18"/>
              </w:rPr>
              <w:t>Page</w:t>
            </w:r>
          </w:p>
        </w:tc>
        <w:tc>
          <w:tcPr>
            <w:tcW w:type="dxa" w:w="2340"/>
          </w:tcPr>
          <w:p>
            <w:r>
              <w:rPr>
                <w:b/>
              </w:rPr>
            </w:r>
            <w:r>
              <w:rPr>
                <w:b/>
                <w:sz w:val="18"/>
              </w:rPr>
              <w:t>Audience</w:t>
            </w:r>
          </w:p>
        </w:tc>
        <w:tc>
          <w:tcPr>
            <w:tcW w:type="dxa" w:w="2340"/>
          </w:tcPr>
          <w:p>
            <w:r>
              <w:rPr>
                <w:b/>
              </w:rPr>
            </w:r>
            <w:r>
              <w:rPr>
                <w:b/>
                <w:sz w:val="18"/>
              </w:rPr>
              <w:t>Outcome</w:t>
            </w:r>
          </w:p>
        </w:tc>
      </w:tr>
      <w:tr>
        <w:tc>
          <w:tcPr>
            <w:tcW w:type="dxa" w:w="2340"/>
          </w:tcPr>
          <w:p>
            <w:r/>
            <w:r>
              <w:rPr>
                <w:b/>
                <w:sz w:val="18"/>
              </w:rPr>
              <w:t>Track A — Compliance</w:t>
            </w:r>
          </w:p>
        </w:tc>
        <w:tc>
          <w:tcPr>
            <w:tcW w:type="dxa" w:w="2340"/>
          </w:tcPr>
          <w:p>
            <w:r/>
            <w:r>
              <w:rPr>
                <w:sz w:val="18"/>
              </w:rPr>
              <w:t>Compliance track</w:t>
            </w:r>
          </w:p>
        </w:tc>
        <w:tc>
          <w:tcPr>
            <w:tcW w:type="dxa" w:w="2340"/>
          </w:tcPr>
          <w:p>
            <w:r/>
            <w:r>
              <w:rPr>
                <w:sz w:val="18"/>
              </w:rPr>
              <w:t>ISSOs / ISSMs, assessors, ConMon operators, compliance leads</w:t>
            </w:r>
          </w:p>
        </w:tc>
        <w:tc>
          <w:tcPr>
            <w:tcW w:type="dxa" w:w="2340"/>
          </w:tcPr>
          <w:p>
            <w:r/>
            <w:r>
              <w:rPr>
                <w:sz w:val="18"/>
              </w:rPr>
              <w:t>Can state, for each of the 20 books, which NIST SP 800-53 Rev 5 controls it closes, which FedRAMP 20x KSI category evaluates that closure, and how the evidence flows through the UIAO conformance pipeline</w:t>
            </w:r>
          </w:p>
        </w:tc>
      </w:tr>
      <w:tr>
        <w:tc>
          <w:tcPr>
            <w:tcW w:type="dxa" w:w="2340"/>
          </w:tcPr>
          <w:p>
            <w:r/>
            <w:r>
              <w:rPr>
                <w:b/>
                <w:sz w:val="18"/>
              </w:rPr>
              <w:t>Track B — Implementation</w:t>
            </w:r>
          </w:p>
        </w:tc>
        <w:tc>
          <w:tcPr>
            <w:tcW w:type="dxa" w:w="2340"/>
          </w:tcPr>
          <w:p>
            <w:r/>
            <w:r>
              <w:rPr>
                <w:sz w:val="18"/>
              </w:rPr>
              <w:t>Implementation track</w:t>
            </w:r>
          </w:p>
        </w:tc>
        <w:tc>
          <w:tcPr>
            <w:tcW w:type="dxa" w:w="2340"/>
          </w:tcPr>
          <w:p>
            <w:r/>
            <w:r>
              <w:rPr>
                <w:sz w:val="18"/>
              </w:rPr>
              <w:t>Network, platform, database, identity, and security engineers</w:t>
            </w:r>
          </w:p>
        </w:tc>
        <w:tc>
          <w:tcPr>
            <w:tcW w:type="dxa" w:w="2340"/>
          </w:tcPr>
          <w:p>
            <w:r/>
            <w:r>
              <w:rPr>
                <w:sz w:val="18"/>
              </w:rPr>
              <w:t>Can implement the architecture each book describes and produce the machine-readable evidence Track A consumes</w:t>
            </w:r>
          </w:p>
        </w:tc>
      </w:tr>
    </w:tbl>
    <w:p/>
    <w:p>
      <w:pPr>
        <w:spacing w:before="80" w:after="80"/>
      </w:pPr>
      <w:r>
        <w:rPr>
          <w:sz w:val="22"/>
        </w:rPr>
        <w:t>A third page, the Vendor training catalog, maps each book to existing external training from the vendors whose products the books deploy (Microsoft, Infoblox, Cisco, AWS, and others), plus federal/compliance training sources (CISA, FedRAMP, NIST).</w:t>
      </w:r>
    </w:p>
    <w:p>
      <w:pPr>
        <w:pStyle w:val="Heading2"/>
      </w:pPr>
      <w:r>
        <w:rPr>
          <w:color w:val="0D1B2E"/>
        </w:rPr>
        <w:t>Relationship to UIAO</w:t>
      </w:r>
    </w:p>
    <w:p>
      <w:pPr>
        <w:pStyle w:val="ListBullet"/>
      </w:pPr>
      <w:r>
        <w:rPr>
          <w:sz w:val="22"/>
        </w:rPr>
        <w:t xml:space="preserve">This program is </w:t>
      </w:r>
      <w:r>
        <w:rPr>
          <w:b/>
          <w:sz w:val="22"/>
        </w:rPr>
        <w:t>separate from</w:t>
      </w:r>
      <w:r>
        <w:rPr>
          <w:sz w:val="22"/>
        </w:rPr>
        <w:t xml:space="preserve"> UIAO_125 Training Program &lt;https://github.com/WhalerMike/uiao/blob/main/src/uiao/canon/specs/program-training.md&gt; (Contributor + Operator tracks). UIAO_125 teaches the UIAO substrate; this program teaches the </w:t>
      </w:r>
      <w:r>
        <w:rPr>
          <w:b/>
          <w:sz w:val="22"/>
        </w:rPr>
        <w:t>federal AAN book series</w:t>
      </w:r>
      <w:r>
        <w:rPr>
          <w:sz w:val="22"/>
        </w:rPr>
        <w:t xml:space="preserve">, which is not UIAO material. The only connection is mechanical: the </w:t>
      </w:r>
      <w:r>
        <w:rPr>
          <w:rFonts w:ascii="Consolas" w:hAnsi="Consolas"/>
          <w:sz w:val="22"/>
        </w:rPr>
        <w:t>fedramp_aan_catalog</w:t>
      </w:r>
      <w:r>
        <w:rPr>
          <w:sz w:val="22"/>
        </w:rPr>
        <w:t xml:space="preserve"> conformance adapter reads the books' artifacts as evidence, the same way UIAO adapters read any external vendor's output.</w:t>
      </w:r>
    </w:p>
    <w:p>
      <w:pPr>
        <w:pStyle w:val="ListBullet"/>
      </w:pPr>
      <w:r>
        <w:rPr>
          <w:sz w:val="22"/>
        </w:rPr>
        <w:t>Per ADR-085 &lt;https://github.com/WhalerMike/uiao/blob/main/src/uiao/canon/adr/adr-085-universal-enterprise-positioning.md&gt;, the UIAO core is vertical-agnostic. Describing this curriculum as part of UIAO would itself be a positioning bug under that ADR.</w:t>
      </w:r>
    </w:p>
    <w:p>
      <w:pPr>
        <w:pStyle w:val="ListBullet"/>
      </w:pPr>
      <w:r>
        <w:rPr>
          <w:sz w:val="22"/>
        </w:rPr>
        <w:t xml:space="preserve">The compliance backbone follows the Federal AAN / ConMon Compliance Gap Roadmap &lt;https://github.com/WhalerMike/uiao/blob/main/inbox/Application%20Aware%20Networking/federal-aan-conmon-gap-roadmap.md&gt; and the slot bindings in </w:t>
      </w:r>
      <w:r>
        <w:rPr>
          <w:rFonts w:ascii="Consolas" w:hAnsi="Consolas"/>
          <w:sz w:val="22"/>
        </w:rPr>
        <w:t>fedramp_aan_catalog/mappings/</w:t>
      </w:r>
      <w:r>
        <w:rPr>
          <w:sz w:val="22"/>
        </w:rPr>
        <w:t xml:space="preserve"> &lt;https://github.com/WhalerMike/uiao/tree/main/src/uiao/adapters/fedramp_aan_catalog/mappings&gt;.</w:t>
      </w:r>
    </w:p>
    <w:p>
      <w:pPr>
        <w:shd w:val="clear" w:fill="EAF1FB"/>
      </w:pPr>
      <w:r>
        <w:rPr>
          <w:b/>
          <w:color w:val="0D1B2E"/>
          <w:sz w:val="20"/>
        </w:rPr>
        <w:t>[WARNING]</w:t>
      </w:r>
    </w:p>
    <w:p>
      <w:pPr>
        <w:pStyle w:val="Heading2"/>
      </w:pPr>
      <w:r>
        <w:rPr>
          <w:color w:val="0D1B2E"/>
        </w:rPr>
        <w:t>Provenance status</w:t>
      </w:r>
    </w:p>
    <w:p>
      <w:pPr>
        <w:spacing w:before="80" w:after="80"/>
      </w:pPr>
      <w:r>
        <w:rPr>
          <w:sz w:val="22"/>
        </w:rPr>
        <w:t xml:space="preserve">The AAN books currently live under </w:t>
      </w:r>
      <w:r>
        <w:rPr>
          <w:rFonts w:ascii="Consolas" w:hAnsi="Consolas"/>
          <w:sz w:val="22"/>
        </w:rPr>
        <w:t>inbox/</w:t>
      </w:r>
      <w:r>
        <w:rPr>
          <w:sz w:val="22"/>
        </w:rPr>
        <w:t xml:space="preserve"> — the repo's </w:t>
      </w:r>
      <w:r>
        <w:rPr>
          <w:b/>
          <w:sz w:val="22"/>
        </w:rPr>
        <w:t>draft staging</w:t>
      </w:r>
      <w:r>
        <w:rPr>
          <w:sz w:val="22"/>
        </w:rPr>
        <w:t xml:space="preserve"> surface. They are external companion material, not UIAO canon, and are not on a canonization path. If the books move to their own home, the links below follow them. Treat control-closure counts as working figures from the gap roadmap, not attested facts.</w:t>
      </w:r>
    </w:p>
    <w:p>
      <w:pPr>
        <w:pStyle w:val="Heading2"/>
      </w:pPr>
      <w:r>
        <w:rPr>
          <w:color w:val="0D1B2E"/>
        </w:rPr>
        <w:t>The 20-book corpus</w:t>
      </w:r>
    </w:p>
    <w:p>
      <w:pPr>
        <w:spacing w:before="80" w:after="80"/>
      </w:pPr>
      <w:r>
        <w:rPr>
          <w:sz w:val="22"/>
        </w:rPr>
        <w:t xml:space="preserve">Each book now has a </w:t>
      </w:r>
      <w:r>
        <w:rPr>
          <w:b/>
          <w:sz w:val="22"/>
        </w:rPr>
        <w:t>module page</w:t>
      </w:r>
      <w:r>
        <w:rPr>
          <w:sz w:val="22"/>
        </w:rPr>
        <w:t xml:space="preserve"> — objectives, key concepts, implementation sequence, compliance hooks, labs, pitfalls, and vendor training pointers, all derived from the book's actual content. The module page links to the canonical manuscript source.</w:t>
      </w:r>
    </w:p>
    <w:tbl>
      <w:tblPr>
        <w:tblStyle w:val="LightList-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r>
            <w:r>
              <w:rPr>
                <w:b/>
                <w:sz w:val="18"/>
              </w:rPr>
              <w:t>Book</w:t>
            </w:r>
          </w:p>
        </w:tc>
        <w:tc>
          <w:tcPr>
            <w:tcW w:type="dxa" w:w="1872"/>
          </w:tcPr>
          <w:p>
            <w:r>
              <w:rPr>
                <w:b/>
              </w:rPr>
            </w:r>
            <w:r>
              <w:rPr>
                <w:b/>
                <w:sz w:val="18"/>
              </w:rPr>
              <w:t>Module page</w:t>
            </w:r>
          </w:p>
        </w:tc>
        <w:tc>
          <w:tcPr>
            <w:tcW w:type="dxa" w:w="1872"/>
          </w:tcPr>
          <w:p>
            <w:r>
              <w:rPr>
                <w:b/>
              </w:rPr>
            </w:r>
            <w:r>
              <w:rPr>
                <w:b/>
                <w:sz w:val="18"/>
              </w:rPr>
              <w:t>Domain</w:t>
            </w:r>
          </w:p>
        </w:tc>
        <w:tc>
          <w:tcPr>
            <w:tcW w:type="dxa" w:w="1872"/>
          </w:tcPr>
          <w:p>
            <w:r>
              <w:rPr>
                <w:b/>
              </w:rPr>
            </w:r>
            <w:r>
              <w:rPr>
                <w:b/>
                <w:sz w:val="18"/>
              </w:rPr>
              <w:t>Evidence slot(s)</w:t>
            </w:r>
          </w:p>
        </w:tc>
        <w:tc>
          <w:tcPr>
            <w:tcW w:type="dxa" w:w="1872"/>
          </w:tcPr>
          <w:p>
            <w:r>
              <w:rPr>
                <w:b/>
              </w:rPr>
            </w:r>
            <w:r>
              <w:rPr>
                <w:b/>
                <w:sz w:val="18"/>
              </w:rPr>
              <w:t>KSI category</w:t>
            </w:r>
          </w:p>
        </w:tc>
      </w:tr>
      <w:tr>
        <w:tc>
          <w:tcPr>
            <w:tcW w:type="dxa" w:w="1872"/>
          </w:tcPr>
          <w:p>
            <w:r/>
            <w:r>
              <w:rPr>
                <w:sz w:val="18"/>
              </w:rPr>
              <w:t>00</w:t>
            </w:r>
          </w:p>
        </w:tc>
        <w:tc>
          <w:tcPr>
            <w:tcW w:type="dxa" w:w="1872"/>
          </w:tcPr>
          <w:p>
            <w:r/>
            <w:r>
              <w:rPr>
                <w:sz w:val="18"/>
              </w:rPr>
              <w:t>Executive Summary</w:t>
            </w:r>
          </w:p>
        </w:tc>
        <w:tc>
          <w:tcPr>
            <w:tcW w:type="dxa" w:w="1872"/>
          </w:tcPr>
          <w:p>
            <w:r/>
            <w:r>
              <w:rPr>
                <w:sz w:val="18"/>
              </w:rPr>
              <w:t>Orientation</w:t>
            </w:r>
          </w:p>
        </w:tc>
        <w:tc>
          <w:tcPr>
            <w:tcW w:type="dxa" w:w="1872"/>
          </w:tcPr>
          <w:p>
            <w:r/>
            <w:r>
              <w:rPr>
                <w:sz w:val="18"/>
              </w:rPr>
              <w:t>—</w:t>
            </w:r>
          </w:p>
        </w:tc>
        <w:tc>
          <w:tcPr>
            <w:tcW w:type="dxa" w:w="1872"/>
          </w:tcPr>
          <w:p>
            <w:r/>
            <w:r>
              <w:rPr>
                <w:sz w:val="18"/>
              </w:rPr>
              <w:t>—</w:t>
            </w:r>
          </w:p>
        </w:tc>
      </w:tr>
      <w:tr>
        <w:tc>
          <w:tcPr>
            <w:tcW w:type="dxa" w:w="1872"/>
          </w:tcPr>
          <w:p>
            <w:r/>
            <w:r>
              <w:rPr>
                <w:sz w:val="18"/>
              </w:rPr>
              <w:t>01</w:t>
            </w:r>
          </w:p>
        </w:tc>
        <w:tc>
          <w:tcPr>
            <w:tcW w:type="dxa" w:w="1872"/>
          </w:tcPr>
          <w:p>
            <w:r/>
            <w:r>
              <w:rPr>
                <w:sz w:val="18"/>
              </w:rPr>
              <w:t>SSA Landing Zone, IPAM &amp; FedRAMP</w:t>
            </w:r>
          </w:p>
        </w:tc>
        <w:tc>
          <w:tcPr>
            <w:tcW w:type="dxa" w:w="1872"/>
          </w:tcPr>
          <w:p>
            <w:r/>
            <w:r>
              <w:rPr>
                <w:sz w:val="18"/>
              </w:rPr>
              <w:t>DDI / IPAM landing zone</w:t>
            </w:r>
          </w:p>
        </w:tc>
        <w:tc>
          <w:tcPr>
            <w:tcW w:type="dxa" w:w="1872"/>
          </w:tcPr>
          <w:p>
            <w:r/>
            <w:r>
              <w:rPr>
                <w:sz w:val="18"/>
              </w:rPr>
              <w:t>2 — addressing</w:t>
            </w:r>
          </w:p>
        </w:tc>
        <w:tc>
          <w:tcPr>
            <w:tcW w:type="dxa" w:w="1872"/>
          </w:tcPr>
          <w:p>
            <w:r/>
            <w:r>
              <w:rPr>
                <w:sz w:val="18"/>
              </w:rPr>
              <w:t>KSI-PIY</w:t>
            </w:r>
          </w:p>
        </w:tc>
      </w:tr>
      <w:tr>
        <w:tc>
          <w:tcPr>
            <w:tcW w:type="dxa" w:w="1872"/>
          </w:tcPr>
          <w:p>
            <w:r/>
            <w:r>
              <w:rPr>
                <w:sz w:val="18"/>
              </w:rPr>
              <w:t>02</w:t>
            </w:r>
          </w:p>
        </w:tc>
        <w:tc>
          <w:tcPr>
            <w:tcW w:type="dxa" w:w="1872"/>
          </w:tcPr>
          <w:p>
            <w:r/>
            <w:r>
              <w:rPr>
                <w:sz w:val="18"/>
              </w:rPr>
              <w:t>Network Access Control (802.1X)</w:t>
            </w:r>
          </w:p>
        </w:tc>
        <w:tc>
          <w:tcPr>
            <w:tcW w:type="dxa" w:w="1872"/>
          </w:tcPr>
          <w:p>
            <w:r/>
            <w:r>
              <w:rPr>
                <w:sz w:val="18"/>
              </w:rPr>
              <w:t>Device identity at the port</w:t>
            </w:r>
          </w:p>
        </w:tc>
        <w:tc>
          <w:tcPr>
            <w:tcW w:type="dxa" w:w="1872"/>
          </w:tcPr>
          <w:p>
            <w:r/>
            <w:r>
              <w:rPr>
                <w:sz w:val="18"/>
              </w:rPr>
              <w:t>(binding pending mapping refresh)</w:t>
            </w:r>
          </w:p>
        </w:tc>
        <w:tc>
          <w:tcPr>
            <w:tcW w:type="dxa" w:w="1872"/>
          </w:tcPr>
          <w:p>
            <w:r/>
            <w:r>
              <w:rPr>
                <w:sz w:val="18"/>
              </w:rPr>
              <w:t>KSI-CMT / KSI-IAM themes</w:t>
            </w:r>
          </w:p>
        </w:tc>
      </w:tr>
      <w:tr>
        <w:tc>
          <w:tcPr>
            <w:tcW w:type="dxa" w:w="1872"/>
          </w:tcPr>
          <w:p>
            <w:r/>
            <w:r>
              <w:rPr>
                <w:sz w:val="18"/>
              </w:rPr>
              <w:t>03</w:t>
            </w:r>
          </w:p>
        </w:tc>
        <w:tc>
          <w:tcPr>
            <w:tcW w:type="dxa" w:w="1872"/>
          </w:tcPr>
          <w:p>
            <w:r/>
            <w:r>
              <w:rPr>
                <w:sz w:val="18"/>
              </w:rPr>
              <w:t>Certificates, Tokens &amp; Cryptographic Identity</w:t>
            </w:r>
          </w:p>
        </w:tc>
        <w:tc>
          <w:tcPr>
            <w:tcW w:type="dxa" w:w="1872"/>
          </w:tcPr>
          <w:p>
            <w:r/>
            <w:r>
              <w:rPr>
                <w:sz w:val="18"/>
              </w:rPr>
              <w:t>PKI, tokens, phishing-resistant MFA</w:t>
            </w:r>
          </w:p>
        </w:tc>
        <w:tc>
          <w:tcPr>
            <w:tcW w:type="dxa" w:w="1872"/>
          </w:tcPr>
          <w:p>
            <w:r/>
            <w:r>
              <w:rPr>
                <w:sz w:val="18"/>
              </w:rPr>
              <w:t>1 — identity</w:t>
            </w:r>
          </w:p>
        </w:tc>
        <w:tc>
          <w:tcPr>
            <w:tcW w:type="dxa" w:w="1872"/>
          </w:tcPr>
          <w:p>
            <w:r/>
            <w:r>
              <w:rPr>
                <w:sz w:val="18"/>
              </w:rPr>
              <w:t>KSI-IAM</w:t>
            </w:r>
          </w:p>
        </w:tc>
      </w:tr>
      <w:tr>
        <w:tc>
          <w:tcPr>
            <w:tcW w:type="dxa" w:w="1872"/>
          </w:tcPr>
          <w:p>
            <w:r/>
            <w:r>
              <w:rPr>
                <w:sz w:val="18"/>
              </w:rPr>
              <w:t>04</w:t>
            </w:r>
          </w:p>
        </w:tc>
        <w:tc>
          <w:tcPr>
            <w:tcW w:type="dxa" w:w="1872"/>
          </w:tcPr>
          <w:p>
            <w:r/>
            <w:r>
              <w:rPr>
                <w:sz w:val="18"/>
              </w:rPr>
              <w:t>HRIT Identity &amp; Org SSOT</w:t>
            </w:r>
          </w:p>
        </w:tc>
        <w:tc>
          <w:tcPr>
            <w:tcW w:type="dxa" w:w="1872"/>
          </w:tcPr>
          <w:p>
            <w:r/>
            <w:r>
              <w:rPr>
                <w:sz w:val="18"/>
              </w:rPr>
              <w:t>HR-driven identity lifecycle</w:t>
            </w:r>
          </w:p>
        </w:tc>
        <w:tc>
          <w:tcPr>
            <w:tcW w:type="dxa" w:w="1872"/>
          </w:tcPr>
          <w:p>
            <w:r/>
            <w:r>
              <w:rPr>
                <w:sz w:val="18"/>
              </w:rPr>
              <w:t>1 — identity</w:t>
            </w:r>
          </w:p>
        </w:tc>
        <w:tc>
          <w:tcPr>
            <w:tcW w:type="dxa" w:w="1872"/>
          </w:tcPr>
          <w:p>
            <w:r/>
            <w:r>
              <w:rPr>
                <w:sz w:val="18"/>
              </w:rPr>
              <w:t>KSI-IAM</w:t>
            </w:r>
          </w:p>
        </w:tc>
      </w:tr>
      <w:tr>
        <w:tc>
          <w:tcPr>
            <w:tcW w:type="dxa" w:w="1872"/>
          </w:tcPr>
          <w:p>
            <w:r/>
            <w:r>
              <w:rPr>
                <w:sz w:val="18"/>
              </w:rPr>
              <w:t>05</w:t>
            </w:r>
          </w:p>
        </w:tc>
        <w:tc>
          <w:tcPr>
            <w:tcW w:type="dxa" w:w="1872"/>
          </w:tcPr>
          <w:p>
            <w:r/>
            <w:r>
              <w:rPr>
                <w:sz w:val="18"/>
              </w:rPr>
              <w:t>Network Modernization</w:t>
            </w:r>
          </w:p>
        </w:tc>
        <w:tc>
          <w:tcPr>
            <w:tcW w:type="dxa" w:w="1872"/>
          </w:tcPr>
          <w:p>
            <w:r/>
            <w:r>
              <w:rPr>
                <w:sz w:val="18"/>
              </w:rPr>
              <w:t>SD-WAN, SASE, UC</w:t>
            </w:r>
          </w:p>
        </w:tc>
        <w:tc>
          <w:tcPr>
            <w:tcW w:type="dxa" w:w="1872"/>
          </w:tcPr>
          <w:p>
            <w:r/>
            <w:r>
              <w:rPr>
                <w:sz w:val="18"/>
              </w:rPr>
              <w:t>3 — network</w:t>
            </w:r>
          </w:p>
        </w:tc>
        <w:tc>
          <w:tcPr>
            <w:tcW w:type="dxa" w:w="1872"/>
          </w:tcPr>
          <w:p>
            <w:r/>
            <w:r>
              <w:rPr>
                <w:sz w:val="18"/>
              </w:rPr>
              <w:t>KSI-CNA</w:t>
            </w:r>
          </w:p>
        </w:tc>
      </w:tr>
      <w:tr>
        <w:tc>
          <w:tcPr>
            <w:tcW w:type="dxa" w:w="1872"/>
          </w:tcPr>
          <w:p>
            <w:r/>
            <w:r>
              <w:rPr>
                <w:sz w:val="18"/>
              </w:rPr>
              <w:t>06</w:t>
            </w:r>
          </w:p>
        </w:tc>
        <w:tc>
          <w:tcPr>
            <w:tcW w:type="dxa" w:w="1872"/>
          </w:tcPr>
          <w:p>
            <w:r/>
            <w:r>
              <w:rPr>
                <w:sz w:val="18"/>
              </w:rPr>
              <w:t>Federal Telecommunications Modernization</w:t>
            </w:r>
          </w:p>
        </w:tc>
        <w:tc>
          <w:tcPr>
            <w:tcW w:type="dxa" w:w="1872"/>
          </w:tcPr>
          <w:p>
            <w:r/>
            <w:r>
              <w:rPr>
                <w:sz w:val="18"/>
              </w:rPr>
              <w:t>Entra ID, ZTNA, cloud voice</w:t>
            </w:r>
          </w:p>
        </w:tc>
        <w:tc>
          <w:tcPr>
            <w:tcW w:type="dxa" w:w="1872"/>
          </w:tcPr>
          <w:p>
            <w:r/>
            <w:r>
              <w:rPr>
                <w:sz w:val="18"/>
              </w:rPr>
              <w:t>1 — identity</w:t>
            </w:r>
          </w:p>
        </w:tc>
        <w:tc>
          <w:tcPr>
            <w:tcW w:type="dxa" w:w="1872"/>
          </w:tcPr>
          <w:p>
            <w:r/>
            <w:r>
              <w:rPr>
                <w:sz w:val="18"/>
              </w:rPr>
              <w:t>KSI-IAM</w:t>
            </w:r>
          </w:p>
        </w:tc>
      </w:tr>
      <w:tr>
        <w:tc>
          <w:tcPr>
            <w:tcW w:type="dxa" w:w="1872"/>
          </w:tcPr>
          <w:p>
            <w:r/>
            <w:r>
              <w:rPr>
                <w:sz w:val="18"/>
              </w:rPr>
              <w:t>07</w:t>
            </w:r>
          </w:p>
        </w:tc>
        <w:tc>
          <w:tcPr>
            <w:tcW w:type="dxa" w:w="1872"/>
          </w:tcPr>
          <w:p>
            <w:r/>
            <w:r>
              <w:rPr>
                <w:sz w:val="18"/>
              </w:rPr>
              <w:t>SQL Server Authentication Modernization</w:t>
            </w:r>
          </w:p>
        </w:tc>
        <w:tc>
          <w:tcPr>
            <w:tcW w:type="dxa" w:w="1872"/>
          </w:tcPr>
          <w:p>
            <w:r/>
            <w:r>
              <w:rPr>
                <w:sz w:val="18"/>
              </w:rPr>
              <w:t>Data-platform identity</w:t>
            </w:r>
          </w:p>
        </w:tc>
        <w:tc>
          <w:tcPr>
            <w:tcW w:type="dxa" w:w="1872"/>
          </w:tcPr>
          <w:p>
            <w:r/>
            <w:r>
              <w:rPr>
                <w:sz w:val="18"/>
              </w:rPr>
              <w:t>1 — identity</w:t>
            </w:r>
          </w:p>
        </w:tc>
        <w:tc>
          <w:tcPr>
            <w:tcW w:type="dxa" w:w="1872"/>
          </w:tcPr>
          <w:p>
            <w:r/>
            <w:r>
              <w:rPr>
                <w:sz w:val="18"/>
              </w:rPr>
              <w:t>KSI-IAM</w:t>
            </w:r>
          </w:p>
        </w:tc>
      </w:tr>
      <w:tr>
        <w:tc>
          <w:tcPr>
            <w:tcW w:type="dxa" w:w="1872"/>
          </w:tcPr>
          <w:p>
            <w:r/>
            <w:r>
              <w:rPr>
                <w:sz w:val="18"/>
              </w:rPr>
              <w:t>08</w:t>
            </w:r>
          </w:p>
        </w:tc>
        <w:tc>
          <w:tcPr>
            <w:tcW w:type="dxa" w:w="1872"/>
          </w:tcPr>
          <w:p>
            <w:r/>
            <w:r>
              <w:rPr>
                <w:sz w:val="18"/>
              </w:rPr>
              <w:t>SQL Server Implementation Guide</w:t>
            </w:r>
          </w:p>
        </w:tc>
        <w:tc>
          <w:tcPr>
            <w:tcW w:type="dxa" w:w="1872"/>
          </w:tcPr>
          <w:p>
            <w:r/>
            <w:r>
              <w:rPr>
                <w:sz w:val="18"/>
              </w:rPr>
              <w:t>Data-platform runbook</w:t>
            </w:r>
          </w:p>
        </w:tc>
        <w:tc>
          <w:tcPr>
            <w:tcW w:type="dxa" w:w="1872"/>
          </w:tcPr>
          <w:p>
            <w:r/>
            <w:r>
              <w:rPr>
                <w:sz w:val="18"/>
              </w:rPr>
              <w:t>(procedural evidence for Book 07)</w:t>
            </w:r>
          </w:p>
        </w:tc>
        <w:tc>
          <w:tcPr>
            <w:tcW w:type="dxa" w:w="1872"/>
          </w:tcPr>
          <w:p>
            <w:r/>
            <w:r>
              <w:rPr>
                <w:sz w:val="18"/>
              </w:rPr>
              <w:t>—</w:t>
            </w:r>
          </w:p>
        </w:tc>
      </w:tr>
      <w:tr>
        <w:tc>
          <w:tcPr>
            <w:tcW w:type="dxa" w:w="1872"/>
          </w:tcPr>
          <w:p>
            <w:r/>
            <w:r>
              <w:rPr>
                <w:sz w:val="18"/>
              </w:rPr>
              <w:t>09</w:t>
            </w:r>
          </w:p>
        </w:tc>
        <w:tc>
          <w:tcPr>
            <w:tcW w:type="dxa" w:w="1872"/>
          </w:tcPr>
          <w:p>
            <w:r/>
            <w:r>
              <w:rPr>
                <w:sz w:val="18"/>
              </w:rPr>
              <w:t>Database Consolidation &amp; Network Physics</w:t>
            </w:r>
          </w:p>
        </w:tc>
        <w:tc>
          <w:tcPr>
            <w:tcW w:type="dxa" w:w="1872"/>
          </w:tcPr>
          <w:p>
            <w:r/>
            <w:r>
              <w:rPr>
                <w:sz w:val="18"/>
              </w:rPr>
              <w:t>Database architecture</w:t>
            </w:r>
          </w:p>
        </w:tc>
        <w:tc>
          <w:tcPr>
            <w:tcW w:type="dxa" w:w="1872"/>
          </w:tcPr>
          <w:p>
            <w:r/>
            <w:r>
              <w:rPr>
                <w:sz w:val="18"/>
              </w:rPr>
              <w:t>3 — network</w:t>
            </w:r>
          </w:p>
        </w:tc>
        <w:tc>
          <w:tcPr>
            <w:tcW w:type="dxa" w:w="1872"/>
          </w:tcPr>
          <w:p>
            <w:r/>
            <w:r>
              <w:rPr>
                <w:sz w:val="18"/>
              </w:rPr>
              <w:t>KSI-CNA</w:t>
            </w:r>
          </w:p>
        </w:tc>
      </w:tr>
      <w:tr>
        <w:tc>
          <w:tcPr>
            <w:tcW w:type="dxa" w:w="1872"/>
          </w:tcPr>
          <w:p>
            <w:r/>
            <w:r>
              <w:rPr>
                <w:sz w:val="18"/>
              </w:rPr>
              <w:t>10</w:t>
            </w:r>
          </w:p>
        </w:tc>
        <w:tc>
          <w:tcPr>
            <w:tcW w:type="dxa" w:w="1872"/>
          </w:tcPr>
          <w:p>
            <w:r/>
            <w:r>
              <w:rPr>
                <w:sz w:val="18"/>
              </w:rPr>
              <w:t>Privileged Access Management</w:t>
            </w:r>
          </w:p>
        </w:tc>
        <w:tc>
          <w:tcPr>
            <w:tcW w:type="dxa" w:w="1872"/>
          </w:tcPr>
          <w:p>
            <w:r/>
            <w:r>
              <w:rPr>
                <w:sz w:val="18"/>
              </w:rPr>
              <w:t>Entra PIM + PAW</w:t>
            </w:r>
          </w:p>
        </w:tc>
        <w:tc>
          <w:tcPr>
            <w:tcW w:type="dxa" w:w="1872"/>
          </w:tcPr>
          <w:p>
            <w:r/>
            <w:r>
              <w:rPr>
                <w:sz w:val="18"/>
              </w:rPr>
              <w:t>1 — identity; 5 — endpoint</w:t>
            </w:r>
          </w:p>
        </w:tc>
        <w:tc>
          <w:tcPr>
            <w:tcW w:type="dxa" w:w="1872"/>
          </w:tcPr>
          <w:p>
            <w:r/>
            <w:r>
              <w:rPr>
                <w:sz w:val="18"/>
              </w:rPr>
              <w:t>KSI-IAM, KSI-PIY</w:t>
            </w:r>
          </w:p>
        </w:tc>
      </w:tr>
      <w:tr>
        <w:tc>
          <w:tcPr>
            <w:tcW w:type="dxa" w:w="1872"/>
          </w:tcPr>
          <w:p>
            <w:r/>
            <w:r>
              <w:rPr>
                <w:sz w:val="18"/>
              </w:rPr>
              <w:t>11</w:t>
            </w:r>
          </w:p>
        </w:tc>
        <w:tc>
          <w:tcPr>
            <w:tcW w:type="dxa" w:w="1872"/>
          </w:tcPr>
          <w:p>
            <w:r/>
            <w:r>
              <w:rPr>
                <w:sz w:val="18"/>
              </w:rPr>
              <w:t>Vulnerability Management</w:t>
            </w:r>
          </w:p>
        </w:tc>
        <w:tc>
          <w:tcPr>
            <w:tcW w:type="dxa" w:w="1872"/>
          </w:tcPr>
          <w:p>
            <w:r/>
            <w:r>
              <w:rPr>
                <w:sz w:val="18"/>
              </w:rPr>
              <w:t>Defender VM + KEV</w:t>
            </w:r>
          </w:p>
        </w:tc>
        <w:tc>
          <w:tcPr>
            <w:tcW w:type="dxa" w:w="1872"/>
          </w:tcPr>
          <w:p>
            <w:r/>
            <w:r>
              <w:rPr>
                <w:sz w:val="18"/>
              </w:rPr>
              <w:t>4 — telemetry; 5 — endpoint; 6 — security</w:t>
            </w:r>
          </w:p>
        </w:tc>
        <w:tc>
          <w:tcPr>
            <w:tcW w:type="dxa" w:w="1872"/>
          </w:tcPr>
          <w:p>
            <w:r/>
            <w:r>
              <w:rPr>
                <w:sz w:val="18"/>
              </w:rPr>
              <w:t>KSI-MLA, KSI-PIY, KSI-CMT</w:t>
            </w:r>
          </w:p>
        </w:tc>
      </w:tr>
      <w:tr>
        <w:tc>
          <w:tcPr>
            <w:tcW w:type="dxa" w:w="1872"/>
          </w:tcPr>
          <w:p>
            <w:r/>
            <w:r>
              <w:rPr>
                <w:sz w:val="18"/>
              </w:rPr>
              <w:t>12</w:t>
            </w:r>
          </w:p>
        </w:tc>
        <w:tc>
          <w:tcPr>
            <w:tcW w:type="dxa" w:w="1872"/>
          </w:tcPr>
          <w:p>
            <w:r/>
            <w:r>
              <w:rPr>
                <w:sz w:val="18"/>
              </w:rPr>
              <w:t>Data Protection (Purview)</w:t>
            </w:r>
          </w:p>
        </w:tc>
        <w:tc>
          <w:tcPr>
            <w:tcW w:type="dxa" w:w="1872"/>
          </w:tcPr>
          <w:p>
            <w:r/>
            <w:r>
              <w:rPr>
                <w:sz w:val="18"/>
              </w:rPr>
              <w:t>Purview + Key Vault CMK</w:t>
            </w:r>
          </w:p>
        </w:tc>
        <w:tc>
          <w:tcPr>
            <w:tcW w:type="dxa" w:w="1872"/>
          </w:tcPr>
          <w:p>
            <w:r/>
            <w:r>
              <w:rPr>
                <w:sz w:val="18"/>
              </w:rPr>
              <w:t>4 — telemetry</w:t>
            </w:r>
          </w:p>
        </w:tc>
        <w:tc>
          <w:tcPr>
            <w:tcW w:type="dxa" w:w="1872"/>
          </w:tcPr>
          <w:p>
            <w:r/>
            <w:r>
              <w:rPr>
                <w:sz w:val="18"/>
              </w:rPr>
              <w:t>KSI-MLA</w:t>
            </w:r>
          </w:p>
        </w:tc>
      </w:tr>
      <w:tr>
        <w:tc>
          <w:tcPr>
            <w:tcW w:type="dxa" w:w="1872"/>
          </w:tcPr>
          <w:p>
            <w:r/>
            <w:r>
              <w:rPr>
                <w:sz w:val="18"/>
              </w:rPr>
              <w:t>13</w:t>
            </w:r>
          </w:p>
        </w:tc>
        <w:tc>
          <w:tcPr>
            <w:tcW w:type="dxa" w:w="1872"/>
          </w:tcPr>
          <w:p>
            <w:r/>
            <w:r>
              <w:rPr>
                <w:sz w:val="18"/>
              </w:rPr>
              <w:t>SIEM / XDR Detection</w:t>
            </w:r>
          </w:p>
        </w:tc>
        <w:tc>
          <w:tcPr>
            <w:tcW w:type="dxa" w:w="1872"/>
          </w:tcPr>
          <w:p>
            <w:r/>
            <w:r>
              <w:rPr>
                <w:sz w:val="18"/>
              </w:rPr>
              <w:t>Sentinel detection engineering</w:t>
            </w:r>
          </w:p>
        </w:tc>
        <w:tc>
          <w:tcPr>
            <w:tcW w:type="dxa" w:w="1872"/>
          </w:tcPr>
          <w:p>
            <w:r/>
            <w:r>
              <w:rPr>
                <w:sz w:val="18"/>
              </w:rPr>
              <w:t>4 — telemetry; 6 — security</w:t>
            </w:r>
          </w:p>
        </w:tc>
        <w:tc>
          <w:tcPr>
            <w:tcW w:type="dxa" w:w="1872"/>
          </w:tcPr>
          <w:p>
            <w:r/>
            <w:r>
              <w:rPr>
                <w:sz w:val="18"/>
              </w:rPr>
              <w:t>KSI-MLA, KSI-CMT</w:t>
            </w:r>
          </w:p>
        </w:tc>
      </w:tr>
      <w:tr>
        <w:tc>
          <w:tcPr>
            <w:tcW w:type="dxa" w:w="1872"/>
          </w:tcPr>
          <w:p>
            <w:r/>
            <w:r>
              <w:rPr>
                <w:sz w:val="18"/>
              </w:rPr>
              <w:t>14</w:t>
            </w:r>
          </w:p>
        </w:tc>
        <w:tc>
          <w:tcPr>
            <w:tcW w:type="dxa" w:w="1872"/>
          </w:tcPr>
          <w:p>
            <w:r/>
            <w:r>
              <w:rPr>
                <w:sz w:val="18"/>
              </w:rPr>
              <w:t>Business Continuity</w:t>
            </w:r>
          </w:p>
        </w:tc>
        <w:tc>
          <w:tcPr>
            <w:tcW w:type="dxa" w:w="1872"/>
          </w:tcPr>
          <w:p>
            <w:r/>
            <w:r>
              <w:rPr>
                <w:sz w:val="18"/>
              </w:rPr>
              <w:t>Contingency planning</w:t>
            </w:r>
          </w:p>
        </w:tc>
        <w:tc>
          <w:tcPr>
            <w:tcW w:type="dxa" w:w="1872"/>
          </w:tcPr>
          <w:p>
            <w:r/>
            <w:r>
              <w:rPr>
                <w:sz w:val="18"/>
              </w:rPr>
              <w:t>7 — continuity</w:t>
            </w:r>
          </w:p>
        </w:tc>
        <w:tc>
          <w:tcPr>
            <w:tcW w:type="dxa" w:w="1872"/>
          </w:tcPr>
          <w:p>
            <w:r/>
            <w:r>
              <w:rPr>
                <w:sz w:val="18"/>
              </w:rPr>
              <w:t>KSI-RPL</w:t>
            </w:r>
          </w:p>
        </w:tc>
      </w:tr>
      <w:tr>
        <w:tc>
          <w:tcPr>
            <w:tcW w:type="dxa" w:w="1872"/>
          </w:tcPr>
          <w:p>
            <w:r/>
            <w:r>
              <w:rPr>
                <w:sz w:val="18"/>
              </w:rPr>
              <w:t>15</w:t>
            </w:r>
          </w:p>
        </w:tc>
        <w:tc>
          <w:tcPr>
            <w:tcW w:type="dxa" w:w="1872"/>
          </w:tcPr>
          <w:p>
            <w:r/>
            <w:r>
              <w:rPr>
                <w:sz w:val="18"/>
              </w:rPr>
              <w:t>Supply Chain Risk Management</w:t>
            </w:r>
          </w:p>
        </w:tc>
        <w:tc>
          <w:tcPr>
            <w:tcW w:type="dxa" w:w="1872"/>
          </w:tcPr>
          <w:p>
            <w:r/>
            <w:r>
              <w:rPr>
                <w:sz w:val="18"/>
              </w:rPr>
              <w:t>SBOM, VDR/VER, BOD 26-04</w:t>
            </w:r>
          </w:p>
        </w:tc>
        <w:tc>
          <w:tcPr>
            <w:tcW w:type="dxa" w:w="1872"/>
          </w:tcPr>
          <w:p>
            <w:r/>
            <w:r>
              <w:rPr>
                <w:sz w:val="18"/>
              </w:rPr>
              <w:t>6 — security</w:t>
            </w:r>
          </w:p>
        </w:tc>
        <w:tc>
          <w:tcPr>
            <w:tcW w:type="dxa" w:w="1872"/>
          </w:tcPr>
          <w:p>
            <w:r/>
            <w:r>
              <w:rPr>
                <w:sz w:val="18"/>
              </w:rPr>
              <w:t>KSI-CMT</w:t>
            </w:r>
          </w:p>
        </w:tc>
      </w:tr>
      <w:tr>
        <w:tc>
          <w:tcPr>
            <w:tcW w:type="dxa" w:w="1872"/>
          </w:tcPr>
          <w:p>
            <w:r/>
            <w:r>
              <w:rPr>
                <w:sz w:val="18"/>
              </w:rPr>
              <w:t>16</w:t>
            </w:r>
          </w:p>
        </w:tc>
        <w:tc>
          <w:tcPr>
            <w:tcW w:type="dxa" w:w="1872"/>
          </w:tcPr>
          <w:p>
            <w:r/>
            <w:r>
              <w:rPr>
                <w:sz w:val="18"/>
              </w:rPr>
              <w:t>Program Management &amp; Governance</w:t>
            </w:r>
          </w:p>
        </w:tc>
        <w:tc>
          <w:tcPr>
            <w:tcW w:type="dxa" w:w="1872"/>
          </w:tcPr>
          <w:p>
            <w:r/>
            <w:r>
              <w:rPr>
                <w:sz w:val="18"/>
              </w:rPr>
              <w:t>PM charter</w:t>
            </w:r>
          </w:p>
        </w:tc>
        <w:tc>
          <w:tcPr>
            <w:tcW w:type="dxa" w:w="1872"/>
          </w:tcPr>
          <w:p>
            <w:r/>
            <w:r>
              <w:rPr>
                <w:sz w:val="18"/>
              </w:rPr>
              <w:t>6 — security</w:t>
            </w:r>
          </w:p>
        </w:tc>
        <w:tc>
          <w:tcPr>
            <w:tcW w:type="dxa" w:w="1872"/>
          </w:tcPr>
          <w:p>
            <w:r/>
            <w:r>
              <w:rPr>
                <w:sz w:val="18"/>
              </w:rPr>
              <w:t>KSI-CMT</w:t>
            </w:r>
          </w:p>
        </w:tc>
      </w:tr>
      <w:tr>
        <w:tc>
          <w:tcPr>
            <w:tcW w:type="dxa" w:w="1872"/>
          </w:tcPr>
          <w:p>
            <w:r/>
            <w:r>
              <w:rPr>
                <w:sz w:val="18"/>
              </w:rPr>
              <w:t>17</w:t>
            </w:r>
          </w:p>
        </w:tc>
        <w:tc>
          <w:tcPr>
            <w:tcW w:type="dxa" w:w="1872"/>
          </w:tcPr>
          <w:p>
            <w:r/>
            <w:r>
              <w:rPr>
                <w:sz w:val="18"/>
              </w:rPr>
              <w:t>PII Processing &amp; Transparency</w:t>
            </w:r>
          </w:p>
        </w:tc>
        <w:tc>
          <w:tcPr>
            <w:tcW w:type="dxa" w:w="1872"/>
          </w:tcPr>
          <w:p>
            <w:r/>
            <w:r>
              <w:rPr>
                <w:sz w:val="18"/>
              </w:rPr>
              <w:t>PT control family</w:t>
            </w:r>
          </w:p>
        </w:tc>
        <w:tc>
          <w:tcPr>
            <w:tcW w:type="dxa" w:w="1872"/>
          </w:tcPr>
          <w:p>
            <w:r/>
            <w:r>
              <w:rPr>
                <w:sz w:val="18"/>
              </w:rPr>
              <w:t>5 — endpoint</w:t>
            </w:r>
          </w:p>
        </w:tc>
        <w:tc>
          <w:tcPr>
            <w:tcW w:type="dxa" w:w="1872"/>
          </w:tcPr>
          <w:p>
            <w:r/>
            <w:r>
              <w:rPr>
                <w:sz w:val="18"/>
              </w:rPr>
              <w:t>KSI-PIY</w:t>
            </w:r>
          </w:p>
        </w:tc>
      </w:tr>
      <w:tr>
        <w:tc>
          <w:tcPr>
            <w:tcW w:type="dxa" w:w="1872"/>
          </w:tcPr>
          <w:p>
            <w:r/>
            <w:r>
              <w:rPr>
                <w:sz w:val="18"/>
              </w:rPr>
              <w:t>18</w:t>
            </w:r>
          </w:p>
        </w:tc>
        <w:tc>
          <w:tcPr>
            <w:tcW w:type="dxa" w:w="1872"/>
          </w:tcPr>
          <w:p>
            <w:r/>
            <w:r>
              <w:rPr>
                <w:sz w:val="18"/>
              </w:rPr>
              <w:t>Cybersecurity Training &amp; Awareness</w:t>
            </w:r>
          </w:p>
        </w:tc>
        <w:tc>
          <w:tcPr>
            <w:tcW w:type="dxa" w:w="1872"/>
          </w:tcPr>
          <w:p>
            <w:r/>
            <w:r>
              <w:rPr>
                <w:sz w:val="18"/>
              </w:rPr>
              <w:t>AT control family, LMS evidence</w:t>
            </w:r>
          </w:p>
        </w:tc>
        <w:tc>
          <w:tcPr>
            <w:tcW w:type="dxa" w:w="1872"/>
          </w:tcPr>
          <w:p>
            <w:r/>
            <w:r>
              <w:rPr>
                <w:sz w:val="18"/>
              </w:rPr>
              <w:t>8 — training</w:t>
            </w:r>
          </w:p>
        </w:tc>
        <w:tc>
          <w:tcPr>
            <w:tcW w:type="dxa" w:w="1872"/>
          </w:tcPr>
          <w:p>
            <w:r/>
            <w:r>
              <w:rPr>
                <w:sz w:val="18"/>
              </w:rPr>
              <w:t>KSI-CED</w:t>
            </w:r>
          </w:p>
        </w:tc>
      </w:tr>
      <w:tr>
        <w:tc>
          <w:tcPr>
            <w:tcW w:type="dxa" w:w="1872"/>
          </w:tcPr>
          <w:p>
            <w:r/>
            <w:r>
              <w:rPr>
                <w:sz w:val="18"/>
              </w:rPr>
              <w:t>19</w:t>
            </w:r>
          </w:p>
        </w:tc>
        <w:tc>
          <w:tcPr>
            <w:tcW w:type="dxa" w:w="1872"/>
          </w:tcPr>
          <w:p>
            <w:r/>
            <w:r>
              <w:rPr>
                <w:sz w:val="18"/>
              </w:rPr>
              <w:t>Authorization Package &amp; ConMon</w:t>
            </w:r>
          </w:p>
        </w:tc>
        <w:tc>
          <w:tcPr>
            <w:tcW w:type="dxa" w:w="1872"/>
          </w:tcPr>
          <w:p>
            <w:r/>
            <w:r>
              <w:rPr>
                <w:sz w:val="18"/>
              </w:rPr>
              <w:t>OSCAL AP/AR/POA&amp;M, CA family</w:t>
            </w:r>
          </w:p>
        </w:tc>
        <w:tc>
          <w:tcPr>
            <w:tcW w:type="dxa" w:w="1872"/>
          </w:tcPr>
          <w:p>
            <w:r/>
            <w:r>
              <w:rPr>
                <w:sz w:val="18"/>
              </w:rPr>
              <w:t>(assembles all eight slots)</w:t>
            </w:r>
          </w:p>
        </w:tc>
        <w:tc>
          <w:tcPr>
            <w:tcW w:type="dxa" w:w="1872"/>
          </w:tcPr>
          <w:p>
            <w:r/>
            <w:r>
              <w:rPr>
                <w:sz w:val="18"/>
              </w:rPr>
              <w:t>—</w:t>
            </w:r>
          </w:p>
        </w:tc>
      </w:tr>
    </w:tbl>
    <w:p/>
    <w:p>
      <w:pPr>
        <w:spacing w:before="80" w:after="80"/>
      </w:pPr>
      <w:r>
        <w:rPr>
          <w:sz w:val="22"/>
        </w:rPr>
        <w:t>Slot definitions, KSI categories, and NIST anchors come from the adapter's mapping files &lt;https://github.com/WhalerMike/uiao/tree/main/src/uiao/adapters/fedramp_aan_catalog/mappings&gt; — the same data the conformance pipeline evaluates, so the curriculum cannot silently drift from the evidence model.</w:t>
      </w:r>
    </w:p>
    <w:p>
      <w:pPr>
        <w:shd w:val="clear" w:fill="EAF1FB"/>
      </w:pPr>
      <w:r>
        <w:rPr>
          <w:b/>
          <w:color w:val="1E8C8C"/>
          <w:sz w:val="20"/>
        </w:rPr>
        <w:t>[NOTE]</w:t>
      </w:r>
    </w:p>
    <w:p>
      <w:pPr>
        <w:spacing w:before="80" w:after="80"/>
      </w:pPr>
      <w:r>
        <w:rPr>
          <w:sz w:val="22"/>
        </w:rPr>
        <w:t>The adapter's mapping files still reference the pre-restructure numbering and filenames and are pending refresh for the 20-book series; the slot column above uses the books' own stated bindings (Books 03/04 → slot 1) plus the prior bindings translated to the new numbering.</w:t>
      </w:r>
    </w:p>
    <w:p>
      <w:pPr>
        <w:pStyle w:val="Heading2"/>
      </w:pPr>
      <w:r>
        <w:rPr>
          <w:color w:val="0D1B2E"/>
        </w:rPr>
        <w:t>Program structure</w:t>
      </w:r>
    </w:p>
    <w:p>
      <w:pPr>
        <w:pStyle w:val="ListNumber"/>
      </w:pPr>
      <w:r>
        <w:rPr>
          <w:b/>
          <w:sz w:val="22"/>
        </w:rPr>
        <w:t>Orientation (both tracks)</w:t>
      </w:r>
      <w:r>
        <w:rPr>
          <w:sz w:val="22"/>
        </w:rPr>
        <w:t xml:space="preserve"> — read Book 00 and the gap roadmap &lt;https://github.com/WhalerMike/uiao/blob/main/inbox/Application%20Aware%20Networking/federal-aan-conmon-gap-roadmap.md&gt;; understand the FedRAMP 20x timeline (Class A opened August 2026; 20x mandatory January 2027; BOD 26-04 VDR/VER due December 7, 2026).</w:t>
      </w:r>
    </w:p>
    <w:p>
      <w:pPr>
        <w:pStyle w:val="ListNumber"/>
      </w:pPr>
      <w:r>
        <w:rPr>
          <w:b/>
          <w:sz w:val="22"/>
        </w:rPr>
        <w:t>Pick a track</w:t>
      </w:r>
      <w:r>
        <w:rPr>
          <w:sz w:val="22"/>
        </w:rPr>
        <w:t xml:space="preserve"> — Track A Compliance or Track B Implementation. The tracks share the corpus but read it differently: Track A reads books as </w:t>
      </w:r>
      <w:r>
        <w:rPr>
          <w:i/>
          <w:sz w:val="22"/>
        </w:rPr>
        <w:t>control-closure evidence</w:t>
      </w:r>
      <w:r>
        <w:rPr>
          <w:sz w:val="22"/>
        </w:rPr>
        <w:t xml:space="preserve">; Track B reads them as </w:t>
      </w:r>
      <w:r>
        <w:rPr>
          <w:i/>
          <w:sz w:val="22"/>
        </w:rPr>
        <w:t>build instructions</w:t>
      </w:r>
      <w:r>
        <w:rPr>
          <w:sz w:val="22"/>
        </w:rPr>
        <w:t>.</w:t>
      </w:r>
    </w:p>
    <w:p>
      <w:pPr>
        <w:pStyle w:val="ListNumber"/>
      </w:pPr>
      <w:r>
        <w:rPr>
          <w:b/>
          <w:sz w:val="22"/>
        </w:rPr>
        <w:t>Supplement with vendor training</w:t>
      </w:r>
      <w:r>
        <w:rPr>
          <w:sz w:val="22"/>
        </w:rPr>
        <w:t xml:space="preserve"> — each module points into the vendor training catalog for the underlying product skills (Entra, Sentinel, Purview, Infoblox DDI, SD-WAN, …).</w:t>
      </w:r>
    </w:p>
    <w:p>
      <w:pPr>
        <w:pStyle w:val="ListNumber"/>
      </w:pPr>
      <w:r>
        <w:rPr>
          <w:b/>
          <w:sz w:val="22"/>
        </w:rPr>
        <w:t>Capstone (both tracks)</w:t>
      </w:r>
      <w:r>
        <w:rPr>
          <w:sz w:val="22"/>
        </w:rPr>
        <w:t xml:space="preserve"> — produce or evaluate a KSI evidence bundle with the </w:t>
      </w:r>
      <w:r>
        <w:rPr>
          <w:rFonts w:ascii="Consolas" w:hAnsi="Consolas"/>
          <w:sz w:val="22"/>
        </w:rPr>
        <w:t>uiao</w:t>
      </w:r>
      <w:r>
        <w:rPr>
          <w:sz w:val="22"/>
        </w:rPr>
        <w:t xml:space="preserve"> CLI (</w:t>
      </w:r>
      <w:r>
        <w:rPr>
          <w:rFonts w:ascii="Consolas" w:hAnsi="Consolas"/>
          <w:sz w:val="22"/>
        </w:rPr>
        <w:t>uiao ksi evaluate</w:t>
      </w:r>
      <w:r>
        <w:rPr>
          <w:sz w:val="22"/>
        </w:rPr>
        <w:t xml:space="preserve">, </w:t>
      </w:r>
      <w:r>
        <w:rPr>
          <w:rFonts w:ascii="Consolas" w:hAnsi="Consolas"/>
          <w:sz w:val="22"/>
        </w:rPr>
        <w:t>uiao oscal ksi-ar</w:t>
      </w:r>
      <w:r>
        <w:rPr>
          <w:sz w:val="22"/>
        </w:rPr>
        <w:t xml:space="preserve">, </w:t>
      </w:r>
      <w:r>
        <w:rPr>
          <w:rFonts w:ascii="Consolas" w:hAnsi="Consolas"/>
          <w:sz w:val="22"/>
        </w:rPr>
        <w:t>uiao oscal generate</w:t>
      </w:r>
      <w:r>
        <w:rPr>
          <w:sz w:val="22"/>
        </w:rPr>
        <w:t>) against the eight AAN evidence slots.</w:t>
      </w:r>
    </w:p>
    <w:p>
      <w:pPr>
        <w:jc w:val="center"/>
      </w:pPr>
      <w:r>
        <w:drawing>
          <wp:inline xmlns:a="http://schemas.openxmlformats.org/drawingml/2006/main" xmlns:pic="http://schemas.openxmlformats.org/drawingml/2006/picture">
            <wp:extent cx="5760720" cy="3240405"/>
            <wp:docPr id="2" name="Picture 2"/>
            <wp:cNvGraphicFramePr>
              <a:graphicFrameLocks noChangeAspect="1"/>
            </wp:cNvGraphicFramePr>
            <a:graphic>
              <a:graphicData uri="http://schemas.openxmlformats.org/drawingml/2006/picture">
                <pic:pic>
                  <pic:nvPicPr>
                    <pic:cNvPr id="0" name="tp-fig-06-evidence-flow.png"/>
                    <pic:cNvPicPr/>
                  </pic:nvPicPr>
                  <pic:blipFill>
                    <a:blip r:embed="rId10"/>
                    <a:stretch>
                      <a:fillRect/>
                    </a:stretch>
                  </pic:blipFill>
                  <pic:spPr>
                    <a:xfrm>
                      <a:off x="0" y="0"/>
                      <a:ext cx="5760720" cy="3240405"/>
                    </a:xfrm>
                    <a:prstGeom prst="rect"/>
                  </pic:spPr>
                </pic:pic>
              </a:graphicData>
            </a:graphic>
          </wp:inline>
        </w:drawing>
      </w:r>
    </w:p>
    <w:p>
      <w:pPr>
        <w:jc w:val="center"/>
      </w:pPr>
      <w:r>
        <w:rPr>
          <w:i/>
          <w:color w:val="5A5A5A"/>
          <w:sz w:val="18"/>
        </w:rPr>
        <w:t>Figure 2 — The evidence flow both capstones exercise: a book artifact is bound by a slot mapping, evaluated against KSI rules, and lands as per-KSI verdicts in the OSCAL Assessment Results.</w:t>
      </w:r>
    </w:p>
    <w:p>
      <w:pPr>
        <w:pStyle w:val="Heading2"/>
      </w:pPr>
      <w:r>
        <w:rPr>
          <w:color w:val="0D1B2E"/>
        </w:rPr>
        <w:t>Completion criteria</w:t>
      </w:r>
    </w:p>
    <w:p>
      <w:pPr>
        <w:spacing w:before="80" w:after="80"/>
      </w:pPr>
      <w:r>
        <w:rPr>
          <w:sz w:val="22"/>
        </w:rPr>
        <w:t>Borrowing the pattern of UIAO_125 §4 (no parallel certification system), without being part of that program:</w:t>
      </w:r>
    </w:p>
    <w:p>
      <w:pPr>
        <w:pStyle w:val="ListBullet"/>
      </w:pPr>
      <w:r>
        <w:rPr>
          <w:b/>
          <w:sz w:val="22"/>
        </w:rPr>
        <w:t>Track A</w:t>
      </w:r>
      <w:r>
        <w:rPr>
          <w:sz w:val="22"/>
        </w:rPr>
        <w:t xml:space="preserve"> — a clean walk of all eight slot mappings: for each slot, name the books that feed it, the KSI category that evaluates it, and produce a </w:t>
      </w:r>
      <w:r>
        <w:rPr>
          <w:rFonts w:ascii="Consolas" w:hAnsi="Consolas"/>
          <w:sz w:val="22"/>
        </w:rPr>
        <w:t>uiao oscal ksi-ar</w:t>
      </w:r>
      <w:r>
        <w:rPr>
          <w:sz w:val="22"/>
        </w:rPr>
        <w:t xml:space="preserve"> run showing each KSI verdict (satisfied / not-satisfied / not-evaluated), with a short written gap statement for anything not yet evaluable.</w:t>
      </w:r>
    </w:p>
    <w:p>
      <w:pPr>
        <w:pStyle w:val="ListBullet"/>
      </w:pPr>
      <w:r>
        <w:rPr>
          <w:b/>
          <w:sz w:val="22"/>
        </w:rPr>
        <w:t>Track B</w:t>
      </w:r>
      <w:r>
        <w:rPr>
          <w:sz w:val="22"/>
        </w:rPr>
        <w:t xml:space="preserve"> — implement (or lab-simulate) one module end-to-end and land its evidence artifact where the slot mappings can bind it, verified by regenerating the KSI Assessment Results (</w:t>
      </w:r>
      <w:r>
        <w:rPr>
          <w:rFonts w:ascii="Consolas" w:hAnsi="Consolas"/>
          <w:sz w:val="22"/>
        </w:rPr>
        <w:t>uiao oscal ksi-ar</w:t>
      </w:r>
      <w:r>
        <w:rPr>
          <w:sz w:val="22"/>
        </w:rPr>
        <w:t>) and seeing the slot's verdict reflect the new evidence.</w:t>
      </w:r>
    </w:p>
    <w:p>
      <w:pPr>
        <w:pStyle w:val="Heading2"/>
      </w:pPr>
      <w:r>
        <w:rPr>
          <w:color w:val="0D1B2E"/>
        </w:rPr>
        <w:t>Expansion roadmap</w:t>
      </w:r>
    </w:p>
    <w:p>
      <w:pPr>
        <w:spacing w:before="80" w:after="80"/>
      </w:pPr>
      <w:r>
        <w:rPr>
          <w:sz w:val="22"/>
        </w:rPr>
        <w:t>Planned growth as research continues (tracked in ordinary PRs against this directory):</w:t>
      </w:r>
    </w:p>
    <w:p>
      <w:pPr>
        <w:pStyle w:val="ListBullet"/>
      </w:pPr>
      <w:r>
        <w:rPr>
          <w:sz w:val="22"/>
        </w:rPr>
        <w:t xml:space="preserve">✅ </w:t>
      </w:r>
      <w:r>
        <w:rPr>
          <w:b/>
          <w:sz w:val="22"/>
        </w:rPr>
        <w:t>Per-book module pages</w:t>
      </w:r>
      <w:r>
        <w:rPr>
          <w:sz w:val="22"/>
        </w:rPr>
        <w:t xml:space="preserve"> — shipped: all 20 books have module pages (see the table above) with objectives, key concepts, implementation sequence, labs, and pitfalls derived from the manuscripts. Next iteration: reading checkpoints and quiz items.</w:t>
      </w:r>
    </w:p>
    <w:p>
      <w:pPr>
        <w:pStyle w:val="ListBullet"/>
      </w:pPr>
      <w:r>
        <w:rPr>
          <w:sz w:val="22"/>
        </w:rPr>
        <w:t xml:space="preserve">✅ </w:t>
      </w:r>
      <w:r>
        <w:rPr>
          <w:b/>
          <w:sz w:val="22"/>
        </w:rPr>
        <w:t>Vendor catalog verification</w:t>
      </w:r>
      <w:r>
        <w:rPr>
          <w:sz w:val="22"/>
        </w:rPr>
        <w:t xml:space="preserve"> — first research pass complete: the original research-queue vendors (Zscaler, Netskope, ServiceNow, Linux Foundation/OpenSSF, ISACA, IAPP, Tenable, Qualys) are now catalog rows with verified training-portal URLs.</w:t>
      </w:r>
    </w:p>
    <w:p>
      <w:pPr>
        <w:pStyle w:val="ListBullet"/>
      </w:pPr>
      <w:r>
        <w:rPr>
          <w:sz w:val="22"/>
        </w:rPr>
        <w:t xml:space="preserve">✅ </w:t>
      </w:r>
      <w:r>
        <w:rPr>
          <w:b/>
          <w:sz w:val="22"/>
        </w:rPr>
        <w:t>Lab environments</w:t>
      </w:r>
      <w:r>
        <w:rPr>
          <w:sz w:val="22"/>
        </w:rPr>
        <w:t xml:space="preserve"> — shipped: the lab hub with scripted setups for DDI (B1), PIM (B5), Sentinel (B6), and Purview (B6), tiered fixture / trial-tenant / product-eval. Next iteration: B2 access/identity and B3 SD-WAN eval-gear labs.</w:t>
      </w:r>
    </w:p>
    <w:p>
      <w:pPr>
        <w:pStyle w:val="ListBullet"/>
      </w:pPr>
      <w:r>
        <w:rPr>
          <w:sz w:val="22"/>
        </w:rPr>
        <w:t xml:space="preserve">✅ </w:t>
      </w:r>
      <w:r>
        <w:rPr>
          <w:b/>
          <w:sz w:val="22"/>
        </w:rPr>
        <w:t>Assessment rubrics</w:t>
      </w:r>
      <w:r>
        <w:rPr>
          <w:sz w:val="22"/>
        </w:rPr>
        <w:t xml:space="preserve"> — shipped: per-slot scoring sheets for the Track A capstone with a four-level scale and explicit pass bar.</w:t>
      </w:r>
    </w:p>
    <w:p>
      <w:pPr>
        <w:pStyle w:val="ListBullet"/>
      </w:pPr>
      <w:r>
        <w:rPr>
          <w:sz w:val="22"/>
        </w:rPr>
        <w:t xml:space="preserve">✅ </w:t>
      </w:r>
      <w:r>
        <w:rPr>
          <w:b/>
          <w:sz w:val="22"/>
        </w:rPr>
        <w:t>Corpus sync (July 2026)</w:t>
      </w:r>
      <w:r>
        <w:rPr>
          <w:sz w:val="22"/>
        </w:rPr>
        <w:t xml:space="preserve"> — Books 18 (Training &amp; Awareness) and 19 (Authorization Package &amp; ConMon) joined the corpus; slot 8 — training (KSI-CED) joined the evidence model, taking CR26 coverage to all 29 KSIs evaluable. Module pages, tracks, rubrics, and figures updated.</w:t>
      </w:r>
    </w:p>
    <w:p>
      <w:pPr>
        <w:pStyle w:val="ListBullet"/>
      </w:pPr>
      <w:r>
        <w:rPr>
          <w:sz w:val="22"/>
        </w:rPr>
        <w:t xml:space="preserve">✅ </w:t>
      </w:r>
      <w:r>
        <w:rPr>
          <w:b/>
          <w:sz w:val="22"/>
        </w:rPr>
        <w:t>Series restructure sync (July 2026)</w:t>
      </w:r>
      <w:r>
        <w:rPr>
          <w:sz w:val="22"/>
        </w:rPr>
        <w:t xml:space="preserve"> — resynced to the 20-book FedAAN series: three new early books (02 Network Access Control, 03 Certificates/Tokens, 04 HRIT Identity &amp; Org SSOT), all downstream books renumbered (+3), filenames moved to the </w:t>
      </w:r>
      <w:r>
        <w:rPr>
          <w:rFonts w:ascii="Consolas" w:hAnsi="Consolas"/>
          <w:sz w:val="22"/>
        </w:rPr>
        <w:t>FedAAN_</w:t>
      </w:r>
      <w:r>
        <w:rPr>
          <w:sz w:val="22"/>
        </w:rPr>
        <w:t xml:space="preserve"> scheme, module pages/tracks/figures/rubrics/bundle regenerated.</w:t>
      </w:r>
    </w:p>
    <w:p>
      <w:pPr>
        <w:pStyle w:val="ListBullet"/>
      </w:pPr>
      <w:r>
        <w:rPr>
          <w:b/>
          <w:sz w:val="22"/>
        </w:rPr>
        <w:t>A permanent home</w:t>
      </w:r>
      <w:r>
        <w:rPr>
          <w:sz w:val="22"/>
        </w:rPr>
        <w:t xml:space="preserve"> — this material is not UIAO and will not be canonized as a </w:t>
      </w:r>
      <w:r>
        <w:rPr>
          <w:rFonts w:ascii="Consolas" w:hAnsi="Consolas"/>
          <w:sz w:val="22"/>
        </w:rPr>
        <w:t>UIAO_NNN</w:t>
      </w:r>
      <w:r>
        <w:rPr>
          <w:sz w:val="22"/>
        </w:rPr>
        <w:t xml:space="preserve"> spec; if the AAN corpus moves to its own repo/product, the program moves with it.</w:t>
      </w:r>
    </w:p>
    <w:p>
      <w:pPr>
        <w:pStyle w:val="Heading2"/>
      </w:pPr>
      <w:r>
        <w:rPr>
          <w:color w:val="0D1B2E"/>
        </w:rPr>
        <w:t>Next</w:t>
      </w:r>
    </w:p>
    <w:p>
      <w:pPr>
        <w:pStyle w:val="ListBullet"/>
      </w:pPr>
      <w:r>
        <w:rPr>
          <w:b/>
          <w:sz w:val="22"/>
        </w:rPr>
        <w:t>Compliance staff</w:t>
      </w:r>
      <w:r>
        <w:rPr>
          <w:sz w:val="22"/>
        </w:rPr>
        <w:t xml:space="preserve"> → Track A — Compliance track, scored by the assessment rubrics</w:t>
      </w:r>
    </w:p>
    <w:p>
      <w:pPr>
        <w:pStyle w:val="ListBullet"/>
      </w:pPr>
      <w:r>
        <w:rPr>
          <w:b/>
          <w:sz w:val="22"/>
        </w:rPr>
        <w:t>Engineers</w:t>
      </w:r>
      <w:r>
        <w:rPr>
          <w:sz w:val="22"/>
        </w:rPr>
        <w:t xml:space="preserve"> → Track B — Implementation track, with lab environments</w:t>
      </w:r>
    </w:p>
    <w:p>
      <w:pPr>
        <w:pStyle w:val="ListBullet"/>
      </w:pPr>
      <w:r>
        <w:rPr>
          <w:b/>
          <w:sz w:val="22"/>
        </w:rPr>
        <w:t>Everyone</w:t>
      </w:r>
      <w:r>
        <w:rPr>
          <w:sz w:val="22"/>
        </w:rPr>
        <w:t xml:space="preserve"> → Vendor training catalog</w:t>
      </w:r>
    </w:p>
    <w:p>
      <w:r>
        <w:br w:type="page"/>
      </w:r>
    </w:p>
    <w:p>
      <w:pPr>
        <w:pStyle w:val="Heading1"/>
      </w:pPr>
      <w:r>
        <w:rPr>
          <w:color w:val="0D1B2E"/>
        </w:rPr>
        <w:t>AAN Track A — Compliance</w:t>
      </w:r>
    </w:p>
    <w:p>
      <w:r>
        <w:rPr>
          <w:i/>
          <w:color w:val="5A5A5A"/>
          <w:sz w:val="24"/>
        </w:rPr>
        <w:t>The 20-book Federal AAN series as a FedRAMP 20x / NIST SP 800-53 Rev 5 compliance curriculum</w:t>
      </w:r>
    </w:p>
    <w:p>
      <w:r>
        <w:rPr>
          <w:color w:val="1E8C8C"/>
          <w:sz w:val="18"/>
        </w:rPr>
        <w:t>Federal AAN Training Program — companion material for the federal AAN book series; not part of UIAO.</w:t>
      </w:r>
    </w:p>
    <w:p>
      <w:pPr>
        <w:ind w:left="432"/>
        <w:shd w:val="clear" w:fill="F7F9FC"/>
      </w:pPr>
      <w:r>
        <w:rPr>
          <w:i/>
          <w:sz w:val="20"/>
        </w:rPr>
        <w:t xml:space="preserve">Part of the AAN Training Program — </w:t>
      </w:r>
      <w:r>
        <w:rPr>
          <w:b/>
          <w:i/>
          <w:sz w:val="20"/>
        </w:rPr>
        <w:t>companion material for the federal AAN book series, not part of UIAO.</w:t>
      </w:r>
      <w:r>
        <w:rPr>
          <w:i/>
          <w:sz w:val="20"/>
        </w:rPr>
        <w:t xml:space="preserve"> UIAO tooling appears here only because its conformance adapter consumes the books' evidence.</w:t>
      </w:r>
    </w:p>
    <w:p>
      <w:pPr>
        <w:spacing w:before="80" w:after="80"/>
      </w:pPr>
      <w:r>
        <w:rPr>
          <w:b/>
          <w:sz w:val="22"/>
        </w:rPr>
        <w:t>Audience:</w:t>
      </w:r>
      <w:r>
        <w:rPr>
          <w:sz w:val="22"/>
        </w:rPr>
        <w:t xml:space="preserve"> ISSOs / ISSMs, 3PAO assessors, ConMon operators, compliance leads. </w:t>
      </w:r>
      <w:r>
        <w:rPr>
          <w:b/>
          <w:sz w:val="22"/>
        </w:rPr>
        <w:t>Prerequisite:</w:t>
      </w:r>
      <w:r>
        <w:rPr>
          <w:sz w:val="22"/>
        </w:rPr>
        <w:t xml:space="preserve"> none beyond orientation; product-level skills are optional here (they are Track B's job). </w:t>
      </w:r>
      <w:r>
        <w:rPr>
          <w:b/>
          <w:sz w:val="22"/>
        </w:rPr>
        <w:t>Backbone:</w:t>
      </w:r>
      <w:r>
        <w:rPr>
          <w:sz w:val="22"/>
        </w:rPr>
        <w:t xml:space="preserve"> the eight evidence-slot mappings in </w:t>
      </w:r>
      <w:r>
        <w:rPr>
          <w:rFonts w:ascii="Consolas" w:hAnsi="Consolas"/>
          <w:sz w:val="22"/>
        </w:rPr>
        <w:t>fedramp_aan_catalog/mappings/</w:t>
      </w:r>
      <w:r>
        <w:rPr>
          <w:sz w:val="22"/>
        </w:rPr>
        <w:t xml:space="preserve"> &lt;https://github.com/WhalerMike/uiao/tree/main/src/uiao/adapters/fedramp_aan_catalog/mappings&gt; — each module below is one slot, taught from the same YAML the conformance pipeline evaluates.</w:t>
      </w:r>
    </w:p>
    <w:p>
      <w:pPr>
        <w:pStyle w:val="Heading3"/>
      </w:pPr>
      <w:r>
        <w:rPr>
          <w:color w:val="0D1B2E"/>
        </w:rPr>
        <w:t>How to read this track</w:t>
      </w:r>
    </w:p>
    <w:p>
      <w:pPr>
        <w:spacing w:before="80" w:after="80"/>
      </w:pPr>
      <w:r>
        <w:rPr>
          <w:sz w:val="22"/>
        </w:rPr>
        <w:t>Each module gives you four things:</w:t>
      </w:r>
    </w:p>
    <w:p>
      <w:pPr>
        <w:pStyle w:val="ListNumber"/>
      </w:pPr>
      <w:r>
        <w:rPr>
          <w:b/>
          <w:sz w:val="22"/>
        </w:rPr>
        <w:t>Read</w:t>
      </w:r>
      <w:r>
        <w:rPr>
          <w:sz w:val="22"/>
        </w:rPr>
        <w:t xml:space="preserve"> — the AAN book(s) bound to the slot.</w:t>
      </w:r>
    </w:p>
    <w:p>
      <w:pPr>
        <w:pStyle w:val="ListNumber"/>
      </w:pPr>
      <w:r>
        <w:rPr>
          <w:b/>
          <w:sz w:val="22"/>
        </w:rPr>
        <w:t>Controls</w:t>
      </w:r>
      <w:r>
        <w:rPr>
          <w:sz w:val="22"/>
        </w:rPr>
        <w:t xml:space="preserve"> — the NIST SP 800-53 Rev 5 anchor controls the slot closes.</w:t>
      </w:r>
    </w:p>
    <w:p>
      <w:pPr>
        <w:pStyle w:val="ListNumber"/>
      </w:pPr>
      <w:r>
        <w:rPr>
          <w:b/>
          <w:sz w:val="22"/>
        </w:rPr>
        <w:t>Evaluate</w:t>
      </w:r>
      <w:r>
        <w:rPr>
          <w:sz w:val="22"/>
        </w:rPr>
        <w:t xml:space="preserve"> — the FedRAMP 20x KSI category that scores the closure.</w:t>
      </w:r>
    </w:p>
    <w:p>
      <w:pPr>
        <w:pStyle w:val="ListNumber"/>
      </w:pPr>
      <w:r>
        <w:rPr>
          <w:b/>
          <w:sz w:val="22"/>
        </w:rPr>
        <w:t>Checkpoint</w:t>
      </w:r>
      <w:r>
        <w:rPr>
          <w:sz w:val="22"/>
        </w:rPr>
        <w:t xml:space="preserve"> — a concrete artifact or CLI run proving you can trace book → control → KSI → evidence.</w:t>
      </w:r>
    </w:p>
    <w:p>
      <w:pPr>
        <w:spacing w:before="80" w:after="80"/>
      </w:pPr>
      <w:r>
        <w:rPr>
          <w:sz w:val="22"/>
        </w:rPr>
        <w:t>Run the pipeline pieces as you go:</w:t>
      </w:r>
    </w:p>
    <w:p>
      <w:pPr>
        <w:shd w:val="clear" w:fill="F2F4F7"/>
        <w:spacing w:before="0" w:after="0"/>
        <w:ind w:left="360"/>
      </w:pPr>
      <w:r>
        <w:rPr>
          <w:rFonts w:ascii="Consolas" w:hAnsi="Consolas"/>
          <w:sz w:val="18"/>
        </w:rPr>
        <w:t># Plane 2: evaluate an IR file against the KSI rules</w:t>
      </w:r>
    </w:p>
    <w:p>
      <w:pPr>
        <w:shd w:val="clear" w:fill="F2F4F7"/>
        <w:spacing w:before="0" w:after="0"/>
        <w:ind w:left="360"/>
      </w:pPr>
      <w:r>
        <w:rPr>
          <w:rFonts w:ascii="Consolas" w:hAnsi="Consolas"/>
          <w:sz w:val="18"/>
        </w:rPr>
        <w:t>uiao ksi evaluate --ir ./output/ir/tenant.ir.json --out ./output/ksi/tenant.ksi.json</w:t>
      </w:r>
    </w:p>
    <w:p>
      <w:pPr>
        <w:shd w:val="clear" w:fill="F2F4F7"/>
        <w:spacing w:before="0" w:after="0"/>
        <w:ind w:left="360"/>
      </w:pPr>
      <w:r>
        <w:rPr>
          <w:rFonts w:ascii="Consolas" w:hAnsi="Consolas"/>
          <w:sz w:val="18"/>
        </w:rPr>
        <w:t xml:space="preserve"> </w:t>
      </w:r>
    </w:p>
    <w:p>
      <w:pPr>
        <w:shd w:val="clear" w:fill="F2F4F7"/>
        <w:spacing w:before="0" w:after="0"/>
        <w:ind w:left="360"/>
      </w:pPr>
      <w:r>
        <w:rPr>
          <w:rFonts w:ascii="Consolas" w:hAnsi="Consolas"/>
          <w:sz w:val="18"/>
        </w:rPr>
        <w:t># Assessment Results from the AAN slot evidence bindings</w:t>
      </w:r>
    </w:p>
    <w:p>
      <w:pPr>
        <w:shd w:val="clear" w:fill="F2F4F7"/>
        <w:spacing w:before="0" w:after="0"/>
        <w:ind w:left="360"/>
      </w:pPr>
      <w:r>
        <w:rPr>
          <w:rFonts w:ascii="Consolas" w:hAnsi="Consolas"/>
          <w:sz w:val="18"/>
        </w:rPr>
        <w:t># (per-KSI satisfied / not-satisfied / not-evaluated verdicts)</w:t>
      </w:r>
    </w:p>
    <w:p>
      <w:pPr>
        <w:shd w:val="clear" w:fill="F2F4F7"/>
        <w:spacing w:before="0" w:after="0"/>
        <w:ind w:left="360"/>
      </w:pPr>
      <w:r>
        <w:rPr>
          <w:rFonts w:ascii="Consolas" w:hAnsi="Consolas"/>
          <w:sz w:val="18"/>
        </w:rPr>
        <w:t>uiao oscal ksi-ar --output exports/oscal/ksi-ar.json</w:t>
      </w:r>
    </w:p>
    <w:p>
      <w:pPr>
        <w:shd w:val="clear" w:fill="F2F4F7"/>
        <w:spacing w:before="0" w:after="0"/>
        <w:ind w:left="360"/>
      </w:pPr>
      <w:r>
        <w:rPr>
          <w:rFonts w:ascii="Consolas" w:hAnsi="Consolas"/>
          <w:sz w:val="18"/>
        </w:rPr>
        <w:t xml:space="preserve"> </w:t>
      </w:r>
    </w:p>
    <w:p>
      <w:pPr>
        <w:shd w:val="clear" w:fill="F2F4F7"/>
        <w:spacing w:before="0" w:after="0"/>
        <w:ind w:left="360"/>
      </w:pPr>
      <w:r>
        <w:rPr>
          <w:rFonts w:ascii="Consolas" w:hAnsi="Consolas"/>
          <w:sz w:val="18"/>
        </w:rPr>
        <w:t># POA&amp;M + SSP from an evidence bundle</w:t>
      </w:r>
    </w:p>
    <w:p>
      <w:pPr>
        <w:shd w:val="clear" w:fill="F2F4F7"/>
        <w:spacing w:before="0" w:after="0"/>
        <w:ind w:left="360"/>
      </w:pPr>
      <w:r>
        <w:rPr>
          <w:rFonts w:ascii="Consolas" w:hAnsi="Consolas"/>
          <w:sz w:val="18"/>
        </w:rPr>
        <w:t>uiao oscal generate --help</w:t>
      </w:r>
    </w:p>
    <w:p>
      <w:pPr>
        <w:jc w:val="center"/>
      </w:pPr>
      <w:r>
        <w:drawing>
          <wp:inline xmlns:a="http://schemas.openxmlformats.org/drawingml/2006/main" xmlns:pic="http://schemas.openxmlformats.org/drawingml/2006/picture">
            <wp:extent cx="5760720" cy="3240405"/>
            <wp:docPr id="3" name="Picture 3"/>
            <wp:cNvGraphicFramePr>
              <a:graphicFrameLocks noChangeAspect="1"/>
            </wp:cNvGraphicFramePr>
            <a:graphic>
              <a:graphicData uri="http://schemas.openxmlformats.org/drawingml/2006/picture">
                <pic:pic>
                  <pic:nvPicPr>
                    <pic:cNvPr id="0" name="tp-fig-02-slot-book-matrix.png"/>
                    <pic:cNvPicPr/>
                  </pic:nvPicPr>
                  <pic:blipFill>
                    <a:blip r:embed="rId11"/>
                    <a:stretch>
                      <a:fillRect/>
                    </a:stretch>
                  </pic:blipFill>
                  <pic:spPr>
                    <a:xfrm>
                      <a:off x="0" y="0"/>
                      <a:ext cx="5760720" cy="3240405"/>
                    </a:xfrm>
                    <a:prstGeom prst="rect"/>
                  </pic:spPr>
                </pic:pic>
              </a:graphicData>
            </a:graphic>
          </wp:inline>
        </w:drawing>
      </w:r>
    </w:p>
    <w:p>
      <w:pPr>
        <w:jc w:val="center"/>
      </w:pPr>
      <w:r>
        <w:rPr>
          <w:i/>
          <w:color w:val="5A5A5A"/>
          <w:sz w:val="18"/>
        </w:rPr>
        <w:t>Figure 1 — Track A at a glance: the books feeding each of the eight evidence slots, with KSI category and NIST anchor. The footer strip notes all-29-KSI evaluability and the Book 19 submission cadence.</w:t>
      </w:r>
    </w:p>
    <w:p>
      <w:pPr>
        <w:pStyle w:val="Heading3"/>
      </w:pPr>
      <w:r>
        <w:rPr>
          <w:color w:val="0D1B2E"/>
        </w:rPr>
        <w:t>Module A0 — Orientation: the compliance shape of the corpus</w:t>
      </w:r>
    </w:p>
    <w:p>
      <w:pPr>
        <w:pStyle w:val="ListBullet"/>
      </w:pPr>
      <w:r>
        <w:rPr>
          <w:b/>
          <w:sz w:val="22"/>
        </w:rPr>
        <w:t>Read:</w:t>
      </w:r>
      <w:r>
        <w:rPr>
          <w:sz w:val="22"/>
        </w:rPr>
        <w:t xml:space="preserve"> Book 00 (Executive Summary) and the Federal AAN / ConMon Compliance Gap Roadmap &lt;https://github.com/WhalerMike/uiao/blob/main/inbox/Application%20Aware%20Networking/federal-aan-conmon-gap-roadmap.md&gt;.</w:t>
      </w:r>
    </w:p>
    <w:p>
      <w:pPr>
        <w:pStyle w:val="ListBullet"/>
      </w:pPr>
      <w:r>
        <w:rPr>
          <w:b/>
          <w:sz w:val="22"/>
        </w:rPr>
        <w:t>Learn:</w:t>
      </w:r>
      <w:r>
        <w:rPr>
          <w:sz w:val="22"/>
        </w:rPr>
        <w:t xml:space="preserve"> the FedRAMP 20x timeline (Class A window opened August 2026; 20x mandatory for new authorizations January 2027), the BOD 26-04 VDR/VER deadline (December 7, 2026), and the split between the </w:t>
      </w:r>
      <w:r>
        <w:rPr>
          <w:b/>
          <w:sz w:val="22"/>
        </w:rPr>
        <w:t>evidence generation layer</w:t>
      </w:r>
      <w:r>
        <w:rPr>
          <w:sz w:val="22"/>
        </w:rPr>
        <w:t xml:space="preserve"> (the books) and the </w:t>
      </w:r>
      <w:r>
        <w:rPr>
          <w:b/>
          <w:sz w:val="22"/>
        </w:rPr>
        <w:t>evidence governance layer</w:t>
      </w:r>
      <w:r>
        <w:rPr>
          <w:sz w:val="22"/>
        </w:rPr>
        <w:t xml:space="preserve"> (the conformance adapter / OSCAL emitter).</w:t>
      </w:r>
    </w:p>
    <w:p>
      <w:pPr>
        <w:pStyle w:val="ListBullet"/>
      </w:pPr>
      <w:r>
        <w:rPr>
          <w:b/>
          <w:sz w:val="22"/>
        </w:rPr>
        <w:t>Checkpoint:</w:t>
      </w:r>
      <w:r>
        <w:rPr>
          <w:sz w:val="22"/>
        </w:rPr>
        <w:t xml:space="preserve"> write a one-page brief stating which control families the corpus closes today, which were structurally absent until Books 15–18 (SR, PM, PT, AT), and how Book 19 assembles the AP/AR/POA&amp;M package now that all 29 CR26 KSIs are evaluable.</w:t>
      </w:r>
    </w:p>
    <w:p>
      <w:pPr>
        <w:pStyle w:val="Heading3"/>
      </w:pPr>
      <w:r>
        <w:rPr>
          <w:color w:val="0D1B2E"/>
        </w:rPr>
        <w:t>Module A1 — Identity control plane (slot 1)</w:t>
      </w:r>
    </w:p>
    <w:p>
      <w:pPr>
        <w:pStyle w:val="ListBullet"/>
      </w:pPr>
      <w:r>
        <w:rPr>
          <w:b/>
          <w:sz w:val="22"/>
        </w:rPr>
        <w:t>Read:</w:t>
      </w:r>
      <w:r>
        <w:rPr>
          <w:sz w:val="22"/>
        </w:rPr>
        <w:t xml:space="preserve"> Book 03 (Certificates, Tokens &amp; Cryptographic Identity), Book 04 (HRIT Identity &amp; Organizational SSOT), Book 06 (Entra ID, ZTNA, Active Governance), Book 07 (SQL Server Authentication Modernization), Book 10 (Privileged Access Management). Book 08 is the procedural companion to Book 07. Books 03 and 04 both bind slot-01 by their own statements: Book 03 supplies the cryptographic credential layer (IA-5(2), SC-12/SC-17), Book 04 the authoritative lifecycle source (AC-2, PS-4/PS-5, IA-4).</w:t>
      </w:r>
    </w:p>
    <w:p>
      <w:pPr>
        <w:pStyle w:val="ListBullet"/>
      </w:pPr>
      <w:r>
        <w:rPr>
          <w:b/>
          <w:sz w:val="22"/>
        </w:rPr>
        <w:t>Controls:</w:t>
      </w:r>
      <w:r>
        <w:rPr>
          <w:sz w:val="22"/>
        </w:rPr>
        <w:t xml:space="preserve"> IA-2 (+enhancements 1, 2, 11), IA-5, IA-11, AC-2 (+1), AC-3, AC-5, AC-6 family, AC-17, CA-7.</w:t>
      </w:r>
    </w:p>
    <w:p>
      <w:pPr>
        <w:pStyle w:val="ListBullet"/>
      </w:pPr>
      <w:r>
        <w:rPr>
          <w:b/>
          <w:sz w:val="22"/>
        </w:rPr>
        <w:t>Evaluate:</w:t>
      </w:r>
      <w:r>
        <w:rPr>
          <w:sz w:val="22"/>
        </w:rPr>
        <w:t xml:space="preserve"> </w:t>
      </w:r>
      <w:r>
        <w:rPr>
          <w:b/>
          <w:sz w:val="22"/>
        </w:rPr>
        <w:t>KSI-IAM</w:t>
      </w:r>
      <w:r>
        <w:rPr>
          <w:sz w:val="22"/>
        </w:rPr>
        <w:t xml:space="preserve"> — anchor </w:t>
      </w:r>
      <w:r>
        <w:rPr>
          <w:rFonts w:ascii="Consolas" w:hAnsi="Consolas"/>
          <w:sz w:val="22"/>
        </w:rPr>
        <w:t>IA-2 / AC-2</w:t>
      </w:r>
      <w:r>
        <w:rPr>
          <w:sz w:val="22"/>
        </w:rPr>
        <w:t>; evidence source: identity-provider sign-in and risk logs.</w:t>
      </w:r>
    </w:p>
    <w:p>
      <w:pPr>
        <w:pStyle w:val="ListBullet"/>
      </w:pPr>
      <w:r>
        <w:rPr>
          <w:b/>
          <w:sz w:val="22"/>
        </w:rPr>
        <w:t>Checkpoint:</w:t>
      </w:r>
      <w:r>
        <w:rPr>
          <w:sz w:val="22"/>
        </w:rPr>
        <w:t xml:space="preserve"> for one privileged role, trace the full chain: Book 10's PIM design → AC-6 enhancement it closes → KSI-IAM rule that scores it → the sign-in/audit log evidence the collector ingests.</w:t>
      </w:r>
    </w:p>
    <w:p>
      <w:pPr>
        <w:pStyle w:val="Heading3"/>
      </w:pPr>
      <w:r>
        <w:rPr>
          <w:color w:val="0D1B2E"/>
        </w:rPr>
        <w:t>Module A2 — Addressing control plane (slot 2)</w:t>
      </w:r>
    </w:p>
    <w:p>
      <w:pPr>
        <w:pStyle w:val="ListBullet"/>
      </w:pPr>
      <w:r>
        <w:rPr>
          <w:b/>
          <w:sz w:val="22"/>
        </w:rPr>
        <w:t>Read:</w:t>
      </w:r>
      <w:r>
        <w:rPr>
          <w:sz w:val="22"/>
        </w:rPr>
        <w:t xml:space="preserve"> Book 01 (SSA Landing Zone, IPAM &amp; FedRAMP) — Infoblox DDI: IPAM, DNS, DHCP, PKI.</w:t>
      </w:r>
    </w:p>
    <w:p>
      <w:pPr>
        <w:pStyle w:val="ListBullet"/>
      </w:pPr>
      <w:r>
        <w:rPr>
          <w:b/>
          <w:sz w:val="22"/>
        </w:rPr>
        <w:t>Controls:</w:t>
      </w:r>
      <w:r>
        <w:rPr>
          <w:sz w:val="22"/>
        </w:rPr>
        <w:t xml:space="preserve"> CM-8, AC-4 anchors; Book 01 closes 16 controls per the gap roadmap.</w:t>
      </w:r>
    </w:p>
    <w:p>
      <w:pPr>
        <w:pStyle w:val="ListBullet"/>
      </w:pPr>
      <w:r>
        <w:rPr>
          <w:b/>
          <w:sz w:val="22"/>
        </w:rPr>
        <w:t>Evaluate:</w:t>
      </w:r>
      <w:r>
        <w:rPr>
          <w:sz w:val="22"/>
        </w:rPr>
        <w:t xml:space="preserve"> </w:t>
      </w:r>
      <w:r>
        <w:rPr>
          <w:b/>
          <w:sz w:val="22"/>
        </w:rPr>
        <w:t>KSI-PIY</w:t>
      </w:r>
      <w:r>
        <w:rPr>
          <w:sz w:val="22"/>
        </w:rPr>
        <w:t xml:space="preserve"> (addressing inventory evidence).</w:t>
      </w:r>
    </w:p>
    <w:p>
      <w:pPr>
        <w:pStyle w:val="ListBullet"/>
      </w:pPr>
      <w:r>
        <w:rPr>
          <w:b/>
          <w:sz w:val="22"/>
        </w:rPr>
        <w:t>Checkpoint:</w:t>
      </w:r>
      <w:r>
        <w:rPr>
          <w:sz w:val="22"/>
        </w:rPr>
        <w:t xml:space="preserve"> produce the address-inventory evidence statement: what the DDI platform attests (authoritative IPAM inventory), which CM-8 requirements that satisfies, and where the evidence lands in the slot-02 mapping.</w:t>
      </w:r>
    </w:p>
    <w:p>
      <w:pPr>
        <w:pStyle w:val="Heading3"/>
      </w:pPr>
      <w:r>
        <w:rPr>
          <w:color w:val="0D1B2E"/>
        </w:rPr>
        <w:t>Module A3 — Network control plane (slot 3)</w:t>
      </w:r>
    </w:p>
    <w:p>
      <w:pPr>
        <w:pStyle w:val="ListBullet"/>
      </w:pPr>
      <w:r>
        <w:rPr>
          <w:b/>
          <w:sz w:val="22"/>
        </w:rPr>
        <w:t>Read:</w:t>
      </w:r>
      <w:r>
        <w:rPr>
          <w:sz w:val="22"/>
        </w:rPr>
        <w:t xml:space="preserve"> Book 05 (Network Modernization — SD-WAN, SASE, UC) and Book 09 (Database Consolidation &amp; Network Physics).</w:t>
      </w:r>
    </w:p>
    <w:p>
      <w:pPr>
        <w:pStyle w:val="ListBullet"/>
      </w:pPr>
      <w:r>
        <w:rPr>
          <w:b/>
          <w:sz w:val="22"/>
        </w:rPr>
        <w:t>Controls:</w:t>
      </w:r>
      <w:r>
        <w:rPr>
          <w:sz w:val="22"/>
        </w:rPr>
        <w:t xml:space="preserve"> SC-8, CA-7 anchors; SC/SI depth from Book 09.</w:t>
      </w:r>
    </w:p>
    <w:p>
      <w:pPr>
        <w:pStyle w:val="ListBullet"/>
      </w:pPr>
      <w:r>
        <w:rPr>
          <w:b/>
          <w:sz w:val="22"/>
        </w:rPr>
        <w:t>Evaluate:</w:t>
      </w:r>
      <w:r>
        <w:rPr>
          <w:sz w:val="22"/>
        </w:rPr>
        <w:t xml:space="preserve"> </w:t>
      </w:r>
      <w:r>
        <w:rPr>
          <w:b/>
          <w:sz w:val="22"/>
        </w:rPr>
        <w:t>KSI-CNA</w:t>
      </w:r>
      <w:r>
        <w:rPr>
          <w:sz w:val="22"/>
        </w:rPr>
        <w:t xml:space="preserve"> (network architecture evidence).</w:t>
      </w:r>
    </w:p>
    <w:p>
      <w:pPr>
        <w:pStyle w:val="ListBullet"/>
      </w:pPr>
      <w:r>
        <w:rPr>
          <w:b/>
          <w:sz w:val="22"/>
        </w:rPr>
        <w:t>Checkpoint:</w:t>
      </w:r>
      <w:r>
        <w:rPr>
          <w:sz w:val="22"/>
        </w:rPr>
        <w:t xml:space="preserve"> map one application-aware path policy (SD-WAN/SASE) to SC-8 transmission protection and show which continuous-monitoring signal (CA-7) proves it stays enforced.</w:t>
      </w:r>
    </w:p>
    <w:p>
      <w:pPr>
        <w:pStyle w:val="Heading3"/>
      </w:pPr>
      <w:r>
        <w:rPr>
          <w:color w:val="0D1B2E"/>
        </w:rPr>
        <w:t>Module A4 — Telemetry control plane (slot 4)</w:t>
      </w:r>
    </w:p>
    <w:p>
      <w:pPr>
        <w:pStyle w:val="ListBullet"/>
      </w:pPr>
      <w:r>
        <w:rPr>
          <w:b/>
          <w:sz w:val="22"/>
        </w:rPr>
        <w:t>Read:</w:t>
      </w:r>
      <w:r>
        <w:rPr>
          <w:sz w:val="22"/>
        </w:rPr>
        <w:t xml:space="preserve"> Book 11 (Vulnerability Management — Defender VM + KEV), Book 12 (Data Protection — Purview + Key Vault CMK), Book 13 (SIEM / XDR Detection — Sentinel).</w:t>
      </w:r>
    </w:p>
    <w:p>
      <w:pPr>
        <w:pStyle w:val="ListBullet"/>
      </w:pPr>
      <w:r>
        <w:rPr>
          <w:b/>
          <w:sz w:val="22"/>
        </w:rPr>
        <w:t>Controls:</w:t>
      </w:r>
      <w:r>
        <w:rPr>
          <w:sz w:val="22"/>
        </w:rPr>
        <w:t xml:space="preserve"> CA-7, SI-4 anchors; RA-5 family, SI-2, AU-6/7/8/11, IR-4/6/8.</w:t>
      </w:r>
    </w:p>
    <w:p>
      <w:pPr>
        <w:pStyle w:val="ListBullet"/>
      </w:pPr>
      <w:r>
        <w:rPr>
          <w:b/>
          <w:sz w:val="22"/>
        </w:rPr>
        <w:t>Evaluate:</w:t>
      </w:r>
      <w:r>
        <w:rPr>
          <w:sz w:val="22"/>
        </w:rPr>
        <w:t xml:space="preserve"> </w:t>
      </w:r>
      <w:r>
        <w:rPr>
          <w:b/>
          <w:sz w:val="22"/>
        </w:rPr>
        <w:t>KSI-MLA</w:t>
      </w:r>
      <w:r>
        <w:rPr>
          <w:sz w:val="22"/>
        </w:rPr>
        <w:t xml:space="preserve"> (monitoring / logging / audit evidence).</w:t>
      </w:r>
    </w:p>
    <w:p>
      <w:pPr>
        <w:pStyle w:val="ListBullet"/>
      </w:pPr>
      <w:r>
        <w:rPr>
          <w:b/>
          <w:sz w:val="22"/>
        </w:rPr>
        <w:t>Checkpoint:</w:t>
      </w:r>
      <w:r>
        <w:rPr>
          <w:sz w:val="22"/>
        </w:rPr>
        <w:t xml:space="preserve"> pick one KEV-listed CVE scenario and trace: Defender VM finding (Book 11) → Sentinel analytic + incident (Book 13) → the SI-4 / RA-5 closure statement, with the audit-retention argument from AU-11.</w:t>
      </w:r>
    </w:p>
    <w:p>
      <w:pPr>
        <w:pStyle w:val="Heading3"/>
      </w:pPr>
      <w:r>
        <w:rPr>
          <w:color w:val="0D1B2E"/>
        </w:rPr>
        <w:t>Module A5 — Endpoint control plane (slot 5)</w:t>
      </w:r>
    </w:p>
    <w:p>
      <w:pPr>
        <w:pStyle w:val="ListBullet"/>
      </w:pPr>
      <w:r>
        <w:rPr>
          <w:b/>
          <w:sz w:val="22"/>
        </w:rPr>
        <w:t>Read:</w:t>
      </w:r>
      <w:r>
        <w:rPr>
          <w:sz w:val="22"/>
        </w:rPr>
        <w:t xml:space="preserve"> Book 02 (Network Access Control — 802.1X), Book 10 (PAW sections), Book 11 (endpoint assessment surface), Book 17 (PII Processing &amp; Transparency). Book 02 is the device-identity-at-the-port surface (IA-3, CM-8); its slot binding is pending the adapter mapping refresh.</w:t>
      </w:r>
    </w:p>
    <w:p>
      <w:pPr>
        <w:pStyle w:val="ListBullet"/>
      </w:pPr>
      <w:r>
        <w:rPr>
          <w:b/>
          <w:sz w:val="22"/>
        </w:rPr>
        <w:t>Controls:</w:t>
      </w:r>
      <w:r>
        <w:rPr>
          <w:sz w:val="22"/>
        </w:rPr>
        <w:t xml:space="preserve"> CM-8, IA-3 anchors; PT family entry points from Book 17.</w:t>
      </w:r>
    </w:p>
    <w:p>
      <w:pPr>
        <w:pStyle w:val="ListBullet"/>
      </w:pPr>
      <w:r>
        <w:rPr>
          <w:b/>
          <w:sz w:val="22"/>
        </w:rPr>
        <w:t>Evaluate:</w:t>
      </w:r>
      <w:r>
        <w:rPr>
          <w:sz w:val="22"/>
        </w:rPr>
        <w:t xml:space="preserve"> </w:t>
      </w:r>
      <w:r>
        <w:rPr>
          <w:b/>
          <w:sz w:val="22"/>
        </w:rPr>
        <w:t>KSI-PIY</w:t>
      </w:r>
      <w:r>
        <w:rPr>
          <w:sz w:val="22"/>
        </w:rPr>
        <w:t xml:space="preserve"> (endpoint inventory evidence).</w:t>
      </w:r>
    </w:p>
    <w:p>
      <w:pPr>
        <w:pStyle w:val="ListBullet"/>
      </w:pPr>
      <w:r>
        <w:rPr>
          <w:b/>
          <w:sz w:val="22"/>
        </w:rPr>
        <w:t>Checkpoint:</w:t>
      </w:r>
      <w:r>
        <w:rPr>
          <w:sz w:val="22"/>
        </w:rPr>
        <w:t xml:space="preserve"> write the endpoint-inventory evidence statement covering device identity (IA-3), inventory completeness (CM-8), and where PII-handling endpoints get the Book 17 transparency treatment.</w:t>
      </w:r>
    </w:p>
    <w:p>
      <w:pPr>
        <w:pStyle w:val="Heading3"/>
      </w:pPr>
      <w:r>
        <w:rPr>
          <w:color w:val="0D1B2E"/>
        </w:rPr>
        <w:t>Module A6 — Security configuration &amp; change control plane (slot 6)</w:t>
      </w:r>
    </w:p>
    <w:p>
      <w:pPr>
        <w:pStyle w:val="ListBullet"/>
      </w:pPr>
      <w:r>
        <w:rPr>
          <w:b/>
          <w:sz w:val="22"/>
        </w:rPr>
        <w:t>Read:</w:t>
      </w:r>
      <w:r>
        <w:rPr>
          <w:sz w:val="22"/>
        </w:rPr>
        <w:t xml:space="preserve"> Book 11 (secure configuration surface), Book 13 (detection as change evidence), Book 15 (Supply Chain Risk Management), Book 16 (Program Management &amp; Governance).</w:t>
      </w:r>
    </w:p>
    <w:p>
      <w:pPr>
        <w:pStyle w:val="ListBullet"/>
      </w:pPr>
      <w:r>
        <w:rPr>
          <w:b/>
          <w:sz w:val="22"/>
        </w:rPr>
        <w:t>Controls:</w:t>
      </w:r>
      <w:r>
        <w:rPr>
          <w:sz w:val="22"/>
        </w:rPr>
        <w:t xml:space="preserve"> CM-2, AC-4 anchors; SR-1/2/3/5/6/8/10/11 from Book 15; PM family from Book 16.</w:t>
      </w:r>
    </w:p>
    <w:p>
      <w:pPr>
        <w:pStyle w:val="ListBullet"/>
      </w:pPr>
      <w:r>
        <w:rPr>
          <w:b/>
          <w:sz w:val="22"/>
        </w:rPr>
        <w:t>Evaluate:</w:t>
      </w:r>
      <w:r>
        <w:rPr>
          <w:sz w:val="22"/>
        </w:rPr>
        <w:t xml:space="preserve"> </w:t>
      </w:r>
      <w:r>
        <w:rPr>
          <w:b/>
          <w:sz w:val="22"/>
        </w:rPr>
        <w:t>KSI-CMT</w:t>
      </w:r>
      <w:r>
        <w:rPr>
          <w:sz w:val="22"/>
        </w:rPr>
        <w:t xml:space="preserve"> (configuration / change-management evidence); KSI-011–014 were activated by the Book 15 SBOM/VDR/VER evidence contract — the BOD 26-04 submission (December 7, 2026) remains the operational cadence Book 19 runs.</w:t>
      </w:r>
    </w:p>
    <w:p>
      <w:pPr>
        <w:pStyle w:val="ListBullet"/>
      </w:pPr>
      <w:r>
        <w:rPr>
          <w:b/>
          <w:sz w:val="22"/>
        </w:rPr>
        <w:t>Checkpoint:</w:t>
      </w:r>
      <w:r>
        <w:rPr>
          <w:sz w:val="22"/>
        </w:rPr>
        <w:t xml:space="preserve"> state the BOD 26-04 submission story: which SBOM artifacts Book 15 requires, which KSI rules they activated, and how the Book 19 ConMon calendar keeps that evidence fresh.</w:t>
      </w:r>
    </w:p>
    <w:p>
      <w:pPr>
        <w:pStyle w:val="Heading3"/>
      </w:pPr>
      <w:r>
        <w:rPr>
          <w:color w:val="0D1B2E"/>
        </w:rPr>
        <w:t>Module A7 — Continuity control plane (slot 7)</w:t>
      </w:r>
    </w:p>
    <w:p>
      <w:pPr>
        <w:pStyle w:val="ListBullet"/>
      </w:pPr>
      <w:r>
        <w:rPr>
          <w:b/>
          <w:sz w:val="22"/>
        </w:rPr>
        <w:t>Read:</w:t>
      </w:r>
      <w:r>
        <w:rPr>
          <w:sz w:val="22"/>
        </w:rPr>
        <w:t xml:space="preserve"> Book 14 (Business Continuity).</w:t>
      </w:r>
    </w:p>
    <w:p>
      <w:pPr>
        <w:pStyle w:val="ListBullet"/>
      </w:pPr>
      <w:r>
        <w:rPr>
          <w:b/>
          <w:sz w:val="22"/>
        </w:rPr>
        <w:t>Controls:</w:t>
      </w:r>
      <w:r>
        <w:rPr>
          <w:sz w:val="22"/>
        </w:rPr>
        <w:t xml:space="preserve"> CP-2 (+3 enhancements), CP-3, CP-4 (+2), CP-6, CP-7 (+3), CP-8 (+2).</w:t>
      </w:r>
    </w:p>
    <w:p>
      <w:pPr>
        <w:pStyle w:val="ListBullet"/>
      </w:pPr>
      <w:r>
        <w:rPr>
          <w:b/>
          <w:sz w:val="22"/>
        </w:rPr>
        <w:t>Evaluate:</w:t>
      </w:r>
      <w:r>
        <w:rPr>
          <w:sz w:val="22"/>
        </w:rPr>
        <w:t xml:space="preserve"> </w:t>
      </w:r>
      <w:r>
        <w:rPr>
          <w:b/>
          <w:sz w:val="22"/>
        </w:rPr>
        <w:t>KSI-RPL</w:t>
      </w:r>
      <w:r>
        <w:rPr>
          <w:sz w:val="22"/>
        </w:rPr>
        <w:t xml:space="preserve"> (recovery / resilience evidence).</w:t>
      </w:r>
    </w:p>
    <w:p>
      <w:pPr>
        <w:pStyle w:val="ListBullet"/>
      </w:pPr>
      <w:r>
        <w:rPr>
          <w:b/>
          <w:sz w:val="22"/>
        </w:rPr>
        <w:t>Checkpoint:</w:t>
      </w:r>
      <w:r>
        <w:rPr>
          <w:sz w:val="22"/>
        </w:rPr>
        <w:t xml:space="preserve"> map one contingency-test exercise to CP-4 and show the slot-07 continuity binding that carries it into the KSI evaluation.</w:t>
      </w:r>
    </w:p>
    <w:p>
      <w:pPr>
        <w:pStyle w:val="Heading3"/>
      </w:pPr>
      <w:r>
        <w:rPr>
          <w:color w:val="0D1B2E"/>
        </w:rPr>
        <w:t>Module A8 — Training control plane (slot 8)</w:t>
      </w:r>
    </w:p>
    <w:p>
      <w:pPr>
        <w:pStyle w:val="ListBullet"/>
      </w:pPr>
      <w:r>
        <w:rPr>
          <w:b/>
          <w:sz w:val="22"/>
        </w:rPr>
        <w:t>Read:</w:t>
      </w:r>
      <w:r>
        <w:rPr>
          <w:sz w:val="22"/>
        </w:rPr>
        <w:t xml:space="preserve"> Book 18 (Cybersecurity Training &amp; Awareness). Book 19's freshness rules and ConMon calendar are the operating context.</w:t>
      </w:r>
    </w:p>
    <w:p>
      <w:pPr>
        <w:pStyle w:val="ListBullet"/>
      </w:pPr>
      <w:r>
        <w:rPr>
          <w:b/>
          <w:sz w:val="22"/>
        </w:rPr>
        <w:t>Controls:</w:t>
      </w:r>
      <w:r>
        <w:rPr>
          <w:sz w:val="22"/>
        </w:rPr>
        <w:t xml:space="preserve"> AT-2 (+1, +2), AT-3 (+3, +5), AT-4, CP-3, IR-2; SA-16 for secure-delivery training.</w:t>
      </w:r>
    </w:p>
    <w:p>
      <w:pPr>
        <w:pStyle w:val="ListBullet"/>
      </w:pPr>
      <w:r>
        <w:rPr>
          <w:b/>
          <w:sz w:val="22"/>
        </w:rPr>
        <w:t>Evaluate:</w:t>
      </w:r>
      <w:r>
        <w:rPr>
          <w:sz w:val="22"/>
        </w:rPr>
        <w:t xml:space="preserve"> </w:t>
      </w:r>
      <w:r>
        <w:rPr>
          <w:b/>
          <w:sz w:val="22"/>
        </w:rPr>
        <w:t>KSI-CED</w:t>
      </w:r>
      <w:r>
        <w:rPr>
          <w:sz w:val="22"/>
        </w:rPr>
        <w:t xml:space="preserve"> — KSI-CED-RAT (KSI-022), the last CR26 rule to activate; evidence source: the machine-readable </w:t>
      </w:r>
      <w:r>
        <w:rPr>
          <w:rFonts w:ascii="Consolas" w:hAnsi="Consolas"/>
          <w:sz w:val="22"/>
        </w:rPr>
        <w:t>training-effectiveness-record</w:t>
      </w:r>
      <w:r>
        <w:rPr>
          <w:sz w:val="22"/>
        </w:rPr>
        <w:t xml:space="preserve"> JSON exported monthly from the LMS.</w:t>
      </w:r>
    </w:p>
    <w:p>
      <w:pPr>
        <w:pStyle w:val="ListBullet"/>
      </w:pPr>
      <w:r>
        <w:rPr>
          <w:b/>
          <w:sz w:val="22"/>
        </w:rPr>
        <w:t>Checkpoint:</w:t>
      </w:r>
      <w:r>
        <w:rPr>
          <w:sz w:val="22"/>
        </w:rPr>
        <w:t xml:space="preserve"> trace one role tier through the four training dimensions: the AT-3 matrix row → the completion thresholds (≥95%) → the JSON record fields that carry it → the KSI-022 PASS logic.</w:t>
      </w:r>
    </w:p>
    <w:p>
      <w:pPr>
        <w:pStyle w:val="Heading3"/>
      </w:pPr>
      <w:r>
        <w:rPr>
          <w:color w:val="0D1B2E"/>
        </w:rPr>
        <w:t>Capstone — the eight-slot walk</w:t>
      </w:r>
    </w:p>
    <w:p>
      <w:pPr>
        <w:spacing w:before="80" w:after="80"/>
      </w:pPr>
      <w:r>
        <w:rPr>
          <w:sz w:val="22"/>
        </w:rPr>
        <w:t xml:space="preserve">Produce a single document (or an annotated </w:t>
      </w:r>
      <w:r>
        <w:rPr>
          <w:rFonts w:ascii="Consolas" w:hAnsi="Consolas"/>
          <w:sz w:val="22"/>
        </w:rPr>
        <w:t>uiao oscal ksi-ar</w:t>
      </w:r>
      <w:r>
        <w:rPr>
          <w:sz w:val="22"/>
        </w:rPr>
        <w:t xml:space="preserve"> export) that, for </w:t>
      </w:r>
      <w:r>
        <w:rPr>
          <w:b/>
          <w:sz w:val="22"/>
        </w:rPr>
        <w:t>all eight slots</w:t>
      </w:r>
      <w:r>
        <w:rPr>
          <w:sz w:val="22"/>
        </w:rPr>
        <w:t>:</w:t>
      </w:r>
    </w:p>
    <w:p>
      <w:pPr>
        <w:pStyle w:val="ListNumber"/>
      </w:pPr>
      <w:r>
        <w:rPr>
          <w:sz w:val="22"/>
        </w:rPr>
        <w:t>names the feeding books,</w:t>
      </w:r>
    </w:p>
    <w:p>
      <w:pPr>
        <w:pStyle w:val="ListNumber"/>
      </w:pPr>
      <w:r>
        <w:rPr>
          <w:sz w:val="22"/>
        </w:rPr>
        <w:t>lists the anchor controls and the closure status,</w:t>
      </w:r>
    </w:p>
    <w:p>
      <w:pPr>
        <w:pStyle w:val="ListNumber"/>
      </w:pPr>
      <w:r>
        <w:rPr>
          <w:sz w:val="22"/>
        </w:rPr>
        <w:t xml:space="preserve">shows the per-KSI verdict (satisfied / not-satisfied / not-evaluated) from a real </w:t>
      </w:r>
      <w:r>
        <w:rPr>
          <w:rFonts w:ascii="Consolas" w:hAnsi="Consolas"/>
          <w:sz w:val="22"/>
        </w:rPr>
        <w:t>uiao oscal ksi-ar</w:t>
      </w:r>
      <w:r>
        <w:rPr>
          <w:sz w:val="22"/>
        </w:rPr>
        <w:t xml:space="preserve"> run, and</w:t>
      </w:r>
    </w:p>
    <w:p>
      <w:pPr>
        <w:pStyle w:val="ListNumber"/>
      </w:pPr>
      <w:r>
        <w:rPr>
          <w:sz w:val="22"/>
        </w:rPr>
        <w:t>states the gap and its deadline for anything not-evaluated or stale (Book 19 defines per-slot evidence freshness rules).</w:t>
      </w:r>
    </w:p>
    <w:p>
      <w:pPr>
        <w:spacing w:before="80" w:after="80"/>
      </w:pPr>
      <w:r>
        <w:rPr>
          <w:sz w:val="22"/>
        </w:rPr>
        <w:t>That document is the Track A completion artifact — it is, deliberately, the skeleton of a ConMon narrative an assessor could read. Score it against the assessment rubrics: pass = every slot at level 2+, at least three slots assessor-ready (level 3).</w:t>
      </w:r>
    </w:p>
    <w:p>
      <w:pPr>
        <w:pStyle w:val="Heading3"/>
      </w:pPr>
      <w:r>
        <w:rPr>
          <w:color w:val="0D1B2E"/>
        </w:rPr>
        <w:t>Where to go deeper</w:t>
      </w:r>
    </w:p>
    <w:p>
      <w:pPr>
        <w:pStyle w:val="ListBullet"/>
      </w:pPr>
      <w:r>
        <w:rPr>
          <w:sz w:val="22"/>
        </w:rPr>
        <w:t xml:space="preserve">Product-level skills for the evidence sources (Entra, Sentinel, Purview, Defender, Infoblox): Vendor training catalog — see the </w:t>
      </w:r>
      <w:r>
        <w:rPr>
          <w:i/>
          <w:sz w:val="22"/>
        </w:rPr>
        <w:t>Federal &amp; compliance</w:t>
      </w:r>
      <w:r>
        <w:rPr>
          <w:sz w:val="22"/>
        </w:rPr>
        <w:t xml:space="preserve"> section for CISA Learning, FedRAMP PMO resources, and NIST NICE.</w:t>
      </w:r>
    </w:p>
    <w:p>
      <w:pPr>
        <w:pStyle w:val="ListBullet"/>
      </w:pPr>
      <w:r>
        <w:rPr>
          <w:sz w:val="22"/>
        </w:rPr>
        <w:t>The engineering counterpart of every module here: Track B — Implementation.</w:t>
      </w:r>
    </w:p>
    <w:p>
      <w:r>
        <w:br w:type="page"/>
      </w:r>
    </w:p>
    <w:p>
      <w:pPr>
        <w:pStyle w:val="Heading1"/>
      </w:pPr>
      <w:r>
        <w:rPr>
          <w:color w:val="0D1B2E"/>
        </w:rPr>
        <w:t>AAN Track B — Implementation</w:t>
      </w:r>
    </w:p>
    <w:p>
      <w:r>
        <w:rPr>
          <w:i/>
          <w:color w:val="5A5A5A"/>
          <w:sz w:val="24"/>
        </w:rPr>
        <w:t>Building the architectures the 20 AAN books describe, and producing the evidence Track A consumes</w:t>
      </w:r>
    </w:p>
    <w:p>
      <w:r>
        <w:rPr>
          <w:color w:val="1E8C8C"/>
          <w:sz w:val="18"/>
        </w:rPr>
        <w:t>Federal AAN Training Program — companion material for the federal AAN book series; not part of UIAO.</w:t>
      </w:r>
    </w:p>
    <w:p>
      <w:pPr>
        <w:ind w:left="432"/>
        <w:shd w:val="clear" w:fill="F7F9FC"/>
      </w:pPr>
      <w:r>
        <w:rPr>
          <w:i/>
          <w:sz w:val="20"/>
        </w:rPr>
        <w:t xml:space="preserve">Part of the AAN Training Program — </w:t>
      </w:r>
      <w:r>
        <w:rPr>
          <w:b/>
          <w:i/>
          <w:sz w:val="20"/>
        </w:rPr>
        <w:t>companion material for the federal AAN book series, not part of UIAO.</w:t>
      </w:r>
      <w:r>
        <w:rPr>
          <w:i/>
          <w:sz w:val="20"/>
        </w:rPr>
        <w:t xml:space="preserve"> UIAO tooling appears here only because its conformance adapter consumes the books' evidence.</w:t>
      </w:r>
    </w:p>
    <w:p>
      <w:pPr>
        <w:spacing w:before="80" w:after="80"/>
      </w:pPr>
      <w:r>
        <w:rPr>
          <w:b/>
          <w:sz w:val="22"/>
        </w:rPr>
        <w:t>Audience:</w:t>
      </w:r>
      <w:r>
        <w:rPr>
          <w:sz w:val="22"/>
        </w:rPr>
        <w:t xml:space="preserve"> network, platform, database, identity, and security engineers. </w:t>
      </w:r>
      <w:r>
        <w:rPr>
          <w:b/>
          <w:sz w:val="22"/>
        </w:rPr>
        <w:t>Prerequisite:</w:t>
      </w:r>
      <w:r>
        <w:rPr>
          <w:sz w:val="22"/>
        </w:rPr>
        <w:t xml:space="preserve"> Module A0 (orientation) from the compliance track — you need the FedRAMP 20x timeline and the evidence-slot model in your head before you build, because every build here ends by </w:t>
      </w:r>
      <w:r>
        <w:rPr>
          <w:b/>
          <w:sz w:val="22"/>
        </w:rPr>
        <w:t>landing evidence</w:t>
      </w:r>
      <w:r>
        <w:rPr>
          <w:sz w:val="22"/>
        </w:rPr>
        <w:t xml:space="preserve">, not just by working. </w:t>
      </w:r>
      <w:r>
        <w:rPr>
          <w:b/>
          <w:sz w:val="22"/>
        </w:rPr>
        <w:t>Companion:</w:t>
      </w:r>
      <w:r>
        <w:rPr>
          <w:sz w:val="22"/>
        </w:rPr>
        <w:t xml:space="preserve"> each module lists the matching external courses from the vendor training catalog, and the lab environments hub provides scripted setups (fixture, trial-tenant, and product-eval tiers) for the labs below.</w:t>
      </w:r>
    </w:p>
    <w:p>
      <w:pPr>
        <w:pStyle w:val="Heading3"/>
      </w:pPr>
      <w:r>
        <w:rPr>
          <w:color w:val="0D1B2E"/>
        </w:rPr>
        <w:t>The rule of this track</w:t>
      </w:r>
    </w:p>
    <w:p>
      <w:pPr>
        <w:ind w:left="432"/>
        <w:shd w:val="clear" w:fill="F7F9FC"/>
      </w:pPr>
      <w:r>
        <w:rPr>
          <w:i/>
          <w:sz w:val="20"/>
        </w:rPr>
        <w:t xml:space="preserve">A module is done when the thing works </w:t>
      </w:r>
      <w:r>
        <w:rPr>
          <w:b/>
          <w:i/>
          <w:sz w:val="20"/>
        </w:rPr>
        <w:t>and</w:t>
      </w:r>
      <w:r>
        <w:rPr>
          <w:i/>
          <w:sz w:val="20"/>
        </w:rPr>
        <w:t xml:space="preserve"> the conformance adapter can see it. Every lab ends with an evidence artifact in a place the </w:t>
      </w:r>
      <w:r>
        <w:rPr>
          <w:rFonts w:ascii="Consolas" w:hAnsi="Consolas"/>
          <w:i/>
          <w:sz w:val="20"/>
        </w:rPr>
        <w:t>fedramp_aan_catalog</w:t>
      </w:r>
      <w:r>
        <w:rPr>
          <w:i/>
          <w:sz w:val="20"/>
        </w:rPr>
        <w:t xml:space="preserve"> &lt;https://github.com/WhalerMike/uiao/tree/main/src/uiao/adapters/fedramp_aan_catalog&gt; slot mappings can bind.</w:t>
      </w:r>
    </w:p>
    <w:p>
      <w:pPr>
        <w:jc w:val="center"/>
      </w:pPr>
      <w:r>
        <w:drawing>
          <wp:inline xmlns:a="http://schemas.openxmlformats.org/drawingml/2006/main" xmlns:pic="http://schemas.openxmlformats.org/drawingml/2006/picture">
            <wp:extent cx="5760720" cy="3240405"/>
            <wp:docPr id="4" name="Picture 4"/>
            <wp:cNvGraphicFramePr>
              <a:graphicFrameLocks noChangeAspect="1"/>
            </wp:cNvGraphicFramePr>
            <a:graphic>
              <a:graphicData uri="http://schemas.openxmlformats.org/drawingml/2006/picture">
                <pic:pic>
                  <pic:nvPicPr>
                    <pic:cNvPr id="0" name="tp-fig-03-module-chain.png"/>
                    <pic:cNvPicPr/>
                  </pic:nvPicPr>
                  <pic:blipFill>
                    <a:blip r:embed="rId12"/>
                    <a:stretch>
                      <a:fillRect/>
                    </a:stretch>
                  </pic:blipFill>
                  <pic:spPr>
                    <a:xfrm>
                      <a:off x="0" y="0"/>
                      <a:ext cx="5760720" cy="3240405"/>
                    </a:xfrm>
                    <a:prstGeom prst="rect"/>
                  </pic:spPr>
                </pic:pic>
              </a:graphicData>
            </a:graphic>
          </wp:inline>
        </w:drawing>
      </w:r>
    </w:p>
    <w:p>
      <w:pPr>
        <w:jc w:val="center"/>
      </w:pPr>
      <w:r>
        <w:rPr>
          <w:i/>
          <w:color w:val="5A5A5A"/>
          <w:sz w:val="18"/>
        </w:rPr>
        <w:t>Figure 1 — Track B sequencing: B1 → B2 → B3 → B4 is a real dependency chain; B5–B7 run in parallel after B2; B8 (authorize &amp; operate, Books 18–19) caps the track.</w:t>
      </w:r>
    </w:p>
    <w:p>
      <w:pPr>
        <w:pStyle w:val="Heading3"/>
      </w:pPr>
      <w:r>
        <w:rPr>
          <w:color w:val="0D1B2E"/>
        </w:rPr>
        <w:t>Module B1 — Landing zone, IPAM &amp; DDI (Book 01)</w:t>
      </w:r>
    </w:p>
    <w:p>
      <w:pPr>
        <w:pStyle w:val="ListBullet"/>
      </w:pPr>
      <w:r>
        <w:rPr>
          <w:b/>
          <w:sz w:val="22"/>
        </w:rPr>
        <w:t>Read:</w:t>
      </w:r>
      <w:r>
        <w:rPr>
          <w:sz w:val="22"/>
        </w:rPr>
        <w:t xml:space="preserve"> Book 01 (SSA Landing Zone, IPAM &amp; FedRAMP).</w:t>
      </w:r>
    </w:p>
    <w:p>
      <w:pPr>
        <w:pStyle w:val="ListBullet"/>
      </w:pPr>
      <w:r>
        <w:rPr>
          <w:b/>
          <w:sz w:val="22"/>
        </w:rPr>
        <w:t>Build:</w:t>
      </w:r>
      <w:r>
        <w:rPr>
          <w:sz w:val="22"/>
        </w:rPr>
        <w:t xml:space="preserve"> the DDI core — authoritative IPAM, DNS, DHCP, and PKI issuance for the landing zone. The reference stack is Infoblox; the UIAO modernization adapters for BlueCat &lt;https://github.com/WhalerMike/uiao/tree/main/src/uiao/adapters&gt; and Infoblox cover directory migration into it.</w:t>
      </w:r>
    </w:p>
    <w:p>
      <w:pPr>
        <w:pStyle w:val="ListBullet"/>
      </w:pPr>
      <w:r>
        <w:rPr>
          <w:b/>
          <w:sz w:val="22"/>
        </w:rPr>
        <w:t>Lab:</w:t>
      </w:r>
      <w:r>
        <w:rPr>
          <w:sz w:val="22"/>
        </w:rPr>
        <w:t xml:space="preserve"> stand up (or simulate with fixtures) an IPAM inventory export and bind it as slot-02 addressing evidence — setup: DDI lab environment.</w:t>
      </w:r>
    </w:p>
    <w:p>
      <w:pPr>
        <w:pStyle w:val="ListBullet"/>
      </w:pPr>
      <w:r>
        <w:rPr>
          <w:b/>
          <w:sz w:val="22"/>
        </w:rPr>
        <w:t>Vendor training:</w:t>
      </w:r>
      <w:r>
        <w:rPr>
          <w:sz w:val="22"/>
        </w:rPr>
        <w:t xml:space="preserve"> Infoblox education, BlueCat learning, Microsoft AZ-700 (Azure networking for the landing-zone side) — see catalog §Networking &amp; DDI.</w:t>
      </w:r>
    </w:p>
    <w:p>
      <w:pPr>
        <w:pStyle w:val="Heading3"/>
      </w:pPr>
      <w:r>
        <w:rPr>
          <w:color w:val="0D1B2E"/>
        </w:rPr>
        <w:t>Module B2 — Access &amp; identity foundations (Books 02–04)</w:t>
      </w:r>
    </w:p>
    <w:p>
      <w:pPr>
        <w:pStyle w:val="ListBullet"/>
      </w:pPr>
      <w:r>
        <w:rPr>
          <w:b/>
          <w:sz w:val="22"/>
        </w:rPr>
        <w:t>Read:</w:t>
      </w:r>
      <w:r>
        <w:rPr>
          <w:sz w:val="22"/>
        </w:rPr>
        <w:t xml:space="preserve"> Book 02 (Network Access Control — 802.1X), Book 03 (Certificates, Tokens &amp; Cryptographic Identity), Book 04 (HRIT Identity &amp; Organizational SSOT).</w:t>
      </w:r>
    </w:p>
    <w:p>
      <w:pPr>
        <w:pStyle w:val="ListBullet"/>
      </w:pPr>
      <w:r>
        <w:rPr>
          <w:b/>
          <w:sz w:val="22"/>
        </w:rPr>
        <w:t>Build:</w:t>
      </w:r>
      <w:r>
        <w:rPr>
          <w:sz w:val="22"/>
        </w:rPr>
        <w:t xml:space="preserve"> the admission-and-identity layer everything after B1 assumes — 802.1X EAP-TLS port/wireless authentication against NPS with the five-tier VLAN model, MAB only as a documented exception, and CoA for live re-evaluation (Book 02); the cryptographic credential plane — an offline HSM-backed root with name-constrained issuing CAs, ACME/SCEP issuance sized for 47-day certificate lifetimes, CAA records, and phishing-resistant MFA plus workload identity federation to retire long-lived secrets (Book 03); and the HR-driven SSOT pipeline — Oracle HCM as the authoritative source, effective-dated records, and the SCIM/Graph </w:t>
      </w:r>
      <w:r>
        <w:rPr>
          <w:rFonts w:ascii="Consolas" w:hAnsi="Consolas"/>
          <w:sz w:val="22"/>
        </w:rPr>
        <w:t>bulkUpload</w:t>
      </w:r>
      <w:r>
        <w:rPr>
          <w:sz w:val="22"/>
        </w:rPr>
        <w:t xml:space="preserve"> provisioning flow with the six-step leaver sequence (Book 04).</w:t>
      </w:r>
    </w:p>
    <w:p>
      <w:pPr>
        <w:pStyle w:val="ListBullet"/>
      </w:pPr>
      <w:r>
        <w:rPr>
          <w:b/>
          <w:sz w:val="22"/>
        </w:rPr>
        <w:t>Lab:</w:t>
      </w:r>
      <w:r>
        <w:rPr>
          <w:sz w:val="22"/>
        </w:rPr>
        <w:t xml:space="preserve"> three exercises, one per book: deploy EAP-TLS </w:t>
      </w:r>
      <w:r>
        <w:rPr>
          <w:b/>
          <w:sz w:val="22"/>
        </w:rPr>
        <w:t>in monitor mode first</w:t>
      </w:r>
      <w:r>
        <w:rPr>
          <w:sz w:val="22"/>
        </w:rPr>
        <w:t xml:space="preserve"> with an Intune SCEP profile, review the would-have-failed log, then promote one switch/SSID to enforce; stand up the CAA + ACME DNS-01 issuance chain and rotate a certificate inside the 47-day window; run the six-step leaver sequence in shadow mode and capture the deprovisioning evidence. The Book 03/04 artifacts bind as slot-01 identity evidence; Book 02's port-authentication evidence is held pending the adapter mapping refresh.</w:t>
      </w:r>
    </w:p>
    <w:p>
      <w:pPr>
        <w:pStyle w:val="ListBullet"/>
      </w:pPr>
      <w:r>
        <w:rPr>
          <w:b/>
          <w:sz w:val="22"/>
        </w:rPr>
        <w:t>Vendor training:</w:t>
      </w:r>
      <w:r>
        <w:rPr>
          <w:sz w:val="22"/>
        </w:rPr>
        <w:t xml:space="preserve"> Cisco U / Networking Academy (ISE, NAC), Microsoft SC-300 (Entra identity &amp; lifecycle), AZ-500, SailPoint Identity University (joiner-mover-leaver) — see catalog §Identity &amp; zero trust and §Networking &amp; DDI.</w:t>
      </w:r>
    </w:p>
    <w:p>
      <w:pPr>
        <w:pStyle w:val="Heading3"/>
      </w:pPr>
      <w:r>
        <w:rPr>
          <w:color w:val="0D1B2E"/>
        </w:rPr>
        <w:t>Module B3 — Network &amp; telecommunications modernization (Books 05–06)</w:t>
      </w:r>
    </w:p>
    <w:p>
      <w:pPr>
        <w:pStyle w:val="ListBullet"/>
      </w:pPr>
      <w:r>
        <w:rPr>
          <w:b/>
          <w:sz w:val="22"/>
        </w:rPr>
        <w:t>Read:</w:t>
      </w:r>
      <w:r>
        <w:rPr>
          <w:sz w:val="22"/>
        </w:rPr>
        <w:t xml:space="preserve"> Book 05 (SD-WAN, SASE, unified communications — Teams Phone, Amazon Connect) and Book 06 (Entra ID, ZTNA, active governance).</w:t>
      </w:r>
    </w:p>
    <w:p>
      <w:pPr>
        <w:pStyle w:val="ListBullet"/>
      </w:pPr>
      <w:r>
        <w:rPr>
          <w:b/>
          <w:sz w:val="22"/>
        </w:rPr>
        <w:t>Build:</w:t>
      </w:r>
      <w:r>
        <w:rPr>
          <w:sz w:val="22"/>
        </w:rPr>
        <w:t xml:space="preserve"> application-aware transport — SD-WAN path policy keyed to application identity, SASE enforcement, ZTNA in front of legacy telecom patterns.</w:t>
      </w:r>
    </w:p>
    <w:p>
      <w:pPr>
        <w:pStyle w:val="ListBullet"/>
      </w:pPr>
      <w:r>
        <w:rPr>
          <w:b/>
          <w:sz w:val="22"/>
        </w:rPr>
        <w:t>Lab:</w:t>
      </w:r>
      <w:r>
        <w:rPr>
          <w:sz w:val="22"/>
        </w:rPr>
        <w:t xml:space="preserve"> author one application-aware path policy and one ZTNA access policy; export the policy state and bind it as slot-03 network evidence.</w:t>
      </w:r>
    </w:p>
    <w:p>
      <w:pPr>
        <w:pStyle w:val="ListBullet"/>
      </w:pPr>
      <w:r>
        <w:rPr>
          <w:b/>
          <w:sz w:val="22"/>
        </w:rPr>
        <w:t>Vendor training:</w:t>
      </w:r>
      <w:r>
        <w:rPr>
          <w:sz w:val="22"/>
        </w:rPr>
        <w:t xml:space="preserve"> Cisco U / Networking Academy (SD-WAN), Microsoft SC-300 (Entra), AWS Skill Builder (Amazon Connect), Fortinet / Palo Alto (SASE) — see catalog §Networking &amp; DDI and §Identity &amp; zero trust.</w:t>
      </w:r>
    </w:p>
    <w:p>
      <w:pPr>
        <w:pStyle w:val="Heading3"/>
      </w:pPr>
      <w:r>
        <w:rPr>
          <w:color w:val="0D1B2E"/>
        </w:rPr>
        <w:t>Module B4 — Data platform modernization (Books 07–09)</w:t>
      </w:r>
    </w:p>
    <w:p>
      <w:pPr>
        <w:pStyle w:val="ListBullet"/>
      </w:pPr>
      <w:r>
        <w:rPr>
          <w:b/>
          <w:sz w:val="22"/>
        </w:rPr>
        <w:t>Read:</w:t>
      </w:r>
      <w:r>
        <w:rPr>
          <w:sz w:val="22"/>
        </w:rPr>
        <w:t xml:space="preserve"> Book 07 (SQL Server Authentication Modernization), Book 08 (SQL Server Implementation Guide — the runbook), Book 09 (Database Consolidation &amp; Network Physics).</w:t>
      </w:r>
    </w:p>
    <w:p>
      <w:pPr>
        <w:pStyle w:val="ListBullet"/>
      </w:pPr>
      <w:r>
        <w:rPr>
          <w:b/>
          <w:sz w:val="22"/>
        </w:rPr>
        <w:t>Build:</w:t>
      </w:r>
      <w:r>
        <w:rPr>
          <w:sz w:val="22"/>
        </w:rPr>
        <w:t xml:space="preserve"> Entra-integrated SQL Server authentication (no SQL logins), then the consolidation architecture Book 09 derives from network physics (latency budgets, placement, failure domains).</w:t>
      </w:r>
    </w:p>
    <w:p>
      <w:pPr>
        <w:pStyle w:val="ListBullet"/>
      </w:pPr>
      <w:r>
        <w:rPr>
          <w:b/>
          <w:sz w:val="22"/>
        </w:rPr>
        <w:t>Lab:</w:t>
      </w:r>
      <w:r>
        <w:rPr>
          <w:sz w:val="22"/>
        </w:rPr>
        <w:t xml:space="preserve"> execute the Book 08 runbook against a lab instance; capture the authentication-mode evidence and bind it as slot-01 identity evidence.</w:t>
      </w:r>
    </w:p>
    <w:p>
      <w:pPr>
        <w:pStyle w:val="ListBullet"/>
      </w:pPr>
      <w:r>
        <w:rPr>
          <w:b/>
          <w:sz w:val="22"/>
        </w:rPr>
        <w:t>Vendor training:</w:t>
      </w:r>
      <w:r>
        <w:rPr>
          <w:sz w:val="22"/>
        </w:rPr>
        <w:t xml:space="preserve"> Microsoft DP-300, SQL Server security learning paths — see catalog §Data platform.</w:t>
      </w:r>
    </w:p>
    <w:p>
      <w:pPr>
        <w:pStyle w:val="Heading3"/>
      </w:pPr>
      <w:r>
        <w:rPr>
          <w:color w:val="0D1B2E"/>
        </w:rPr>
        <w:t>Module B5 — Privileged access (Book 10)</w:t>
      </w:r>
    </w:p>
    <w:p>
      <w:pPr>
        <w:pStyle w:val="ListBullet"/>
      </w:pPr>
      <w:r>
        <w:rPr>
          <w:b/>
          <w:sz w:val="22"/>
        </w:rPr>
        <w:t>Read:</w:t>
      </w:r>
      <w:r>
        <w:rPr>
          <w:sz w:val="22"/>
        </w:rPr>
        <w:t xml:space="preserve"> Book 10 (Privileged Access Management — Entra PIM + PAW).</w:t>
      </w:r>
    </w:p>
    <w:p>
      <w:pPr>
        <w:pStyle w:val="ListBullet"/>
      </w:pPr>
      <w:r>
        <w:rPr>
          <w:b/>
          <w:sz w:val="22"/>
        </w:rPr>
        <w:t>Build:</w:t>
      </w:r>
      <w:r>
        <w:rPr>
          <w:sz w:val="22"/>
        </w:rPr>
        <w:t xml:space="preserve"> role-activation workflows in PIM (eligibility, activation, approval, review) and the privileged-access-workstation tier model.</w:t>
      </w:r>
    </w:p>
    <w:p>
      <w:pPr>
        <w:pStyle w:val="ListBullet"/>
      </w:pPr>
      <w:r>
        <w:rPr>
          <w:b/>
          <w:sz w:val="22"/>
        </w:rPr>
        <w:t>Lab:</w:t>
      </w:r>
      <w:r>
        <w:rPr>
          <w:sz w:val="22"/>
        </w:rPr>
        <w:t xml:space="preserve"> configure one eligible role with activation approval + access review; export the PIM audit trail and bind it as slot-01/slot-05 evidence — setup: PIM lab environment.</w:t>
      </w:r>
    </w:p>
    <w:p>
      <w:pPr>
        <w:pStyle w:val="ListBullet"/>
      </w:pPr>
      <w:r>
        <w:rPr>
          <w:b/>
          <w:sz w:val="22"/>
        </w:rPr>
        <w:t>Vendor training:</w:t>
      </w:r>
      <w:r>
        <w:rPr>
          <w:sz w:val="22"/>
        </w:rPr>
        <w:t xml:space="preserve"> Microsoft SC-300, AZ-500; SANS privileged-access coursework — see catalog §Identity &amp; zero trust.</w:t>
      </w:r>
    </w:p>
    <w:p>
      <w:pPr>
        <w:pStyle w:val="Heading3"/>
      </w:pPr>
      <w:r>
        <w:rPr>
          <w:color w:val="0D1B2E"/>
        </w:rPr>
        <w:t>Module B6 — Detect &amp; protect (Books 11–13)</w:t>
      </w:r>
    </w:p>
    <w:p>
      <w:pPr>
        <w:pStyle w:val="ListBullet"/>
      </w:pPr>
      <w:r>
        <w:rPr>
          <w:b/>
          <w:sz w:val="22"/>
        </w:rPr>
        <w:t>Read:</w:t>
      </w:r>
      <w:r>
        <w:rPr>
          <w:sz w:val="22"/>
        </w:rPr>
        <w:t xml:space="preserve"> Book 11 (Vulnerability Management — Defender VM + KEV), Book 12 (Data Protection — Purview + Key Vault CMK), Book 13 (SIEM / XDR Detection — Sentinel).</w:t>
      </w:r>
    </w:p>
    <w:p>
      <w:pPr>
        <w:pStyle w:val="ListBullet"/>
      </w:pPr>
      <w:r>
        <w:rPr>
          <w:b/>
          <w:sz w:val="22"/>
        </w:rPr>
        <w:t>Build:</w:t>
      </w:r>
      <w:r>
        <w:rPr>
          <w:sz w:val="22"/>
        </w:rPr>
        <w:t xml:space="preserve"> the telemetry spine — Defender VM assessment with KEV prioritization; Purview sensitivity labeling + customer-managed keys; Sentinel analytics rules, incidents, and automation.</w:t>
      </w:r>
    </w:p>
    <w:p>
      <w:pPr>
        <w:pStyle w:val="ListBullet"/>
      </w:pPr>
      <w:r>
        <w:rPr>
          <w:b/>
          <w:sz w:val="22"/>
        </w:rPr>
        <w:t>Lab:</w:t>
      </w:r>
      <w:r>
        <w:rPr>
          <w:sz w:val="22"/>
        </w:rPr>
        <w:t xml:space="preserve"> one end-to-end detection: seed a vulnerable/exposed condition, watch it surface in Defender VM, alert in Sentinel, and close with an evidence export bound to slot-04 telemetry (and slot-06 for the configuration-drift angle) — setups: Sentinel lab and Purview lab.</w:t>
      </w:r>
    </w:p>
    <w:p>
      <w:pPr>
        <w:pStyle w:val="ListBullet"/>
      </w:pPr>
      <w:r>
        <w:rPr>
          <w:b/>
          <w:sz w:val="22"/>
        </w:rPr>
        <w:t>Vendor training:</w:t>
      </w:r>
      <w:r>
        <w:rPr>
          <w:sz w:val="22"/>
        </w:rPr>
        <w:t xml:space="preserve"> Microsoft SC-200 (Sentinel/Defender), SC-401 (Purview/information security), Splunk &amp; Elastic for portable SIEM fundamentals — see catalog §Security operations.</w:t>
      </w:r>
    </w:p>
    <w:p>
      <w:pPr>
        <w:pStyle w:val="Heading3"/>
      </w:pPr>
      <w:r>
        <w:rPr>
          <w:color w:val="0D1B2E"/>
        </w:rPr>
        <w:t>Module B7 — Resilience &amp; governance (Books 14–17)</w:t>
      </w:r>
    </w:p>
    <w:p>
      <w:pPr>
        <w:pStyle w:val="ListBullet"/>
      </w:pPr>
      <w:r>
        <w:rPr>
          <w:b/>
          <w:sz w:val="22"/>
        </w:rPr>
        <w:t>Read:</w:t>
      </w:r>
      <w:r>
        <w:rPr>
          <w:sz w:val="22"/>
        </w:rPr>
        <w:t xml:space="preserve"> Book 14 (Business Continuity), Book 15 (Supply Chain Risk Management), Book 16 (Program Management &amp; Governance), Book 17 (PII Processing &amp; Transparency).</w:t>
      </w:r>
    </w:p>
    <w:p>
      <w:pPr>
        <w:pStyle w:val="ListBullet"/>
      </w:pPr>
      <w:r>
        <w:rPr>
          <w:b/>
          <w:sz w:val="22"/>
        </w:rPr>
        <w:t>Build:</w:t>
      </w:r>
      <w:r>
        <w:rPr>
          <w:sz w:val="22"/>
        </w:rPr>
        <w:t xml:space="preserve"> the contingency architecture (alternate processing/storage, CP-4 test harness); the SBOM pipeline (Syft/Trivy-class generation, CycloneDX/SPDX VDR, VER submission flow for BOD 26-04); the PM governance charter artifacts; PII processing-transparency records.</w:t>
      </w:r>
    </w:p>
    <w:p>
      <w:pPr>
        <w:pStyle w:val="ListBullet"/>
      </w:pPr>
      <w:r>
        <w:rPr>
          <w:b/>
          <w:sz w:val="22"/>
        </w:rPr>
        <w:t>Lab:</w:t>
      </w:r>
      <w:r>
        <w:rPr>
          <w:sz w:val="22"/>
        </w:rPr>
        <w:t xml:space="preserve"> generate an SBOM for a real service, produce the VDR document, and bind it as slot-06 evidence; run one tabletop contingency test and bind the results as slot-07 continuity evidence.</w:t>
      </w:r>
    </w:p>
    <w:p>
      <w:pPr>
        <w:pStyle w:val="ListBullet"/>
      </w:pPr>
      <w:r>
        <w:rPr>
          <w:b/>
          <w:sz w:val="22"/>
        </w:rPr>
        <w:t>Vendor training:</w:t>
      </w:r>
      <w:r>
        <w:rPr>
          <w:sz w:val="22"/>
        </w:rPr>
        <w:t xml:space="preserve"> CISA Learning (incident/continuity), FedRAMP PMO materials (20x submission), OWASP/Linux Foundation SBOM resources — see catalog §Federal &amp; compliance.</w:t>
      </w:r>
    </w:p>
    <w:p>
      <w:pPr>
        <w:pStyle w:val="Heading3"/>
      </w:pPr>
      <w:r>
        <w:rPr>
          <w:color w:val="0D1B2E"/>
        </w:rPr>
        <w:t>Module B8 — Authorize &amp; operate (Books 18–19)</w:t>
      </w:r>
    </w:p>
    <w:p>
      <w:pPr>
        <w:pStyle w:val="ListBullet"/>
      </w:pPr>
      <w:r>
        <w:rPr>
          <w:b/>
          <w:sz w:val="22"/>
        </w:rPr>
        <w:t>Read:</w:t>
      </w:r>
      <w:r>
        <w:rPr>
          <w:sz w:val="22"/>
        </w:rPr>
        <w:t xml:space="preserve"> Book 18 (Cybersecurity Training &amp; Awareness) and Book 19 (Authorization Package &amp; ConMon).</w:t>
      </w:r>
    </w:p>
    <w:p>
      <w:pPr>
        <w:pStyle w:val="ListBullet"/>
      </w:pPr>
      <w:r>
        <w:rPr>
          <w:b/>
          <w:sz w:val="22"/>
        </w:rPr>
        <w:t>Build:</w:t>
      </w:r>
      <w:r>
        <w:rPr>
          <w:sz w:val="22"/>
        </w:rPr>
        <w:t xml:space="preserve"> the four-dimension training program with its monthly LMS export (Viva Learning Graph API → </w:t>
      </w:r>
      <w:r>
        <w:rPr>
          <w:rFonts w:ascii="Consolas" w:hAnsi="Consolas"/>
          <w:sz w:val="22"/>
        </w:rPr>
        <w:t>training-effectiveness-record</w:t>
      </w:r>
      <w:r>
        <w:rPr>
          <w:sz w:val="22"/>
        </w:rPr>
        <w:t xml:space="preserve"> JSON), then the authorization mechanics: the OSCAL AP/AR/POA&amp;M bundle, the CA-7 ConMon calendar with per-slot evidence freshness rules, and the BOD 26-04 VDR/VER submission flow.</w:t>
      </w:r>
    </w:p>
    <w:p>
      <w:pPr>
        <w:pStyle w:val="ListBullet"/>
      </w:pPr>
      <w:r>
        <w:rPr>
          <w:b/>
          <w:sz w:val="22"/>
        </w:rPr>
        <w:t>Lab:</w:t>
      </w:r>
      <w:r>
        <w:rPr>
          <w:sz w:val="22"/>
        </w:rPr>
        <w:t xml:space="preserve"> produce a </w:t>
      </w:r>
      <w:r>
        <w:rPr>
          <w:rFonts w:ascii="Consolas" w:hAnsi="Consolas"/>
          <w:sz w:val="22"/>
        </w:rPr>
        <w:t>training-effectiveness-record</w:t>
      </w:r>
      <w:r>
        <w:rPr>
          <w:sz w:val="22"/>
        </w:rPr>
        <w:t xml:space="preserve"> JSON that passes the KSI-022 thresholds and bind it as slot-08 evidence; then run </w:t>
      </w:r>
      <w:r>
        <w:rPr>
          <w:rFonts w:ascii="Consolas" w:hAnsi="Consolas"/>
          <w:sz w:val="22"/>
        </w:rPr>
        <w:t>uiao oscal bundle</w:t>
      </w:r>
      <w:r>
        <w:rPr>
          <w:sz w:val="22"/>
        </w:rPr>
        <w:t>-style generation, trace the AP→AR→POA&amp;M UUID links, and simulate a completion-rate drop below 95% to watch the POA&amp;M entry auto-populate.</w:t>
      </w:r>
    </w:p>
    <w:p>
      <w:pPr>
        <w:pStyle w:val="ListBullet"/>
      </w:pPr>
      <w:r>
        <w:rPr>
          <w:b/>
          <w:sz w:val="22"/>
        </w:rPr>
        <w:t>Vendor training:</w:t>
      </w:r>
      <w:r>
        <w:rPr>
          <w:sz w:val="22"/>
        </w:rPr>
        <w:t xml:space="preserve"> CISA Learning and SANS (awareness program design), FedRAMP PMO materials (20x submission), NIST NICE (role mapping) — see catalog §Federal &amp; compliance.</w:t>
      </w:r>
    </w:p>
    <w:p>
      <w:pPr>
        <w:pStyle w:val="Heading3"/>
      </w:pPr>
      <w:r>
        <w:rPr>
          <w:color w:val="0D1B2E"/>
        </w:rPr>
        <w:t>Capstone — one module, evidence-complete</w:t>
      </w:r>
    </w:p>
    <w:p>
      <w:pPr>
        <w:spacing w:before="80" w:after="80"/>
      </w:pPr>
      <w:r>
        <w:rPr>
          <w:sz w:val="22"/>
        </w:rPr>
        <w:t>Pick one module (B1–B8). Implement or lab-simulate it end-to-end, land the evidence where the slot mapping binds it, then regenerate the verdicts:</w:t>
      </w:r>
    </w:p>
    <w:p>
      <w:pPr>
        <w:shd w:val="clear" w:fill="F2F4F7"/>
        <w:spacing w:before="0" w:after="0"/>
        <w:ind w:left="360"/>
      </w:pPr>
      <w:r>
        <w:rPr>
          <w:rFonts w:ascii="Consolas" w:hAnsi="Consolas"/>
          <w:sz w:val="18"/>
        </w:rPr>
        <w:t>uiao ksi evaluate --ir ./output/ir/tenant.ir.json --out ./output/ksi/tenant.ksi.json</w:t>
      </w:r>
    </w:p>
    <w:p>
      <w:pPr>
        <w:shd w:val="clear" w:fill="F2F4F7"/>
        <w:spacing w:before="0" w:after="0"/>
        <w:ind w:left="360"/>
      </w:pPr>
      <w:r>
        <w:rPr>
          <w:rFonts w:ascii="Consolas" w:hAnsi="Consolas"/>
          <w:sz w:val="18"/>
        </w:rPr>
        <w:t>uiao oscal ksi-ar --output exports/oscal/ksi-ar.json</w:t>
      </w:r>
    </w:p>
    <w:p>
      <w:pPr>
        <w:spacing w:before="80" w:after="80"/>
      </w:pPr>
      <w:r>
        <w:rPr>
          <w:sz w:val="22"/>
        </w:rPr>
        <w:t xml:space="preserve">Completion means the Assessment Results show your module's slot verdict fed by </w:t>
      </w:r>
      <w:r>
        <w:rPr>
          <w:b/>
          <w:sz w:val="22"/>
        </w:rPr>
        <w:t>your</w:t>
      </w:r>
      <w:r>
        <w:rPr>
          <w:sz w:val="22"/>
        </w:rPr>
        <w:t xml:space="preserve"> artifact — the same bar as UIAO_125's Operator track ("clean walker/drift run"), applied to the AAN vertical.</w:t>
      </w:r>
    </w:p>
    <w:p>
      <w:pPr>
        <w:pStyle w:val="Heading3"/>
      </w:pPr>
      <w:r>
        <w:rPr>
          <w:color w:val="0D1B2E"/>
        </w:rPr>
        <w:t>Sequencing note</w:t>
      </w:r>
    </w:p>
    <w:p>
      <w:pPr>
        <w:spacing w:before="80" w:after="80"/>
      </w:pPr>
      <w:r>
        <w:rPr>
          <w:sz w:val="22"/>
        </w:rPr>
        <w:t>B1 → B2 → B3 → B4 is a real dependency chain (addressing before admission and identity, identity before transport policy, transport before data placement). B5–B7 can run in parallel once B2's identity layer exists; B8 runs last — it assembles what every other module produced. Track A modules can be interleaved freely; many teams pair each B-module with its A-module (B1↔A2, B2↔A1/A5, B3↔A1/A3, B4↔A1, B5↔A1/A5, B6↔A4/A6, B7↔A6/A7, B8↔A8).</w:t>
      </w:r>
    </w:p>
    <w:p>
      <w:r>
        <w:br w:type="page"/>
      </w:r>
    </w:p>
    <w:p>
      <w:pPr>
        <w:pStyle w:val="Heading1"/>
      </w:pPr>
      <w:r>
        <w:rPr>
          <w:color w:val="0D1B2E"/>
        </w:rPr>
        <w:t>AAN Vendor Training Catalog</w:t>
      </w:r>
    </w:p>
    <w:p>
      <w:r>
        <w:rPr>
          <w:i/>
          <w:color w:val="5A5A5A"/>
          <w:sz w:val="24"/>
        </w:rPr>
        <w:t>Existing external training mapped to the 20 AAN books — a living, research-driven catalog</w:t>
      </w:r>
    </w:p>
    <w:p>
      <w:r>
        <w:rPr>
          <w:color w:val="1E8C8C"/>
          <w:sz w:val="18"/>
        </w:rPr>
        <w:t>Federal AAN Training Program — companion material for the federal AAN book series; not part of UIAO.</w:t>
      </w:r>
    </w:p>
    <w:p>
      <w:pPr>
        <w:ind w:left="432"/>
        <w:shd w:val="clear" w:fill="F7F9FC"/>
      </w:pPr>
      <w:r>
        <w:rPr>
          <w:i/>
          <w:sz w:val="20"/>
        </w:rPr>
        <w:t xml:space="preserve">Part of the AAN Training Program — </w:t>
      </w:r>
      <w:r>
        <w:rPr>
          <w:b/>
          <w:i/>
          <w:sz w:val="20"/>
        </w:rPr>
        <w:t>companion material for the federal AAN book series, not part of UIAO.</w:t>
      </w:r>
    </w:p>
    <w:p>
      <w:pPr>
        <w:shd w:val="clear" w:fill="EAF1FB"/>
      </w:pPr>
      <w:r>
        <w:rPr>
          <w:b/>
          <w:color w:val="1E8C8C"/>
          <w:sz w:val="20"/>
        </w:rPr>
        <w:t>[NOTE]</w:t>
      </w:r>
    </w:p>
    <w:p>
      <w:pPr>
        <w:pStyle w:val="Heading3"/>
      </w:pPr>
      <w:r>
        <w:rPr>
          <w:color w:val="0D1B2E"/>
        </w:rPr>
        <w:t>Living catalog</w:t>
      </w:r>
    </w:p>
    <w:p>
      <w:pPr>
        <w:spacing w:before="80" w:after="80"/>
      </w:pPr>
      <w:r>
        <w:rPr>
          <w:sz w:val="22"/>
        </w:rPr>
        <w:t xml:space="preserve">This is a first-pass catalog; </w:t>
      </w:r>
      <w:r>
        <w:rPr>
          <w:b/>
          <w:sz w:val="22"/>
        </w:rPr>
        <w:t>as research continues, it expands</w:t>
      </w:r>
      <w:r>
        <w:rPr>
          <w:sz w:val="22"/>
        </w:rPr>
        <w:t>. Rows carry the books they support so modules can link here stably. External URLs are re-verified weekly by the repo's link-check CI, so link rot surfaces automatically. To add a vendor: open a PR adding a row with book mapping and a one-line relevance note (see Research queue).</w:t>
      </w:r>
    </w:p>
    <w:p>
      <w:pPr>
        <w:pStyle w:val="Heading3"/>
      </w:pPr>
      <w:r>
        <w:rPr>
          <w:color w:val="0D1B2E"/>
        </w:rPr>
        <w:t>How to use this catalog</w:t>
      </w:r>
    </w:p>
    <w:p>
      <w:pPr>
        <w:spacing w:before="80" w:after="80"/>
      </w:pPr>
      <w:r>
        <w:rPr>
          <w:sz w:val="22"/>
        </w:rPr>
        <w:t>Each track module points at a section here. Certifications are listed where a role-based cert is the natural packaging of the training; free learning-path options are noted where they exist. "Books" columns refer to the 20-book corpus.</w:t>
      </w:r>
    </w:p>
    <w:p>
      <w:pPr>
        <w:pStyle w:val="Heading3"/>
      </w:pPr>
      <w:r>
        <w:rPr>
          <w:color w:val="0D1B2E"/>
        </w:rPr>
        <w:t>Microsoft role-based training</w:t>
      </w:r>
    </w:p>
    <w:p>
      <w:pPr>
        <w:spacing w:before="80" w:after="80"/>
      </w:pPr>
      <w:r>
        <w:rPr>
          <w:sz w:val="22"/>
        </w:rPr>
        <w:t>The AAN reference stack is Microsoft-heavy (Entra, Defender, Sentinel, Purview, SQL Server, Azure networking), so Microsoft Learn role paths cover the largest share of Track B. All Microsoft Learn content is free; certification exams are paid.</w:t>
      </w:r>
    </w:p>
    <w:tbl>
      <w:tblPr>
        <w:tblStyle w:val="LightList-Accent1"/>
        <w:tblW w:type="auto" w:w="0"/>
        <w:tblLook w:firstColumn="1" w:firstRow="1" w:lastColumn="0" w:lastRow="0" w:noHBand="0" w:noVBand="1" w:val="04A0"/>
      </w:tblPr>
      <w:tblGrid>
        <w:gridCol w:w="2340"/>
        <w:gridCol w:w="2340"/>
        <w:gridCol w:w="2340"/>
        <w:gridCol w:w="2340"/>
      </w:tblGrid>
      <w:tr>
        <w:tc>
          <w:tcPr>
            <w:tcW w:type="dxa" w:w="2340"/>
          </w:tcPr>
          <w:p>
            <w:r>
              <w:rPr>
                <w:b/>
              </w:rPr>
            </w:r>
            <w:r>
              <w:rPr>
                <w:b/>
                <w:sz w:val="18"/>
              </w:rPr>
              <w:t>Certification / path</w:t>
            </w:r>
          </w:p>
        </w:tc>
        <w:tc>
          <w:tcPr>
            <w:tcW w:type="dxa" w:w="2340"/>
          </w:tcPr>
          <w:p>
            <w:r>
              <w:rPr>
                <w:b/>
              </w:rPr>
            </w:r>
            <w:r>
              <w:rPr>
                <w:b/>
                <w:sz w:val="18"/>
              </w:rPr>
              <w:t>Exam</w:t>
            </w:r>
          </w:p>
        </w:tc>
        <w:tc>
          <w:tcPr>
            <w:tcW w:type="dxa" w:w="2340"/>
          </w:tcPr>
          <w:p>
            <w:r>
              <w:rPr>
                <w:b/>
              </w:rPr>
            </w:r>
            <w:r>
              <w:rPr>
                <w:b/>
                <w:sz w:val="18"/>
              </w:rPr>
              <w:t>Books</w:t>
            </w:r>
          </w:p>
        </w:tc>
        <w:tc>
          <w:tcPr>
            <w:tcW w:type="dxa" w:w="2340"/>
          </w:tcPr>
          <w:p>
            <w:r>
              <w:rPr>
                <w:b/>
              </w:rPr>
            </w:r>
            <w:r>
              <w:rPr>
                <w:b/>
                <w:sz w:val="18"/>
              </w:rPr>
              <w:t>Why it maps</w:t>
            </w:r>
          </w:p>
        </w:tc>
      </w:tr>
      <w:tr>
        <w:tc>
          <w:tcPr>
            <w:tcW w:type="dxa" w:w="2340"/>
          </w:tcPr>
          <w:p>
            <w:r/>
            <w:r>
              <w:rPr>
                <w:sz w:val="18"/>
              </w:rPr>
              <w:t>Azure Network Engineer Associate &lt;https://learn.microsoft.com/en-us/credentials/certifications/azure-network-engineer-associate/&gt;</w:t>
            </w:r>
          </w:p>
        </w:tc>
        <w:tc>
          <w:tcPr>
            <w:tcW w:type="dxa" w:w="2340"/>
          </w:tcPr>
          <w:p>
            <w:r/>
            <w:r>
              <w:rPr>
                <w:sz w:val="18"/>
              </w:rPr>
              <w:t>AZ-700</w:t>
            </w:r>
          </w:p>
        </w:tc>
        <w:tc>
          <w:tcPr>
            <w:tcW w:type="dxa" w:w="2340"/>
          </w:tcPr>
          <w:p>
            <w:r/>
            <w:r>
              <w:rPr>
                <w:sz w:val="18"/>
              </w:rPr>
              <w:t>01, 05, 09</w:t>
            </w:r>
          </w:p>
        </w:tc>
        <w:tc>
          <w:tcPr>
            <w:tcW w:type="dxa" w:w="2340"/>
          </w:tcPr>
          <w:p>
            <w:r/>
            <w:r>
              <w:rPr>
                <w:sz w:val="18"/>
              </w:rPr>
              <w:t>Landing-zone networking, hybrid connectivity, private access — the Azure half of Books 01/05</w:t>
            </w:r>
          </w:p>
        </w:tc>
      </w:tr>
      <w:tr>
        <w:tc>
          <w:tcPr>
            <w:tcW w:type="dxa" w:w="2340"/>
          </w:tcPr>
          <w:p>
            <w:r/>
            <w:r>
              <w:rPr>
                <w:sz w:val="18"/>
              </w:rPr>
              <w:t>Identity and Access Administrator &lt;https://learn.microsoft.com/en-us/credentials/certifications/identity-and-access-administrator/&gt;</w:t>
            </w:r>
          </w:p>
        </w:tc>
        <w:tc>
          <w:tcPr>
            <w:tcW w:type="dxa" w:w="2340"/>
          </w:tcPr>
          <w:p>
            <w:r/>
            <w:r>
              <w:rPr>
                <w:sz w:val="18"/>
              </w:rPr>
              <w:t>SC-300</w:t>
            </w:r>
          </w:p>
        </w:tc>
        <w:tc>
          <w:tcPr>
            <w:tcW w:type="dxa" w:w="2340"/>
          </w:tcPr>
          <w:p>
            <w:r/>
            <w:r>
              <w:rPr>
                <w:sz w:val="18"/>
              </w:rPr>
              <w:t>03, 04, 06, 07, 10</w:t>
            </w:r>
          </w:p>
        </w:tc>
        <w:tc>
          <w:tcPr>
            <w:tcW w:type="dxa" w:w="2340"/>
          </w:tcPr>
          <w:p>
            <w:r/>
            <w:r>
              <w:rPr>
                <w:sz w:val="18"/>
              </w:rPr>
              <w:t>Entra ID, conditional access, PIM, lifecycle workflows — the identity spine of the corpus, incl. Book 03's CBA/phishing-resistant MFA and Book 04's provisioning</w:t>
            </w:r>
          </w:p>
        </w:tc>
      </w:tr>
      <w:tr>
        <w:tc>
          <w:tcPr>
            <w:tcW w:type="dxa" w:w="2340"/>
          </w:tcPr>
          <w:p>
            <w:r/>
            <w:r>
              <w:rPr>
                <w:sz w:val="18"/>
              </w:rPr>
              <w:t>Security Operations Analyst &lt;https://learn.microsoft.com/en-us/credentials/certifications/security-operations-analyst/&gt;</w:t>
            </w:r>
          </w:p>
        </w:tc>
        <w:tc>
          <w:tcPr>
            <w:tcW w:type="dxa" w:w="2340"/>
          </w:tcPr>
          <w:p>
            <w:r/>
            <w:r>
              <w:rPr>
                <w:sz w:val="18"/>
              </w:rPr>
              <w:t>SC-200</w:t>
            </w:r>
          </w:p>
        </w:tc>
        <w:tc>
          <w:tcPr>
            <w:tcW w:type="dxa" w:w="2340"/>
          </w:tcPr>
          <w:p>
            <w:r/>
            <w:r>
              <w:rPr>
                <w:sz w:val="18"/>
              </w:rPr>
              <w:t>11, 13</w:t>
            </w:r>
          </w:p>
        </w:tc>
        <w:tc>
          <w:tcPr>
            <w:tcW w:type="dxa" w:w="2340"/>
          </w:tcPr>
          <w:p>
            <w:r/>
            <w:r>
              <w:rPr>
                <w:sz w:val="18"/>
              </w:rPr>
              <w:t>Sentinel + Defender XDR detection engineering (Book 13) and Defender VM (Book 11)</w:t>
            </w:r>
          </w:p>
        </w:tc>
      </w:tr>
      <w:tr>
        <w:tc>
          <w:tcPr>
            <w:tcW w:type="dxa" w:w="2340"/>
          </w:tcPr>
          <w:p>
            <w:r/>
            <w:r>
              <w:rPr>
                <w:sz w:val="18"/>
              </w:rPr>
              <w:t>Information Security Administrator &lt;https://learn.microsoft.com/en-us/credentials/certifications/information-security-administrator/&gt;</w:t>
            </w:r>
          </w:p>
        </w:tc>
        <w:tc>
          <w:tcPr>
            <w:tcW w:type="dxa" w:w="2340"/>
          </w:tcPr>
          <w:p>
            <w:r/>
            <w:r>
              <w:rPr>
                <w:sz w:val="18"/>
              </w:rPr>
              <w:t>SC-401</w:t>
            </w:r>
          </w:p>
        </w:tc>
        <w:tc>
          <w:tcPr>
            <w:tcW w:type="dxa" w:w="2340"/>
          </w:tcPr>
          <w:p>
            <w:r/>
            <w:r>
              <w:rPr>
                <w:sz w:val="18"/>
              </w:rPr>
              <w:t>12, 17</w:t>
            </w:r>
          </w:p>
        </w:tc>
        <w:tc>
          <w:tcPr>
            <w:tcW w:type="dxa" w:w="2340"/>
          </w:tcPr>
          <w:p>
            <w:r/>
            <w:r>
              <w:rPr>
                <w:sz w:val="18"/>
              </w:rPr>
              <w:t>Purview information protection, DLP, insider risk — Books 12/17 (successor to the retired SC-400)</w:t>
            </w:r>
          </w:p>
        </w:tc>
      </w:tr>
      <w:tr>
        <w:tc>
          <w:tcPr>
            <w:tcW w:type="dxa" w:w="2340"/>
          </w:tcPr>
          <w:p>
            <w:r/>
            <w:r>
              <w:rPr>
                <w:sz w:val="18"/>
              </w:rPr>
              <w:t>Azure Database Administrator Associate &lt;https://learn.microsoft.com/en-us/credentials/certifications/azure-database-administrator-associate/&gt;</w:t>
            </w:r>
          </w:p>
        </w:tc>
        <w:tc>
          <w:tcPr>
            <w:tcW w:type="dxa" w:w="2340"/>
          </w:tcPr>
          <w:p>
            <w:r/>
            <w:r>
              <w:rPr>
                <w:sz w:val="18"/>
              </w:rPr>
              <w:t>DP-300</w:t>
            </w:r>
          </w:p>
        </w:tc>
        <w:tc>
          <w:tcPr>
            <w:tcW w:type="dxa" w:w="2340"/>
          </w:tcPr>
          <w:p>
            <w:r/>
            <w:r>
              <w:rPr>
                <w:sz w:val="18"/>
              </w:rPr>
              <w:t>07, 08, 09</w:t>
            </w:r>
          </w:p>
        </w:tc>
        <w:tc>
          <w:tcPr>
            <w:tcW w:type="dxa" w:w="2340"/>
          </w:tcPr>
          <w:p>
            <w:r/>
            <w:r>
              <w:rPr>
                <w:sz w:val="18"/>
              </w:rPr>
              <w:t>SQL Server / Azure SQL administration and authentication modernization</w:t>
            </w:r>
          </w:p>
        </w:tc>
      </w:tr>
      <w:tr>
        <w:tc>
          <w:tcPr>
            <w:tcW w:type="dxa" w:w="2340"/>
          </w:tcPr>
          <w:p>
            <w:r/>
            <w:r>
              <w:rPr>
                <w:sz w:val="18"/>
              </w:rPr>
              <w:t>Azure Security Engineer Associate &lt;https://learn.microsoft.com/en-us/credentials/certifications/azure-security-engineer/&gt;</w:t>
            </w:r>
          </w:p>
        </w:tc>
        <w:tc>
          <w:tcPr>
            <w:tcW w:type="dxa" w:w="2340"/>
          </w:tcPr>
          <w:p>
            <w:r/>
            <w:r>
              <w:rPr>
                <w:sz w:val="18"/>
              </w:rPr>
              <w:t>AZ-500</w:t>
            </w:r>
          </w:p>
        </w:tc>
        <w:tc>
          <w:tcPr>
            <w:tcW w:type="dxa" w:w="2340"/>
          </w:tcPr>
          <w:p>
            <w:r/>
            <w:r>
              <w:rPr>
                <w:sz w:val="18"/>
              </w:rPr>
              <w:t>03, 10, 12</w:t>
            </w:r>
          </w:p>
        </w:tc>
        <w:tc>
          <w:tcPr>
            <w:tcW w:type="dxa" w:w="2340"/>
          </w:tcPr>
          <w:p>
            <w:r/>
            <w:r>
              <w:rPr>
                <w:sz w:val="18"/>
              </w:rPr>
              <w:t>Key Vault, CMK, workload identity, platform security controls</w:t>
            </w:r>
          </w:p>
        </w:tc>
      </w:tr>
      <w:tr>
        <w:tc>
          <w:tcPr>
            <w:tcW w:type="dxa" w:w="2340"/>
          </w:tcPr>
          <w:p>
            <w:r/>
            <w:r>
              <w:rPr>
                <w:sz w:val="18"/>
              </w:rPr>
              <w:t>Cybersecurity Architect Expert &lt;https://learn.microsoft.com/en-us/credentials/certifications/cybersecurity-architect-expert/&gt;</w:t>
            </w:r>
          </w:p>
        </w:tc>
        <w:tc>
          <w:tcPr>
            <w:tcW w:type="dxa" w:w="2340"/>
          </w:tcPr>
          <w:p>
            <w:r/>
            <w:r>
              <w:rPr>
                <w:sz w:val="18"/>
              </w:rPr>
              <w:t>SC-100</w:t>
            </w:r>
          </w:p>
        </w:tc>
        <w:tc>
          <w:tcPr>
            <w:tcW w:type="dxa" w:w="2340"/>
          </w:tcPr>
          <w:p>
            <w:r/>
            <w:r>
              <w:rPr>
                <w:sz w:val="18"/>
              </w:rPr>
              <w:t>00, 16</w:t>
            </w:r>
          </w:p>
        </w:tc>
        <w:tc>
          <w:tcPr>
            <w:tcW w:type="dxa" w:w="2340"/>
          </w:tcPr>
          <w:p>
            <w:r/>
            <w:r>
              <w:rPr>
                <w:sz w:val="18"/>
              </w:rPr>
              <w:t>Whole-of-estate security architecture — the Book 00/16 leadership view</w:t>
            </w:r>
          </w:p>
        </w:tc>
      </w:tr>
      <w:tr>
        <w:tc>
          <w:tcPr>
            <w:tcW w:type="dxa" w:w="2340"/>
          </w:tcPr>
          <w:p>
            <w:r/>
            <w:r>
              <w:rPr>
                <w:sz w:val="18"/>
              </w:rPr>
              <w:t>Microsoft Learn training browser &lt;https://learn.microsoft.com/en-us/training/&gt;</w:t>
            </w:r>
          </w:p>
        </w:tc>
        <w:tc>
          <w:tcPr>
            <w:tcW w:type="dxa" w:w="2340"/>
          </w:tcPr>
          <w:p>
            <w:r/>
            <w:r>
              <w:rPr>
                <w:sz w:val="18"/>
              </w:rPr>
              <w:t>—</w:t>
            </w:r>
          </w:p>
        </w:tc>
        <w:tc>
          <w:tcPr>
            <w:tcW w:type="dxa" w:w="2340"/>
          </w:tcPr>
          <w:p>
            <w:r/>
            <w:r>
              <w:rPr>
                <w:sz w:val="18"/>
              </w:rPr>
              <w:t>all</w:t>
            </w:r>
          </w:p>
        </w:tc>
        <w:tc>
          <w:tcPr>
            <w:tcW w:type="dxa" w:w="2340"/>
          </w:tcPr>
          <w:p>
            <w:r/>
            <w:r>
              <w:rPr>
                <w:sz w:val="18"/>
              </w:rPr>
              <w:t>Free modular learning paths under every product above; filter by product/role</w:t>
            </w:r>
          </w:p>
        </w:tc>
      </w:tr>
    </w:tbl>
    <w:p/>
    <w:p>
      <w:pPr>
        <w:pStyle w:val="Heading3"/>
      </w:pPr>
      <w:r>
        <w:rPr>
          <w:color w:val="0D1B2E"/>
        </w:rPr>
        <w:t>Networking &amp; DDI</w:t>
      </w:r>
    </w:p>
    <w:tbl>
      <w:tblPr>
        <w:tblStyle w:val="LightList-Accent1"/>
        <w:tblW w:type="auto" w:w="0"/>
        <w:tblLook w:firstColumn="1" w:firstRow="1" w:lastColumn="0" w:lastRow="0" w:noHBand="0" w:noVBand="1" w:val="04A0"/>
      </w:tblPr>
      <w:tblGrid>
        <w:gridCol w:w="2340"/>
        <w:gridCol w:w="2340"/>
        <w:gridCol w:w="2340"/>
        <w:gridCol w:w="2340"/>
      </w:tblGrid>
      <w:tr>
        <w:tc>
          <w:tcPr>
            <w:tcW w:type="dxa" w:w="2340"/>
          </w:tcPr>
          <w:p>
            <w:r>
              <w:rPr>
                <w:b/>
              </w:rPr>
            </w:r>
            <w:r>
              <w:rPr>
                <w:b/>
                <w:sz w:val="18"/>
              </w:rPr>
              <w:t>Vendor</w:t>
            </w:r>
          </w:p>
        </w:tc>
        <w:tc>
          <w:tcPr>
            <w:tcW w:type="dxa" w:w="2340"/>
          </w:tcPr>
          <w:p>
            <w:r>
              <w:rPr>
                <w:b/>
              </w:rPr>
            </w:r>
            <w:r>
              <w:rPr>
                <w:b/>
                <w:sz w:val="18"/>
              </w:rPr>
              <w:t>Offering</w:t>
            </w:r>
          </w:p>
        </w:tc>
        <w:tc>
          <w:tcPr>
            <w:tcW w:type="dxa" w:w="2340"/>
          </w:tcPr>
          <w:p>
            <w:r>
              <w:rPr>
                <w:b/>
              </w:rPr>
            </w:r>
            <w:r>
              <w:rPr>
                <w:b/>
                <w:sz w:val="18"/>
              </w:rPr>
              <w:t>Books</w:t>
            </w:r>
          </w:p>
        </w:tc>
        <w:tc>
          <w:tcPr>
            <w:tcW w:type="dxa" w:w="2340"/>
          </w:tcPr>
          <w:p>
            <w:r>
              <w:rPr>
                <w:b/>
              </w:rPr>
            </w:r>
            <w:r>
              <w:rPr>
                <w:b/>
                <w:sz w:val="18"/>
              </w:rPr>
              <w:t>Notes</w:t>
            </w:r>
          </w:p>
        </w:tc>
      </w:tr>
      <w:tr>
        <w:tc>
          <w:tcPr>
            <w:tcW w:type="dxa" w:w="2340"/>
          </w:tcPr>
          <w:p>
            <w:r/>
            <w:r>
              <w:rPr>
                <w:sz w:val="18"/>
              </w:rPr>
              <w:t>Cisco</w:t>
            </w:r>
          </w:p>
        </w:tc>
        <w:tc>
          <w:tcPr>
            <w:tcW w:type="dxa" w:w="2340"/>
          </w:tcPr>
          <w:p>
            <w:r/>
            <w:r>
              <w:rPr>
                <w:sz w:val="18"/>
              </w:rPr>
              <w:t>Cisco U. &lt;https://u.cisco.com/&gt;</w:t>
            </w:r>
          </w:p>
        </w:tc>
        <w:tc>
          <w:tcPr>
            <w:tcW w:type="dxa" w:w="2340"/>
          </w:tcPr>
          <w:p>
            <w:r/>
            <w:r>
              <w:rPr>
                <w:sz w:val="18"/>
              </w:rPr>
              <w:t>02, 05</w:t>
            </w:r>
          </w:p>
        </w:tc>
        <w:tc>
          <w:tcPr>
            <w:tcW w:type="dxa" w:w="2340"/>
          </w:tcPr>
          <w:p>
            <w:r/>
            <w:r>
              <w:rPr>
                <w:sz w:val="18"/>
              </w:rPr>
              <w:t>SD-WAN (ENSDWI-track content), ISE/802.1X NAC, and enterprise routing paths; subscription with free tiers</w:t>
            </w:r>
          </w:p>
        </w:tc>
      </w:tr>
      <w:tr>
        <w:tc>
          <w:tcPr>
            <w:tcW w:type="dxa" w:w="2340"/>
          </w:tcPr>
          <w:p>
            <w:r/>
            <w:r>
              <w:rPr>
                <w:sz w:val="18"/>
              </w:rPr>
              <w:t>Cisco</w:t>
            </w:r>
          </w:p>
        </w:tc>
        <w:tc>
          <w:tcPr>
            <w:tcW w:type="dxa" w:w="2340"/>
          </w:tcPr>
          <w:p>
            <w:r/>
            <w:r>
              <w:rPr>
                <w:sz w:val="18"/>
              </w:rPr>
              <w:t>Networking Academy &lt;https://www.netacad.com/&gt;</w:t>
            </w:r>
          </w:p>
        </w:tc>
        <w:tc>
          <w:tcPr>
            <w:tcW w:type="dxa" w:w="2340"/>
          </w:tcPr>
          <w:p>
            <w:r/>
            <w:r>
              <w:rPr>
                <w:sz w:val="18"/>
              </w:rPr>
              <w:t>02, 05, 06</w:t>
            </w:r>
          </w:p>
        </w:tc>
        <w:tc>
          <w:tcPr>
            <w:tcW w:type="dxa" w:w="2340"/>
          </w:tcPr>
          <w:p>
            <w:r/>
            <w:r>
              <w:rPr>
                <w:sz w:val="18"/>
              </w:rPr>
              <w:t>Free foundational networking curriculum incl. switching/802.1X basics — good on-ramp for staff new to routing/switching</w:t>
            </w:r>
          </w:p>
        </w:tc>
      </w:tr>
      <w:tr>
        <w:tc>
          <w:tcPr>
            <w:tcW w:type="dxa" w:w="2340"/>
          </w:tcPr>
          <w:p>
            <w:r/>
            <w:r>
              <w:rPr>
                <w:sz w:val="18"/>
              </w:rPr>
              <w:t>Juniper</w:t>
            </w:r>
          </w:p>
        </w:tc>
        <w:tc>
          <w:tcPr>
            <w:tcW w:type="dxa" w:w="2340"/>
          </w:tcPr>
          <w:p>
            <w:r/>
            <w:r>
              <w:rPr>
                <w:sz w:val="18"/>
              </w:rPr>
              <w:t>Juniper Networks &lt;https://www.juniper.net/&gt;</w:t>
            </w:r>
          </w:p>
        </w:tc>
        <w:tc>
          <w:tcPr>
            <w:tcW w:type="dxa" w:w="2340"/>
          </w:tcPr>
          <w:p>
            <w:r/>
            <w:r>
              <w:rPr>
                <w:sz w:val="18"/>
              </w:rPr>
              <w:t>05</w:t>
            </w:r>
          </w:p>
        </w:tc>
        <w:tc>
          <w:tcPr>
            <w:tcW w:type="dxa" w:w="2340"/>
          </w:tcPr>
          <w:p>
            <w:r/>
            <w:r>
              <w:rPr>
                <w:sz w:val="18"/>
              </w:rPr>
              <w:t>Alternative SD-WAN/routing curriculum where Juniper gear is in scope — navigate to Training &amp; Certification (the Learning Portal host rejects automated checkers, so we link the stable root)</w:t>
            </w:r>
          </w:p>
        </w:tc>
      </w:tr>
      <w:tr>
        <w:tc>
          <w:tcPr>
            <w:tcW w:type="dxa" w:w="2340"/>
          </w:tcPr>
          <w:p>
            <w:r/>
            <w:r>
              <w:rPr>
                <w:sz w:val="18"/>
              </w:rPr>
              <w:t>Infoblox</w:t>
            </w:r>
          </w:p>
        </w:tc>
        <w:tc>
          <w:tcPr>
            <w:tcW w:type="dxa" w:w="2340"/>
          </w:tcPr>
          <w:p>
            <w:r/>
            <w:r>
              <w:rPr>
                <w:sz w:val="18"/>
              </w:rPr>
              <w:t>Infoblox Education &lt;https://www.infoblox.com/infoblox-education/&gt;</w:t>
            </w:r>
          </w:p>
        </w:tc>
        <w:tc>
          <w:tcPr>
            <w:tcW w:type="dxa" w:w="2340"/>
          </w:tcPr>
          <w:p>
            <w:r/>
            <w:r>
              <w:rPr>
                <w:sz w:val="18"/>
              </w:rPr>
              <w:t>01</w:t>
            </w:r>
          </w:p>
        </w:tc>
        <w:tc>
          <w:tcPr>
            <w:tcW w:type="dxa" w:w="2340"/>
          </w:tcPr>
          <w:p>
            <w:r/>
            <w:r>
              <w:rPr>
                <w:sz w:val="18"/>
              </w:rPr>
              <w:t>DDI (IPAM/DNS/DHCP) training for the Book 01 reference stack — self-paced role-based courses, certifications, and the free-account Launchpad platform</w:t>
            </w:r>
          </w:p>
        </w:tc>
      </w:tr>
      <w:tr>
        <w:tc>
          <w:tcPr>
            <w:tcW w:type="dxa" w:w="2340"/>
          </w:tcPr>
          <w:p>
            <w:r/>
            <w:r>
              <w:rPr>
                <w:sz w:val="18"/>
              </w:rPr>
              <w:t>BlueCat</w:t>
            </w:r>
          </w:p>
        </w:tc>
        <w:tc>
          <w:tcPr>
            <w:tcW w:type="dxa" w:w="2340"/>
          </w:tcPr>
          <w:p>
            <w:r/>
            <w:r>
              <w:rPr>
                <w:sz w:val="18"/>
              </w:rPr>
              <w:t>BlueCat Training &lt;https://bluecatnetworks.com/services/training/&gt;</w:t>
            </w:r>
          </w:p>
        </w:tc>
        <w:tc>
          <w:tcPr>
            <w:tcW w:type="dxa" w:w="2340"/>
          </w:tcPr>
          <w:p>
            <w:r/>
            <w:r>
              <w:rPr>
                <w:sz w:val="18"/>
              </w:rPr>
              <w:t>01</w:t>
            </w:r>
          </w:p>
        </w:tc>
        <w:tc>
          <w:tcPr>
            <w:tcW w:type="dxa" w:w="2340"/>
          </w:tcPr>
          <w:p>
            <w:r/>
            <w:r>
              <w:rPr>
                <w:sz w:val="18"/>
              </w:rPr>
              <w:t>DDI learning paths with Associate/Professional/Advanced certifications, for the BlueCat migration path covered by the UIAO modernization adapter</w:t>
            </w:r>
          </w:p>
        </w:tc>
      </w:tr>
      <w:tr>
        <w:tc>
          <w:tcPr>
            <w:tcW w:type="dxa" w:w="2340"/>
          </w:tcPr>
          <w:p>
            <w:r/>
            <w:r>
              <w:rPr>
                <w:sz w:val="18"/>
              </w:rPr>
              <w:t>CompTIA</w:t>
            </w:r>
          </w:p>
        </w:tc>
        <w:tc>
          <w:tcPr>
            <w:tcW w:type="dxa" w:w="2340"/>
          </w:tcPr>
          <w:p>
            <w:r/>
            <w:r>
              <w:rPr>
                <w:sz w:val="18"/>
              </w:rPr>
              <w:t>CompTIA (Network+, Security+) &lt;https://www.comptia.org/&gt;</w:t>
            </w:r>
          </w:p>
        </w:tc>
        <w:tc>
          <w:tcPr>
            <w:tcW w:type="dxa" w:w="2340"/>
          </w:tcPr>
          <w:p>
            <w:r/>
            <w:r>
              <w:rPr>
                <w:sz w:val="18"/>
              </w:rPr>
              <w:t>00–05</w:t>
            </w:r>
          </w:p>
        </w:tc>
        <w:tc>
          <w:tcPr>
            <w:tcW w:type="dxa" w:w="2340"/>
          </w:tcPr>
          <w:p>
            <w:r/>
            <w:r>
              <w:rPr>
                <w:sz w:val="18"/>
              </w:rPr>
              <w:t>Vendor-neutral baseline for staff entering the program without a networking background</w:t>
            </w:r>
          </w:p>
        </w:tc>
      </w:tr>
    </w:tbl>
    <w:p/>
    <w:p>
      <w:pPr>
        <w:pStyle w:val="Heading3"/>
      </w:pPr>
      <w:r>
        <w:rPr>
          <w:color w:val="0D1B2E"/>
        </w:rPr>
        <w:t>Identity &amp; zero trust</w:t>
      </w:r>
    </w:p>
    <w:tbl>
      <w:tblPr>
        <w:tblStyle w:val="LightList-Accent1"/>
        <w:tblW w:type="auto" w:w="0"/>
        <w:tblLook w:firstColumn="1" w:firstRow="1" w:lastColumn="0" w:lastRow="0" w:noHBand="0" w:noVBand="1" w:val="04A0"/>
      </w:tblPr>
      <w:tblGrid>
        <w:gridCol w:w="2340"/>
        <w:gridCol w:w="2340"/>
        <w:gridCol w:w="2340"/>
        <w:gridCol w:w="2340"/>
      </w:tblGrid>
      <w:tr>
        <w:tc>
          <w:tcPr>
            <w:tcW w:type="dxa" w:w="2340"/>
          </w:tcPr>
          <w:p>
            <w:r>
              <w:rPr>
                <w:b/>
              </w:rPr>
            </w:r>
            <w:r>
              <w:rPr>
                <w:b/>
                <w:sz w:val="18"/>
              </w:rPr>
              <w:t>Vendor</w:t>
            </w:r>
          </w:p>
        </w:tc>
        <w:tc>
          <w:tcPr>
            <w:tcW w:type="dxa" w:w="2340"/>
          </w:tcPr>
          <w:p>
            <w:r>
              <w:rPr>
                <w:b/>
              </w:rPr>
            </w:r>
            <w:r>
              <w:rPr>
                <w:b/>
                <w:sz w:val="18"/>
              </w:rPr>
              <w:t>Offering</w:t>
            </w:r>
          </w:p>
        </w:tc>
        <w:tc>
          <w:tcPr>
            <w:tcW w:type="dxa" w:w="2340"/>
          </w:tcPr>
          <w:p>
            <w:r>
              <w:rPr>
                <w:b/>
              </w:rPr>
            </w:r>
            <w:r>
              <w:rPr>
                <w:b/>
                <w:sz w:val="18"/>
              </w:rPr>
              <w:t>Books</w:t>
            </w:r>
          </w:p>
        </w:tc>
        <w:tc>
          <w:tcPr>
            <w:tcW w:type="dxa" w:w="2340"/>
          </w:tcPr>
          <w:p>
            <w:r>
              <w:rPr>
                <w:b/>
              </w:rPr>
            </w:r>
            <w:r>
              <w:rPr>
                <w:b/>
                <w:sz w:val="18"/>
              </w:rPr>
              <w:t>Notes</w:t>
            </w:r>
          </w:p>
        </w:tc>
      </w:tr>
      <w:tr>
        <w:tc>
          <w:tcPr>
            <w:tcW w:type="dxa" w:w="2340"/>
          </w:tcPr>
          <w:p>
            <w:r/>
            <w:r>
              <w:rPr>
                <w:sz w:val="18"/>
              </w:rPr>
              <w:t>Microsoft</w:t>
            </w:r>
          </w:p>
        </w:tc>
        <w:tc>
          <w:tcPr>
            <w:tcW w:type="dxa" w:w="2340"/>
          </w:tcPr>
          <w:p>
            <w:r/>
            <w:r>
              <w:rPr>
                <w:sz w:val="18"/>
              </w:rPr>
              <w:t>SC-300 / AZ-500 (see §Microsoft)</w:t>
            </w:r>
          </w:p>
        </w:tc>
        <w:tc>
          <w:tcPr>
            <w:tcW w:type="dxa" w:w="2340"/>
          </w:tcPr>
          <w:p>
            <w:r/>
            <w:r>
              <w:rPr>
                <w:sz w:val="18"/>
              </w:rPr>
              <w:t>03, 04, 06, 07, 10</w:t>
            </w:r>
          </w:p>
        </w:tc>
        <w:tc>
          <w:tcPr>
            <w:tcW w:type="dxa" w:w="2340"/>
          </w:tcPr>
          <w:p>
            <w:r/>
            <w:r>
              <w:rPr>
                <w:sz w:val="18"/>
              </w:rPr>
              <w:t>Primary identity stack, incl. the Book 03 credential plane and Book 04 lifecycle provisioning</w:t>
            </w:r>
          </w:p>
        </w:tc>
      </w:tr>
      <w:tr>
        <w:tc>
          <w:tcPr>
            <w:tcW w:type="dxa" w:w="2340"/>
          </w:tcPr>
          <w:p>
            <w:r/>
            <w:r>
              <w:rPr>
                <w:sz w:val="18"/>
              </w:rPr>
              <w:t>SailPoint</w:t>
            </w:r>
          </w:p>
        </w:tc>
        <w:tc>
          <w:tcPr>
            <w:tcW w:type="dxa" w:w="2340"/>
          </w:tcPr>
          <w:p>
            <w:r/>
            <w:r>
              <w:rPr>
                <w:sz w:val="18"/>
              </w:rPr>
              <w:t>Identity University &lt;https://www.sailpoint.com/university&gt;</w:t>
            </w:r>
          </w:p>
        </w:tc>
        <w:tc>
          <w:tcPr>
            <w:tcW w:type="dxa" w:w="2340"/>
          </w:tcPr>
          <w:p>
            <w:r/>
            <w:r>
              <w:rPr>
                <w:sz w:val="18"/>
              </w:rPr>
              <w:t>04, 06</w:t>
            </w:r>
          </w:p>
        </w:tc>
        <w:tc>
          <w:tcPr>
            <w:tcW w:type="dxa" w:w="2340"/>
          </w:tcPr>
          <w:p>
            <w:r/>
            <w:r>
              <w:rPr>
                <w:sz w:val="18"/>
              </w:rPr>
              <w:t>Role-based identity-security training paths and certifications — joiner-mover-leaver governance for Book 04's lifecycle; relevant to the Non-Employee Risk Management boundary exception (ADR-059)</w:t>
            </w:r>
          </w:p>
        </w:tc>
      </w:tr>
      <w:tr>
        <w:tc>
          <w:tcPr>
            <w:tcW w:type="dxa" w:w="2340"/>
          </w:tcPr>
          <w:p>
            <w:r/>
            <w:r>
              <w:rPr>
                <w:sz w:val="18"/>
              </w:rPr>
              <w:t>Fortinet</w:t>
            </w:r>
          </w:p>
        </w:tc>
        <w:tc>
          <w:tcPr>
            <w:tcW w:type="dxa" w:w="2340"/>
          </w:tcPr>
          <w:p>
            <w:r/>
            <w:r>
              <w:rPr>
                <w:sz w:val="18"/>
              </w:rPr>
              <w:t>Fortinet Training Institute &lt;https://training.fortinet.com/&gt;</w:t>
            </w:r>
          </w:p>
        </w:tc>
        <w:tc>
          <w:tcPr>
            <w:tcW w:type="dxa" w:w="2340"/>
          </w:tcPr>
          <w:p>
            <w:r/>
            <w:r>
              <w:rPr>
                <w:sz w:val="18"/>
              </w:rPr>
              <w:t>05, 06</w:t>
            </w:r>
          </w:p>
        </w:tc>
        <w:tc>
          <w:tcPr>
            <w:tcW w:type="dxa" w:w="2340"/>
          </w:tcPr>
          <w:p>
            <w:r/>
            <w:r>
              <w:rPr>
                <w:sz w:val="18"/>
              </w:rPr>
              <w:t>Free NSE-track courses; SASE/ZTNA modules relevant to Books 05–06</w:t>
            </w:r>
          </w:p>
        </w:tc>
      </w:tr>
      <w:tr>
        <w:tc>
          <w:tcPr>
            <w:tcW w:type="dxa" w:w="2340"/>
          </w:tcPr>
          <w:p>
            <w:r/>
            <w:r>
              <w:rPr>
                <w:sz w:val="18"/>
              </w:rPr>
              <w:t>Palo Alto Networks</w:t>
            </w:r>
          </w:p>
        </w:tc>
        <w:tc>
          <w:tcPr>
            <w:tcW w:type="dxa" w:w="2340"/>
          </w:tcPr>
          <w:p>
            <w:r/>
            <w:r>
              <w:rPr>
                <w:sz w:val="18"/>
              </w:rPr>
              <w:t>Education services &lt;https://www.paloaltonetworks.com/services/education&gt;</w:t>
            </w:r>
          </w:p>
        </w:tc>
        <w:tc>
          <w:tcPr>
            <w:tcW w:type="dxa" w:w="2340"/>
          </w:tcPr>
          <w:p>
            <w:r/>
            <w:r>
              <w:rPr>
                <w:sz w:val="18"/>
              </w:rPr>
              <w:t>05, 06</w:t>
            </w:r>
          </w:p>
        </w:tc>
        <w:tc>
          <w:tcPr>
            <w:tcW w:type="dxa" w:w="2340"/>
          </w:tcPr>
          <w:p>
            <w:r/>
            <w:r>
              <w:rPr>
                <w:sz w:val="18"/>
              </w:rPr>
              <w:t>SASE (Prisma-track) coursework where Palo Alto is the SASE vendor</w:t>
            </w:r>
          </w:p>
        </w:tc>
      </w:tr>
      <w:tr>
        <w:tc>
          <w:tcPr>
            <w:tcW w:type="dxa" w:w="2340"/>
          </w:tcPr>
          <w:p>
            <w:r/>
            <w:r>
              <w:rPr>
                <w:sz w:val="18"/>
              </w:rPr>
              <w:t>Zscaler</w:t>
            </w:r>
          </w:p>
        </w:tc>
        <w:tc>
          <w:tcPr>
            <w:tcW w:type="dxa" w:w="2340"/>
          </w:tcPr>
          <w:p>
            <w:r/>
            <w:r>
              <w:rPr>
                <w:sz w:val="18"/>
              </w:rPr>
              <w:t>Zscaler Cyber Academy &lt;https://www.zscaler.com/zscaler-cyber-academy&gt;</w:t>
            </w:r>
          </w:p>
        </w:tc>
        <w:tc>
          <w:tcPr>
            <w:tcW w:type="dxa" w:w="2340"/>
          </w:tcPr>
          <w:p>
            <w:r/>
            <w:r>
              <w:rPr>
                <w:sz w:val="18"/>
              </w:rPr>
              <w:t>05, 06</w:t>
            </w:r>
          </w:p>
        </w:tc>
        <w:tc>
          <w:tcPr>
            <w:tcW w:type="dxa" w:w="2340"/>
          </w:tcPr>
          <w:p>
            <w:r/>
            <w:r>
              <w:rPr>
                <w:sz w:val="18"/>
              </w:rPr>
              <w:t>ZDTA/ZTCA-track SASE and zero-trust courses; a separate Government Academy exists for federal customers</w:t>
            </w:r>
          </w:p>
        </w:tc>
      </w:tr>
      <w:tr>
        <w:tc>
          <w:tcPr>
            <w:tcW w:type="dxa" w:w="2340"/>
          </w:tcPr>
          <w:p>
            <w:r/>
            <w:r>
              <w:rPr>
                <w:sz w:val="18"/>
              </w:rPr>
              <w:t>Netskope</w:t>
            </w:r>
          </w:p>
        </w:tc>
        <w:tc>
          <w:tcPr>
            <w:tcW w:type="dxa" w:w="2340"/>
          </w:tcPr>
          <w:p>
            <w:r/>
            <w:r>
              <w:rPr>
                <w:sz w:val="18"/>
              </w:rPr>
              <w:t>Netskope Training &lt;https://www.netskope.com/training&gt;</w:t>
            </w:r>
          </w:p>
        </w:tc>
        <w:tc>
          <w:tcPr>
            <w:tcW w:type="dxa" w:w="2340"/>
          </w:tcPr>
          <w:p>
            <w:r/>
            <w:r>
              <w:rPr>
                <w:sz w:val="18"/>
              </w:rPr>
              <w:t>05, 06</w:t>
            </w:r>
          </w:p>
        </w:tc>
        <w:tc>
          <w:tcPr>
            <w:tcW w:type="dxa" w:w="2340"/>
          </w:tcPr>
          <w:p>
            <w:r/>
            <w:r>
              <w:rPr>
                <w:sz w:val="18"/>
              </w:rPr>
              <w:t>Netskope One administrator/professional courses and SASE accreditation</w:t>
            </w:r>
          </w:p>
        </w:tc>
      </w:tr>
    </w:tbl>
    <w:p/>
    <w:p>
      <w:pPr>
        <w:pStyle w:val="Heading3"/>
      </w:pPr>
      <w:r>
        <w:rPr>
          <w:color w:val="0D1B2E"/>
        </w:rPr>
        <w:t>Data platform</w:t>
      </w:r>
    </w:p>
    <w:tbl>
      <w:tblPr>
        <w:tblStyle w:val="LightList-Accent1"/>
        <w:tblW w:type="auto" w:w="0"/>
        <w:tblLook w:firstColumn="1" w:firstRow="1" w:lastColumn="0" w:lastRow="0" w:noHBand="0" w:noVBand="1" w:val="04A0"/>
      </w:tblPr>
      <w:tblGrid>
        <w:gridCol w:w="2340"/>
        <w:gridCol w:w="2340"/>
        <w:gridCol w:w="2340"/>
        <w:gridCol w:w="2340"/>
      </w:tblGrid>
      <w:tr>
        <w:tc>
          <w:tcPr>
            <w:tcW w:type="dxa" w:w="2340"/>
          </w:tcPr>
          <w:p>
            <w:r>
              <w:rPr>
                <w:b/>
              </w:rPr>
            </w:r>
            <w:r>
              <w:rPr>
                <w:b/>
                <w:sz w:val="18"/>
              </w:rPr>
              <w:t>Vendor</w:t>
            </w:r>
          </w:p>
        </w:tc>
        <w:tc>
          <w:tcPr>
            <w:tcW w:type="dxa" w:w="2340"/>
          </w:tcPr>
          <w:p>
            <w:r>
              <w:rPr>
                <w:b/>
              </w:rPr>
            </w:r>
            <w:r>
              <w:rPr>
                <w:b/>
                <w:sz w:val="18"/>
              </w:rPr>
              <w:t>Offering</w:t>
            </w:r>
          </w:p>
        </w:tc>
        <w:tc>
          <w:tcPr>
            <w:tcW w:type="dxa" w:w="2340"/>
          </w:tcPr>
          <w:p>
            <w:r>
              <w:rPr>
                <w:b/>
              </w:rPr>
            </w:r>
            <w:r>
              <w:rPr>
                <w:b/>
                <w:sz w:val="18"/>
              </w:rPr>
              <w:t>Books</w:t>
            </w:r>
          </w:p>
        </w:tc>
        <w:tc>
          <w:tcPr>
            <w:tcW w:type="dxa" w:w="2340"/>
          </w:tcPr>
          <w:p>
            <w:r>
              <w:rPr>
                <w:b/>
              </w:rPr>
            </w:r>
            <w:r>
              <w:rPr>
                <w:b/>
                <w:sz w:val="18"/>
              </w:rPr>
              <w:t>Notes</w:t>
            </w:r>
          </w:p>
        </w:tc>
      </w:tr>
      <w:tr>
        <w:tc>
          <w:tcPr>
            <w:tcW w:type="dxa" w:w="2340"/>
          </w:tcPr>
          <w:p>
            <w:r/>
            <w:r>
              <w:rPr>
                <w:sz w:val="18"/>
              </w:rPr>
              <w:t>Microsoft</w:t>
            </w:r>
          </w:p>
        </w:tc>
        <w:tc>
          <w:tcPr>
            <w:tcW w:type="dxa" w:w="2340"/>
          </w:tcPr>
          <w:p>
            <w:r/>
            <w:r>
              <w:rPr>
                <w:sz w:val="18"/>
              </w:rPr>
              <w:t>DP-300 + SQL learning paths (see §Microsoft)</w:t>
            </w:r>
          </w:p>
        </w:tc>
        <w:tc>
          <w:tcPr>
            <w:tcW w:type="dxa" w:w="2340"/>
          </w:tcPr>
          <w:p>
            <w:r/>
            <w:r>
              <w:rPr>
                <w:sz w:val="18"/>
              </w:rPr>
              <w:t>07, 08, 09</w:t>
            </w:r>
          </w:p>
        </w:tc>
        <w:tc>
          <w:tcPr>
            <w:tcW w:type="dxa" w:w="2340"/>
          </w:tcPr>
          <w:p>
            <w:r/>
            <w:r>
              <w:rPr>
                <w:sz w:val="18"/>
              </w:rPr>
              <w:t>Authentication modernization, managed instance patterns, HA/DR for the consolidation architecture</w:t>
            </w:r>
          </w:p>
        </w:tc>
      </w:tr>
    </w:tbl>
    <w:p/>
    <w:p>
      <w:pPr>
        <w:pStyle w:val="Heading3"/>
      </w:pPr>
      <w:r>
        <w:rPr>
          <w:color w:val="0D1B2E"/>
        </w:rPr>
        <w:t>Security operations</w:t>
      </w:r>
    </w:p>
    <w:tbl>
      <w:tblPr>
        <w:tblStyle w:val="LightList-Accent1"/>
        <w:tblW w:type="auto" w:w="0"/>
        <w:tblLook w:firstColumn="1" w:firstRow="1" w:lastColumn="0" w:lastRow="0" w:noHBand="0" w:noVBand="1" w:val="04A0"/>
      </w:tblPr>
      <w:tblGrid>
        <w:gridCol w:w="2340"/>
        <w:gridCol w:w="2340"/>
        <w:gridCol w:w="2340"/>
        <w:gridCol w:w="2340"/>
      </w:tblGrid>
      <w:tr>
        <w:tc>
          <w:tcPr>
            <w:tcW w:type="dxa" w:w="2340"/>
          </w:tcPr>
          <w:p>
            <w:r>
              <w:rPr>
                <w:b/>
              </w:rPr>
            </w:r>
            <w:r>
              <w:rPr>
                <w:b/>
                <w:sz w:val="18"/>
              </w:rPr>
              <w:t>Vendor</w:t>
            </w:r>
          </w:p>
        </w:tc>
        <w:tc>
          <w:tcPr>
            <w:tcW w:type="dxa" w:w="2340"/>
          </w:tcPr>
          <w:p>
            <w:r>
              <w:rPr>
                <w:b/>
              </w:rPr>
            </w:r>
            <w:r>
              <w:rPr>
                <w:b/>
                <w:sz w:val="18"/>
              </w:rPr>
              <w:t>Offering</w:t>
            </w:r>
          </w:p>
        </w:tc>
        <w:tc>
          <w:tcPr>
            <w:tcW w:type="dxa" w:w="2340"/>
          </w:tcPr>
          <w:p>
            <w:r>
              <w:rPr>
                <w:b/>
              </w:rPr>
            </w:r>
            <w:r>
              <w:rPr>
                <w:b/>
                <w:sz w:val="18"/>
              </w:rPr>
              <w:t>Books</w:t>
            </w:r>
          </w:p>
        </w:tc>
        <w:tc>
          <w:tcPr>
            <w:tcW w:type="dxa" w:w="2340"/>
          </w:tcPr>
          <w:p>
            <w:r>
              <w:rPr>
                <w:b/>
              </w:rPr>
            </w:r>
            <w:r>
              <w:rPr>
                <w:b/>
                <w:sz w:val="18"/>
              </w:rPr>
              <w:t>Notes</w:t>
            </w:r>
          </w:p>
        </w:tc>
      </w:tr>
      <w:tr>
        <w:tc>
          <w:tcPr>
            <w:tcW w:type="dxa" w:w="2340"/>
          </w:tcPr>
          <w:p>
            <w:r/>
            <w:r>
              <w:rPr>
                <w:sz w:val="18"/>
              </w:rPr>
              <w:t>Microsoft</w:t>
            </w:r>
          </w:p>
        </w:tc>
        <w:tc>
          <w:tcPr>
            <w:tcW w:type="dxa" w:w="2340"/>
          </w:tcPr>
          <w:p>
            <w:r/>
            <w:r>
              <w:rPr>
                <w:sz w:val="18"/>
              </w:rPr>
              <w:t>SC-200 (see §Microsoft)</w:t>
            </w:r>
          </w:p>
        </w:tc>
        <w:tc>
          <w:tcPr>
            <w:tcW w:type="dxa" w:w="2340"/>
          </w:tcPr>
          <w:p>
            <w:r/>
            <w:r>
              <w:rPr>
                <w:sz w:val="18"/>
              </w:rPr>
              <w:t>11, 13</w:t>
            </w:r>
          </w:p>
        </w:tc>
        <w:tc>
          <w:tcPr>
            <w:tcW w:type="dxa" w:w="2340"/>
          </w:tcPr>
          <w:p>
            <w:r/>
            <w:r>
              <w:rPr>
                <w:sz w:val="18"/>
              </w:rPr>
              <w:t>Sentinel + Defender — the reference SIEM/XDR</w:t>
            </w:r>
          </w:p>
        </w:tc>
      </w:tr>
      <w:tr>
        <w:tc>
          <w:tcPr>
            <w:tcW w:type="dxa" w:w="2340"/>
          </w:tcPr>
          <w:p>
            <w:r/>
            <w:r>
              <w:rPr>
                <w:sz w:val="18"/>
              </w:rPr>
              <w:t>Splunk</w:t>
            </w:r>
          </w:p>
        </w:tc>
        <w:tc>
          <w:tcPr>
            <w:tcW w:type="dxa" w:w="2340"/>
          </w:tcPr>
          <w:p>
            <w:r/>
            <w:r>
              <w:rPr>
                <w:sz w:val="18"/>
              </w:rPr>
              <w:t>Splunk training &lt;https://www.splunk.com/en_us/training.html&gt;</w:t>
            </w:r>
          </w:p>
        </w:tc>
        <w:tc>
          <w:tcPr>
            <w:tcW w:type="dxa" w:w="2340"/>
          </w:tcPr>
          <w:p>
            <w:r/>
            <w:r>
              <w:rPr>
                <w:sz w:val="18"/>
              </w:rPr>
              <w:t>13</w:t>
            </w:r>
          </w:p>
        </w:tc>
        <w:tc>
          <w:tcPr>
            <w:tcW w:type="dxa" w:w="2340"/>
          </w:tcPr>
          <w:p>
            <w:r/>
            <w:r>
              <w:rPr>
                <w:sz w:val="18"/>
              </w:rPr>
              <w:t>Portable SIEM/detection fundamentals; useful where agencies run mixed SIEM estates</w:t>
            </w:r>
          </w:p>
        </w:tc>
      </w:tr>
      <w:tr>
        <w:tc>
          <w:tcPr>
            <w:tcW w:type="dxa" w:w="2340"/>
          </w:tcPr>
          <w:p>
            <w:r/>
            <w:r>
              <w:rPr>
                <w:sz w:val="18"/>
              </w:rPr>
              <w:t>Elastic</w:t>
            </w:r>
          </w:p>
        </w:tc>
        <w:tc>
          <w:tcPr>
            <w:tcW w:type="dxa" w:w="2340"/>
          </w:tcPr>
          <w:p>
            <w:r/>
            <w:r>
              <w:rPr>
                <w:sz w:val="18"/>
              </w:rPr>
              <w:t>Elastic training &lt;https://www.elastic.co/training/&gt;</w:t>
            </w:r>
          </w:p>
        </w:tc>
        <w:tc>
          <w:tcPr>
            <w:tcW w:type="dxa" w:w="2340"/>
          </w:tcPr>
          <w:p>
            <w:r/>
            <w:r>
              <w:rPr>
                <w:sz w:val="18"/>
              </w:rPr>
              <w:t>13</w:t>
            </w:r>
          </w:p>
        </w:tc>
        <w:tc>
          <w:tcPr>
            <w:tcW w:type="dxa" w:w="2340"/>
          </w:tcPr>
          <w:p>
            <w:r/>
            <w:r>
              <w:rPr>
                <w:sz w:val="18"/>
              </w:rPr>
              <w:t>Same rationale as Splunk — detection engineering concepts transfer</w:t>
            </w:r>
          </w:p>
        </w:tc>
      </w:tr>
      <w:tr>
        <w:tc>
          <w:tcPr>
            <w:tcW w:type="dxa" w:w="2340"/>
          </w:tcPr>
          <w:p>
            <w:r/>
            <w:r>
              <w:rPr>
                <w:sz w:val="18"/>
              </w:rPr>
              <w:t>SANS</w:t>
            </w:r>
          </w:p>
        </w:tc>
        <w:tc>
          <w:tcPr>
            <w:tcW w:type="dxa" w:w="2340"/>
          </w:tcPr>
          <w:p>
            <w:r/>
            <w:r>
              <w:rPr>
                <w:sz w:val="18"/>
              </w:rPr>
              <w:t>SANS course catalog &lt;https://www.sans.org/cyber-security-courses/&gt;</w:t>
            </w:r>
          </w:p>
        </w:tc>
        <w:tc>
          <w:tcPr>
            <w:tcW w:type="dxa" w:w="2340"/>
          </w:tcPr>
          <w:p>
            <w:r/>
            <w:r>
              <w:rPr>
                <w:sz w:val="18"/>
              </w:rPr>
              <w:t>10, 11, 13, 18</w:t>
            </w:r>
          </w:p>
        </w:tc>
        <w:tc>
          <w:tcPr>
            <w:tcW w:type="dxa" w:w="2340"/>
          </w:tcPr>
          <w:p>
            <w:r/>
            <w:r>
              <w:rPr>
                <w:sz w:val="18"/>
              </w:rPr>
              <w:t>Instructor-led depth (detection engineering, vuln management, privileged access); paid, GIAC-certifiable</w:t>
            </w:r>
          </w:p>
        </w:tc>
      </w:tr>
      <w:tr>
        <w:tc>
          <w:tcPr>
            <w:tcW w:type="dxa" w:w="2340"/>
          </w:tcPr>
          <w:p>
            <w:r/>
            <w:r>
              <w:rPr>
                <w:sz w:val="18"/>
              </w:rPr>
              <w:t>ISC2</w:t>
            </w:r>
          </w:p>
        </w:tc>
        <w:tc>
          <w:tcPr>
            <w:tcW w:type="dxa" w:w="2340"/>
          </w:tcPr>
          <w:p>
            <w:r/>
            <w:r>
              <w:rPr>
                <w:sz w:val="18"/>
              </w:rPr>
              <w:t>ISC2 certifications &lt;https://www.isc2.org/&gt;</w:t>
            </w:r>
          </w:p>
        </w:tc>
        <w:tc>
          <w:tcPr>
            <w:tcW w:type="dxa" w:w="2340"/>
          </w:tcPr>
          <w:p>
            <w:r/>
            <w:r>
              <w:rPr>
                <w:sz w:val="18"/>
              </w:rPr>
              <w:t>00, 16</w:t>
            </w:r>
          </w:p>
        </w:tc>
        <w:tc>
          <w:tcPr>
            <w:tcW w:type="dxa" w:w="2340"/>
          </w:tcPr>
          <w:p>
            <w:r/>
            <w:r>
              <w:rPr>
                <w:sz w:val="18"/>
              </w:rPr>
              <w:t>CISSP/CGRC-track governance framing for program leads</w:t>
            </w:r>
          </w:p>
        </w:tc>
      </w:tr>
      <w:tr>
        <w:tc>
          <w:tcPr>
            <w:tcW w:type="dxa" w:w="2340"/>
          </w:tcPr>
          <w:p>
            <w:r/>
            <w:r>
              <w:rPr>
                <w:sz w:val="18"/>
              </w:rPr>
              <w:t>Tenable</w:t>
            </w:r>
          </w:p>
        </w:tc>
        <w:tc>
          <w:tcPr>
            <w:tcW w:type="dxa" w:w="2340"/>
          </w:tcPr>
          <w:p>
            <w:r/>
            <w:r>
              <w:rPr>
                <w:sz w:val="18"/>
              </w:rPr>
              <w:t>Tenable education &lt;https://www.tenable.com/education&gt;</w:t>
            </w:r>
          </w:p>
        </w:tc>
        <w:tc>
          <w:tcPr>
            <w:tcW w:type="dxa" w:w="2340"/>
          </w:tcPr>
          <w:p>
            <w:r/>
            <w:r>
              <w:rPr>
                <w:sz w:val="18"/>
              </w:rPr>
              <w:t>11</w:t>
            </w:r>
          </w:p>
        </w:tc>
        <w:tc>
          <w:tcPr>
            <w:tcW w:type="dxa" w:w="2340"/>
          </w:tcPr>
          <w:p>
            <w:r/>
            <w:r>
              <w:rPr>
                <w:sz w:val="18"/>
              </w:rPr>
              <w:t>Nessus / Tenable VM courses and certifications — alternative vuln-management stack for agencies not on Defender VM</w:t>
            </w:r>
          </w:p>
        </w:tc>
      </w:tr>
      <w:tr>
        <w:tc>
          <w:tcPr>
            <w:tcW w:type="dxa" w:w="2340"/>
          </w:tcPr>
          <w:p>
            <w:r/>
            <w:r>
              <w:rPr>
                <w:sz w:val="18"/>
              </w:rPr>
              <w:t>Qualys</w:t>
            </w:r>
          </w:p>
        </w:tc>
        <w:tc>
          <w:tcPr>
            <w:tcW w:type="dxa" w:w="2340"/>
          </w:tcPr>
          <w:p>
            <w:r/>
            <w:r>
              <w:rPr>
                <w:sz w:val="18"/>
              </w:rPr>
              <w:t>Qualys training &lt;https://www.qualys.com/training/&gt;</w:t>
            </w:r>
          </w:p>
        </w:tc>
        <w:tc>
          <w:tcPr>
            <w:tcW w:type="dxa" w:w="2340"/>
          </w:tcPr>
          <w:p>
            <w:r/>
            <w:r>
              <w:rPr>
                <w:sz w:val="18"/>
              </w:rPr>
              <w:t>11</w:t>
            </w:r>
          </w:p>
        </w:tc>
        <w:tc>
          <w:tcPr>
            <w:tcW w:type="dxa" w:w="2340"/>
          </w:tcPr>
          <w:p>
            <w:r/>
            <w:r>
              <w:rPr>
                <w:sz w:val="18"/>
              </w:rPr>
              <w:t>Free certified courses with hands-on labs (VMDR, CSAM) — same alternative-stack rationale as Tenable</w:t>
            </w:r>
          </w:p>
        </w:tc>
      </w:tr>
    </w:tbl>
    <w:p/>
    <w:p>
      <w:pPr>
        <w:pStyle w:val="Heading3"/>
      </w:pPr>
      <w:r>
        <w:rPr>
          <w:color w:val="0D1B2E"/>
        </w:rPr>
        <w:t>Federal &amp; compliance</w:t>
      </w:r>
    </w:p>
    <w:tbl>
      <w:tblPr>
        <w:tblStyle w:val="LightList-Accent1"/>
        <w:tblW w:type="auto" w:w="0"/>
        <w:tblLook w:firstColumn="1" w:firstRow="1" w:lastColumn="0" w:lastRow="0" w:noHBand="0" w:noVBand="1" w:val="04A0"/>
      </w:tblPr>
      <w:tblGrid>
        <w:gridCol w:w="2340"/>
        <w:gridCol w:w="2340"/>
        <w:gridCol w:w="2340"/>
        <w:gridCol w:w="2340"/>
      </w:tblGrid>
      <w:tr>
        <w:tc>
          <w:tcPr>
            <w:tcW w:type="dxa" w:w="2340"/>
          </w:tcPr>
          <w:p>
            <w:r>
              <w:rPr>
                <w:b/>
              </w:rPr>
            </w:r>
            <w:r>
              <w:rPr>
                <w:b/>
                <w:sz w:val="18"/>
              </w:rPr>
              <w:t>Source</w:t>
            </w:r>
          </w:p>
        </w:tc>
        <w:tc>
          <w:tcPr>
            <w:tcW w:type="dxa" w:w="2340"/>
          </w:tcPr>
          <w:p>
            <w:r>
              <w:rPr>
                <w:b/>
              </w:rPr>
            </w:r>
            <w:r>
              <w:rPr>
                <w:b/>
                <w:sz w:val="18"/>
              </w:rPr>
              <w:t>Offering</w:t>
            </w:r>
          </w:p>
        </w:tc>
        <w:tc>
          <w:tcPr>
            <w:tcW w:type="dxa" w:w="2340"/>
          </w:tcPr>
          <w:p>
            <w:r>
              <w:rPr>
                <w:b/>
              </w:rPr>
            </w:r>
            <w:r>
              <w:rPr>
                <w:b/>
                <w:sz w:val="18"/>
              </w:rPr>
              <w:t>Books</w:t>
            </w:r>
          </w:p>
        </w:tc>
        <w:tc>
          <w:tcPr>
            <w:tcW w:type="dxa" w:w="2340"/>
          </w:tcPr>
          <w:p>
            <w:r>
              <w:rPr>
                <w:b/>
              </w:rPr>
            </w:r>
            <w:r>
              <w:rPr>
                <w:b/>
                <w:sz w:val="18"/>
              </w:rPr>
              <w:t>Notes</w:t>
            </w:r>
          </w:p>
        </w:tc>
      </w:tr>
      <w:tr>
        <w:tc>
          <w:tcPr>
            <w:tcW w:type="dxa" w:w="2340"/>
          </w:tcPr>
          <w:p>
            <w:r/>
            <w:r>
              <w:rPr>
                <w:sz w:val="18"/>
              </w:rPr>
              <w:t>CISA</w:t>
            </w:r>
          </w:p>
        </w:tc>
        <w:tc>
          <w:tcPr>
            <w:tcW w:type="dxa" w:w="2340"/>
          </w:tcPr>
          <w:p>
            <w:r/>
            <w:r>
              <w:rPr>
                <w:sz w:val="18"/>
              </w:rPr>
              <w:t>CISA Learning &lt;https://learning.cisa.gov/&gt;</w:t>
            </w:r>
          </w:p>
        </w:tc>
        <w:tc>
          <w:tcPr>
            <w:tcW w:type="dxa" w:w="2340"/>
          </w:tcPr>
          <w:p>
            <w:r/>
            <w:r>
              <w:rPr>
                <w:sz w:val="18"/>
              </w:rPr>
              <w:t>11, 13, 14, 18</w:t>
            </w:r>
          </w:p>
        </w:tc>
        <w:tc>
          <w:tcPr>
            <w:tcW w:type="dxa" w:w="2340"/>
          </w:tcPr>
          <w:p>
            <w:r/>
            <w:r>
              <w:rPr>
                <w:sz w:val="18"/>
              </w:rPr>
              <w:t>Free federal cyber training platform (successor to FedVTE) — incident response, vuln management, continuity</w:t>
            </w:r>
          </w:p>
        </w:tc>
      </w:tr>
      <w:tr>
        <w:tc>
          <w:tcPr>
            <w:tcW w:type="dxa" w:w="2340"/>
          </w:tcPr>
          <w:p>
            <w:r/>
            <w:r>
              <w:rPr>
                <w:sz w:val="18"/>
              </w:rPr>
              <w:t>CISA</w:t>
            </w:r>
          </w:p>
        </w:tc>
        <w:tc>
          <w:tcPr>
            <w:tcW w:type="dxa" w:w="2340"/>
          </w:tcPr>
          <w:p>
            <w:r/>
            <w:r>
              <w:rPr>
                <w:sz w:val="18"/>
              </w:rPr>
              <w:t>Training resources index &lt;https://www.cisa.gov/resources-tools/training&gt;</w:t>
            </w:r>
          </w:p>
        </w:tc>
        <w:tc>
          <w:tcPr>
            <w:tcW w:type="dxa" w:w="2340"/>
          </w:tcPr>
          <w:p>
            <w:r/>
            <w:r>
              <w:rPr>
                <w:sz w:val="18"/>
              </w:rPr>
              <w:t>11, 13, 14, 15</w:t>
            </w:r>
          </w:p>
        </w:tc>
        <w:tc>
          <w:tcPr>
            <w:tcW w:type="dxa" w:w="2340"/>
          </w:tcPr>
          <w:p>
            <w:r/>
            <w:r>
              <w:rPr>
                <w:sz w:val="18"/>
              </w:rPr>
              <w:t>Index of CISA training incl. KEV-driven vulnerability response and SCuBA-adjacent material</w:t>
            </w:r>
          </w:p>
        </w:tc>
      </w:tr>
      <w:tr>
        <w:tc>
          <w:tcPr>
            <w:tcW w:type="dxa" w:w="2340"/>
          </w:tcPr>
          <w:p>
            <w:r/>
            <w:r>
              <w:rPr>
                <w:sz w:val="18"/>
              </w:rPr>
              <w:t>FedRAMP PMO</w:t>
            </w:r>
          </w:p>
        </w:tc>
        <w:tc>
          <w:tcPr>
            <w:tcW w:type="dxa" w:w="2340"/>
          </w:tcPr>
          <w:p>
            <w:r/>
            <w:r>
              <w:rPr>
                <w:sz w:val="18"/>
              </w:rPr>
              <w:t>fedramp.gov &lt;https://www.fedramp.gov/&gt;</w:t>
            </w:r>
          </w:p>
        </w:tc>
        <w:tc>
          <w:tcPr>
            <w:tcW w:type="dxa" w:w="2340"/>
          </w:tcPr>
          <w:p>
            <w:r/>
            <w:r>
              <w:rPr>
                <w:sz w:val="18"/>
              </w:rPr>
              <w:t>00, 15, 16, 19</w:t>
            </w:r>
          </w:p>
        </w:tc>
        <w:tc>
          <w:tcPr>
            <w:tcW w:type="dxa" w:w="2340"/>
          </w:tcPr>
          <w:p>
            <w:r/>
            <w:r>
              <w:rPr>
                <w:sz w:val="18"/>
              </w:rPr>
              <w:t>20x program documentation, KSI definitions, submission process — the authority for Track A's evaluation model</w:t>
            </w:r>
          </w:p>
        </w:tc>
      </w:tr>
      <w:tr>
        <w:tc>
          <w:tcPr>
            <w:tcW w:type="dxa" w:w="2340"/>
          </w:tcPr>
          <w:p>
            <w:r/>
            <w:r>
              <w:rPr>
                <w:sz w:val="18"/>
              </w:rPr>
              <w:t>NIST</w:t>
            </w:r>
          </w:p>
        </w:tc>
        <w:tc>
          <w:tcPr>
            <w:tcW w:type="dxa" w:w="2340"/>
          </w:tcPr>
          <w:p>
            <w:r/>
            <w:r>
              <w:rPr>
                <w:sz w:val="18"/>
              </w:rPr>
              <w:t>NICE Workforce Framework &lt;https://www.nist.gov/itl/applied-cybersecurity/nice&gt;</w:t>
            </w:r>
          </w:p>
        </w:tc>
        <w:tc>
          <w:tcPr>
            <w:tcW w:type="dxa" w:w="2340"/>
          </w:tcPr>
          <w:p>
            <w:r/>
            <w:r>
              <w:rPr>
                <w:sz w:val="18"/>
              </w:rPr>
              <w:t>16, 18</w:t>
            </w:r>
          </w:p>
        </w:tc>
        <w:tc>
          <w:tcPr>
            <w:tcW w:type="dxa" w:w="2340"/>
          </w:tcPr>
          <w:p>
            <w:r/>
            <w:r>
              <w:rPr>
                <w:sz w:val="18"/>
              </w:rPr>
              <w:t>Role/competency framework — useful for mapping program roles to workforce categories</w:t>
            </w:r>
          </w:p>
        </w:tc>
      </w:tr>
      <w:tr>
        <w:tc>
          <w:tcPr>
            <w:tcW w:type="dxa" w:w="2340"/>
          </w:tcPr>
          <w:p>
            <w:r/>
            <w:r>
              <w:rPr>
                <w:sz w:val="18"/>
              </w:rPr>
              <w:t>AWS</w:t>
            </w:r>
          </w:p>
        </w:tc>
        <w:tc>
          <w:tcPr>
            <w:tcW w:type="dxa" w:w="2340"/>
          </w:tcPr>
          <w:p>
            <w:r/>
            <w:r>
              <w:rPr>
                <w:sz w:val="18"/>
              </w:rPr>
              <w:t>AWS Skill Builder &lt;https://skillbuilder.aws/&gt;</w:t>
            </w:r>
          </w:p>
        </w:tc>
        <w:tc>
          <w:tcPr>
            <w:tcW w:type="dxa" w:w="2340"/>
          </w:tcPr>
          <w:p>
            <w:r/>
            <w:r>
              <w:rPr>
                <w:sz w:val="18"/>
              </w:rPr>
              <w:t>05, 06</w:t>
            </w:r>
          </w:p>
        </w:tc>
        <w:tc>
          <w:tcPr>
            <w:tcW w:type="dxa" w:w="2340"/>
          </w:tcPr>
          <w:p>
            <w:r/>
            <w:r>
              <w:rPr>
                <w:sz w:val="18"/>
              </w:rPr>
              <w:t>Amazon Connect training for the N8NN contact-center exception in Books 05–06 (ADR-059 boundary exception)</w:t>
            </w:r>
          </w:p>
        </w:tc>
      </w:tr>
      <w:tr>
        <w:tc>
          <w:tcPr>
            <w:tcW w:type="dxa" w:w="2340"/>
          </w:tcPr>
          <w:p>
            <w:r/>
            <w:r>
              <w:rPr>
                <w:sz w:val="18"/>
              </w:rPr>
              <w:t>OpenSSF</w:t>
            </w:r>
          </w:p>
        </w:tc>
        <w:tc>
          <w:tcPr>
            <w:tcW w:type="dxa" w:w="2340"/>
          </w:tcPr>
          <w:p>
            <w:r/>
            <w:r>
              <w:rPr>
                <w:sz w:val="18"/>
              </w:rPr>
              <w:t>OpenSSF training &lt;https://openssf.org/training/&gt;</w:t>
            </w:r>
          </w:p>
        </w:tc>
        <w:tc>
          <w:tcPr>
            <w:tcW w:type="dxa" w:w="2340"/>
          </w:tcPr>
          <w:p>
            <w:r/>
            <w:r>
              <w:rPr>
                <w:sz w:val="18"/>
              </w:rPr>
              <w:t>15</w:t>
            </w:r>
          </w:p>
        </w:tc>
        <w:tc>
          <w:tcPr>
            <w:tcW w:type="dxa" w:w="2340"/>
          </w:tcPr>
          <w:p>
            <w:r/>
            <w:r>
              <w:rPr>
                <w:sz w:val="18"/>
              </w:rPr>
              <w:t>Free courses incl. Developing Secure Software (LFD121) — supply-chain fundamentals for the Book 15 pipeline</w:t>
            </w:r>
          </w:p>
        </w:tc>
      </w:tr>
      <w:tr>
        <w:tc>
          <w:tcPr>
            <w:tcW w:type="dxa" w:w="2340"/>
          </w:tcPr>
          <w:p>
            <w:r/>
            <w:r>
              <w:rPr>
                <w:sz w:val="18"/>
              </w:rPr>
              <w:t>Linux Foundation</w:t>
            </w:r>
          </w:p>
        </w:tc>
        <w:tc>
          <w:tcPr>
            <w:tcW w:type="dxa" w:w="2340"/>
          </w:tcPr>
          <w:p>
            <w:r/>
            <w:r>
              <w:rPr>
                <w:sz w:val="18"/>
              </w:rPr>
              <w:t>Automating Supply Chain Security: SBOMs and Signatures (LFEL1007) &lt;https://training.linuxfoundation.org/express-learning/automating-supply-chain-security-sboms-and-signatures-lfel1007/&gt;</w:t>
            </w:r>
          </w:p>
        </w:tc>
        <w:tc>
          <w:tcPr>
            <w:tcW w:type="dxa" w:w="2340"/>
          </w:tcPr>
          <w:p>
            <w:r/>
            <w:r>
              <w:rPr>
                <w:sz w:val="18"/>
              </w:rPr>
              <w:t>15</w:t>
            </w:r>
          </w:p>
        </w:tc>
        <w:tc>
          <w:tcPr>
            <w:tcW w:type="dxa" w:w="2340"/>
          </w:tcPr>
          <w:p>
            <w:r/>
            <w:r>
              <w:rPr>
                <w:sz w:val="18"/>
              </w:rPr>
              <w:t>Directly matches Book 15's Syft/SBOM/signing pipeline (CycloneDX, attestation, container signing)</w:t>
            </w:r>
          </w:p>
        </w:tc>
      </w:tr>
      <w:tr>
        <w:tc>
          <w:tcPr>
            <w:tcW w:type="dxa" w:w="2340"/>
          </w:tcPr>
          <w:p>
            <w:r/>
            <w:r>
              <w:rPr>
                <w:sz w:val="18"/>
              </w:rPr>
              <w:t>ISACA</w:t>
            </w:r>
          </w:p>
        </w:tc>
        <w:tc>
          <w:tcPr>
            <w:tcW w:type="dxa" w:w="2340"/>
          </w:tcPr>
          <w:p>
            <w:r/>
            <w:r>
              <w:rPr>
                <w:sz w:val="18"/>
              </w:rPr>
              <w:t>ISACA credentialing &lt;https://www.isaca.org/credentialing/certifications&gt;</w:t>
            </w:r>
          </w:p>
        </w:tc>
        <w:tc>
          <w:tcPr>
            <w:tcW w:type="dxa" w:w="2340"/>
          </w:tcPr>
          <w:p>
            <w:r/>
            <w:r>
              <w:rPr>
                <w:sz w:val="18"/>
              </w:rPr>
              <w:t>16</w:t>
            </w:r>
          </w:p>
        </w:tc>
        <w:tc>
          <w:tcPr>
            <w:tcW w:type="dxa" w:w="2340"/>
          </w:tcPr>
          <w:p>
            <w:r/>
            <w:r>
              <w:rPr>
                <w:sz w:val="18"/>
              </w:rPr>
              <w:t>CISM / CRISC governance and risk tracks for Book 16 program-management roles</w:t>
            </w:r>
          </w:p>
        </w:tc>
      </w:tr>
      <w:tr>
        <w:tc>
          <w:tcPr>
            <w:tcW w:type="dxa" w:w="2340"/>
          </w:tcPr>
          <w:p>
            <w:r/>
            <w:r>
              <w:rPr>
                <w:sz w:val="18"/>
              </w:rPr>
              <w:t>IAPP</w:t>
            </w:r>
          </w:p>
        </w:tc>
        <w:tc>
          <w:tcPr>
            <w:tcW w:type="dxa" w:w="2340"/>
          </w:tcPr>
          <w:p>
            <w:r/>
            <w:r>
              <w:rPr>
                <w:sz w:val="18"/>
              </w:rPr>
              <w:t>IAPP certification &lt;https://iapp.org/certify&gt;</w:t>
            </w:r>
          </w:p>
        </w:tc>
        <w:tc>
          <w:tcPr>
            <w:tcW w:type="dxa" w:w="2340"/>
          </w:tcPr>
          <w:p>
            <w:r/>
            <w:r>
              <w:rPr>
                <w:sz w:val="18"/>
              </w:rPr>
              <w:t>17</w:t>
            </w:r>
          </w:p>
        </w:tc>
        <w:tc>
          <w:tcPr>
            <w:tcW w:type="dxa" w:w="2340"/>
          </w:tcPr>
          <w:p>
            <w:r/>
            <w:r>
              <w:rPr>
                <w:sz w:val="18"/>
              </w:rPr>
              <w:t>CIPP/US and CIPM privacy training for the Book 17 PT-family work (Privacy Act, SORN, PIA practice)</w:t>
            </w:r>
          </w:p>
        </w:tc>
      </w:tr>
      <w:tr>
        <w:tc>
          <w:tcPr>
            <w:tcW w:type="dxa" w:w="2340"/>
          </w:tcPr>
          <w:p>
            <w:r/>
            <w:r>
              <w:rPr>
                <w:sz w:val="18"/>
              </w:rPr>
              <w:t>ServiceNow</w:t>
            </w:r>
          </w:p>
        </w:tc>
        <w:tc>
          <w:tcPr>
            <w:tcW w:type="dxa" w:w="2340"/>
          </w:tcPr>
          <w:p>
            <w:r/>
            <w:r>
              <w:rPr>
                <w:sz w:val="18"/>
              </w:rPr>
              <w:t>ServiceNow University &lt;https://learning.servicenow.com/&gt;</w:t>
            </w:r>
          </w:p>
        </w:tc>
        <w:tc>
          <w:tcPr>
            <w:tcW w:type="dxa" w:w="2340"/>
          </w:tcPr>
          <w:p>
            <w:r/>
            <w:r>
              <w:rPr>
                <w:sz w:val="18"/>
              </w:rPr>
              <w:t>13, 16</w:t>
            </w:r>
          </w:p>
        </w:tc>
        <w:tc>
          <w:tcPr>
            <w:tcW w:type="dxa" w:w="2340"/>
          </w:tcPr>
          <w:p>
            <w:r/>
            <w:r>
              <w:rPr>
                <w:sz w:val="18"/>
              </w:rPr>
              <w:t>ITSM/CMDB training (formerly "Now Learning") — the incident-ticket and evidence-workflow side; UIAO ships a ServiceNow conformance adapter</w:t>
            </w:r>
          </w:p>
        </w:tc>
      </w:tr>
    </w:tbl>
    <w:p/>
    <w:p>
      <w:pPr>
        <w:pStyle w:val="Heading3"/>
      </w:pPr>
      <w:r>
        <w:rPr>
          <w:color w:val="0D1B2E"/>
        </w:rPr>
        <w:t>Research queue</w:t>
      </w:r>
    </w:p>
    <w:p>
      <w:pPr>
        <w:spacing w:before="80" w:after="80"/>
      </w:pPr>
      <w:r>
        <w:rPr>
          <w:sz w:val="22"/>
        </w:rPr>
        <w:t>Candidates identified but not yet researched/verified — next expansion pass:</w:t>
      </w:r>
    </w:p>
    <w:p>
      <w:pPr>
        <w:pStyle w:val="ListBullet"/>
      </w:pPr>
      <w:r>
        <w:rPr>
          <w:b/>
          <w:sz w:val="22"/>
        </w:rPr>
        <w:t>Instructor-led AAN cohort design</w:t>
      </w:r>
      <w:r>
        <w:rPr>
          <w:sz w:val="22"/>
        </w:rPr>
        <w:t xml:space="preserve"> — whether any vendor offers application-aware-networking-specific curriculum worth licensing, vs. continuing to compose from the product training above.</w:t>
      </w:r>
    </w:p>
    <w:p>
      <w:pPr>
        <w:pStyle w:val="ListBullet"/>
      </w:pPr>
      <w:r>
        <w:rPr>
          <w:b/>
          <w:sz w:val="22"/>
        </w:rPr>
        <w:t>Zscaler Government Academy</w:t>
      </w:r>
      <w:r>
        <w:rPr>
          <w:sz w:val="22"/>
        </w:rPr>
        <w:t xml:space="preserve"> — evaluate the federal-specific variant (academy.zscalergov.com) against the commercial Cyber Academy for GCC boundary relevance.</w:t>
      </w:r>
    </w:p>
    <w:p>
      <w:pPr>
        <w:pStyle w:val="ListBullet"/>
      </w:pPr>
      <w:r>
        <w:rPr>
          <w:b/>
          <w:sz w:val="22"/>
        </w:rPr>
        <w:t>CDM program training</w:t>
      </w:r>
      <w:r>
        <w:rPr>
          <w:sz w:val="22"/>
        </w:rPr>
        <w:t xml:space="preserve"> — DHS/CISA Continuous Diagnostics and Mitigation training for the Book 11 KEV-upload workflow.</w:t>
      </w:r>
    </w:p>
    <w:p>
      <w:pPr>
        <w:pStyle w:val="ListBullet"/>
      </w:pPr>
      <w:r>
        <w:rPr>
          <w:b/>
          <w:sz w:val="22"/>
        </w:rPr>
        <w:t>Security-awareness platforms (KnowBe4, Proofpoint)</w:t>
      </w:r>
      <w:r>
        <w:rPr>
          <w:sz w:val="22"/>
        </w:rPr>
        <w:t xml:space="preserve"> — Book 18 names them in its delivery trade-space; verify their training/academy portals and GCC suitability before adding rows.</w:t>
      </w:r>
    </w:p>
    <w:p>
      <w:pPr>
        <w:spacing w:before="80" w:after="80"/>
      </w:pPr>
      <w:r>
        <w:rPr>
          <w:sz w:val="22"/>
        </w:rPr>
        <w:t>Resolved in the 2026-07 research pass (now rows above): Zscaler, Netskope, ServiceNow University, Linux Foundation/OpenSSF, ISACA, IAPP, Tenable, Qualys; upgraded Infoblox, BlueCat, and SailPoint from root-domain placeholders to their actual training portals.</w:t>
      </w:r>
    </w:p>
    <w:p>
      <w:pPr>
        <w:pStyle w:val="Heading4"/>
      </w:pPr>
      <w:r>
        <w:rPr>
          <w:color w:val="0D1B2E"/>
        </w:rPr>
        <w:t>Row conventions for contributors</w:t>
      </w:r>
    </w:p>
    <w:p>
      <w:pPr>
        <w:spacing w:before="80" w:after="80"/>
      </w:pPr>
      <w:r>
        <w:rPr>
          <w:sz w:val="22"/>
        </w:rPr>
        <w:t xml:space="preserve">When adding a row: prefer the vendor's </w:t>
      </w:r>
      <w:r>
        <w:rPr>
          <w:b/>
          <w:sz w:val="22"/>
        </w:rPr>
        <w:t>stable training landing page</w:t>
      </w:r>
      <w:r>
        <w:rPr>
          <w:sz w:val="22"/>
        </w:rPr>
        <w:t xml:space="preserve"> over deep course URLs (deep links rot; the weekly link-check CI will catch it, but stable landings avoid the churn), map to specific books, and say in one line </w:t>
      </w:r>
      <w:r>
        <w:rPr>
          <w:i/>
          <w:sz w:val="22"/>
        </w:rPr>
        <w:t>why</w:t>
      </w:r>
      <w:r>
        <w:rPr>
          <w:sz w:val="22"/>
        </w:rPr>
        <w:t xml:space="preserve"> it maps. Where a vendor's training portal sits behind a login, link the public landing and note it.</w:t>
      </w:r>
    </w:p>
    <w:p>
      <w:r>
        <w:br w:type="page"/>
      </w:r>
    </w:p>
    <w:p>
      <w:pPr>
        <w:pStyle w:val="Heading1"/>
      </w:pPr>
      <w:r>
        <w:rPr>
          <w:color w:val="0D1B2E"/>
        </w:rPr>
        <w:t>AAN Track A — Assessment Rubrics</w:t>
      </w:r>
    </w:p>
    <w:p>
      <w:r>
        <w:rPr>
          <w:i/>
          <w:color w:val="5A5A5A"/>
          <w:sz w:val="24"/>
        </w:rPr>
        <w:t>Per-slot scoring sheets for the compliance-track capstone (the eight-slot walk)</w:t>
      </w:r>
    </w:p>
    <w:p>
      <w:r>
        <w:rPr>
          <w:color w:val="1E8C8C"/>
          <w:sz w:val="18"/>
        </w:rPr>
        <w:t>Federal AAN Training Program — companion material for the federal AAN book series; not part of UIAO.</w:t>
      </w:r>
    </w:p>
    <w:p>
      <w:pPr>
        <w:ind w:left="432"/>
        <w:shd w:val="clear" w:fill="F7F9FC"/>
      </w:pPr>
      <w:r>
        <w:rPr>
          <w:i/>
          <w:sz w:val="20"/>
        </w:rPr>
        <w:t xml:space="preserve">Part of the AAN Training Program — </w:t>
      </w:r>
      <w:r>
        <w:rPr>
          <w:b/>
          <w:i/>
          <w:sz w:val="20"/>
        </w:rPr>
        <w:t>companion material for the federal AAN book series, not part of UIAO.</w:t>
      </w:r>
    </w:p>
    <w:p>
      <w:pPr>
        <w:spacing w:before="80" w:after="80"/>
      </w:pPr>
      <w:r>
        <w:rPr>
          <w:sz w:val="22"/>
        </w:rPr>
        <w:t xml:space="preserve">These rubrics score the Track A capstone: one document covering all eight evidence slots, backed by a real </w:t>
      </w:r>
      <w:r>
        <w:rPr>
          <w:rFonts w:ascii="Consolas" w:hAnsi="Consolas"/>
          <w:sz w:val="22"/>
        </w:rPr>
        <w:t>uiao oscal ksi-ar</w:t>
      </w:r>
      <w:r>
        <w:rPr>
          <w:sz w:val="22"/>
        </w:rPr>
        <w:t xml:space="preserve"> run. Self-assess or peer-assess; the rubric language is deliberately the language an assessor would use.</w:t>
      </w:r>
    </w:p>
    <w:p>
      <w:pPr>
        <w:pStyle w:val="Heading3"/>
      </w:pPr>
      <w:r>
        <w:rPr>
          <w:color w:val="0D1B2E"/>
        </w:rPr>
        <w:t>The scale (applies to every slot)</w:t>
      </w:r>
    </w:p>
    <w:tbl>
      <w:tblPr>
        <w:tblStyle w:val="LightList-Accent1"/>
        <w:tblW w:type="auto" w:w="0"/>
        <w:tblLook w:firstColumn="1" w:firstRow="1" w:lastColumn="0" w:lastRow="0" w:noHBand="0" w:noVBand="1" w:val="04A0"/>
      </w:tblPr>
      <w:tblGrid>
        <w:gridCol w:w="3120"/>
        <w:gridCol w:w="3120"/>
        <w:gridCol w:w="3120"/>
      </w:tblGrid>
      <w:tr>
        <w:tc>
          <w:tcPr>
            <w:tcW w:type="dxa" w:w="3120"/>
          </w:tcPr>
          <w:p>
            <w:r>
              <w:rPr>
                <w:b/>
              </w:rPr>
            </w:r>
            <w:r>
              <w:rPr>
                <w:b/>
                <w:sz w:val="18"/>
              </w:rPr>
              <w:t>Level</w:t>
            </w:r>
          </w:p>
        </w:tc>
        <w:tc>
          <w:tcPr>
            <w:tcW w:type="dxa" w:w="3120"/>
          </w:tcPr>
          <w:p>
            <w:r>
              <w:rPr>
                <w:b/>
              </w:rPr>
            </w:r>
            <w:r>
              <w:rPr>
                <w:b/>
                <w:sz w:val="18"/>
              </w:rPr>
              <w:t>Name</w:t>
            </w:r>
          </w:p>
        </w:tc>
        <w:tc>
          <w:tcPr>
            <w:tcW w:type="dxa" w:w="3120"/>
          </w:tcPr>
          <w:p>
            <w:r>
              <w:rPr>
                <w:b/>
              </w:rPr>
            </w:r>
            <w:r>
              <w:rPr>
                <w:b/>
                <w:sz w:val="18"/>
              </w:rPr>
              <w:t>Meaning</w:t>
            </w:r>
          </w:p>
        </w:tc>
      </w:tr>
      <w:tr>
        <w:tc>
          <w:tcPr>
            <w:tcW w:type="dxa" w:w="3120"/>
          </w:tcPr>
          <w:p>
            <w:r/>
            <w:r>
              <w:rPr>
                <w:sz w:val="18"/>
              </w:rPr>
              <w:t>0</w:t>
            </w:r>
          </w:p>
        </w:tc>
        <w:tc>
          <w:tcPr>
            <w:tcW w:type="dxa" w:w="3120"/>
          </w:tcPr>
          <w:p>
            <w:r/>
            <w:r>
              <w:rPr>
                <w:sz w:val="18"/>
              </w:rPr>
              <w:t>Missing</w:t>
            </w:r>
          </w:p>
        </w:tc>
        <w:tc>
          <w:tcPr>
            <w:tcW w:type="dxa" w:w="3120"/>
          </w:tcPr>
          <w:p>
            <w:r/>
            <w:r>
              <w:rPr>
                <w:sz w:val="18"/>
              </w:rPr>
              <w:t>Slot not addressed, or addressed without reference to the books or the mapping YAML</w:t>
            </w:r>
          </w:p>
        </w:tc>
      </w:tr>
      <w:tr>
        <w:tc>
          <w:tcPr>
            <w:tcW w:type="dxa" w:w="3120"/>
          </w:tcPr>
          <w:p>
            <w:r/>
            <w:r>
              <w:rPr>
                <w:sz w:val="18"/>
              </w:rPr>
              <w:t>1</w:t>
            </w:r>
          </w:p>
        </w:tc>
        <w:tc>
          <w:tcPr>
            <w:tcW w:type="dxa" w:w="3120"/>
          </w:tcPr>
          <w:p>
            <w:r/>
            <w:r>
              <w:rPr>
                <w:sz w:val="18"/>
              </w:rPr>
              <w:t>Named</w:t>
            </w:r>
          </w:p>
        </w:tc>
        <w:tc>
          <w:tcPr>
            <w:tcW w:type="dxa" w:w="3120"/>
          </w:tcPr>
          <w:p>
            <w:r/>
            <w:r>
              <w:rPr>
                <w:sz w:val="18"/>
              </w:rPr>
              <w:t>Feeding books and KSI category named correctly, but controls or evidence flow are wrong/absent</w:t>
            </w:r>
          </w:p>
        </w:tc>
      </w:tr>
      <w:tr>
        <w:tc>
          <w:tcPr>
            <w:tcW w:type="dxa" w:w="3120"/>
          </w:tcPr>
          <w:p>
            <w:r/>
            <w:r>
              <w:rPr>
                <w:sz w:val="18"/>
              </w:rPr>
              <w:t>2</w:t>
            </w:r>
          </w:p>
        </w:tc>
        <w:tc>
          <w:tcPr>
            <w:tcW w:type="dxa" w:w="3120"/>
          </w:tcPr>
          <w:p>
            <w:r/>
            <w:r>
              <w:rPr>
                <w:sz w:val="18"/>
              </w:rPr>
              <w:t>Traced</w:t>
            </w:r>
          </w:p>
        </w:tc>
        <w:tc>
          <w:tcPr>
            <w:tcW w:type="dxa" w:w="3120"/>
          </w:tcPr>
          <w:p>
            <w:r/>
            <w:r>
              <w:rPr>
                <w:sz w:val="18"/>
              </w:rPr>
              <w:t>Book → NIST anchor → KSI category → evidence source chain is complete and correct against the slot mapping</w:t>
            </w:r>
          </w:p>
        </w:tc>
      </w:tr>
      <w:tr>
        <w:tc>
          <w:tcPr>
            <w:tcW w:type="dxa" w:w="3120"/>
          </w:tcPr>
          <w:p>
            <w:r/>
            <w:r>
              <w:rPr>
                <w:sz w:val="18"/>
              </w:rPr>
              <w:t>3</w:t>
            </w:r>
          </w:p>
        </w:tc>
        <w:tc>
          <w:tcPr>
            <w:tcW w:type="dxa" w:w="3120"/>
          </w:tcPr>
          <w:p>
            <w:r/>
            <w:r>
              <w:rPr>
                <w:sz w:val="18"/>
              </w:rPr>
              <w:t>Assessor-ready</w:t>
            </w:r>
          </w:p>
        </w:tc>
        <w:tc>
          <w:tcPr>
            <w:tcW w:type="dxa" w:w="3120"/>
          </w:tcPr>
          <w:p>
            <w:r/>
            <w:r>
              <w:rPr>
                <w:sz w:val="18"/>
              </w:rPr>
              <w:t xml:space="preserve">Level 2 </w:t>
            </w:r>
            <w:r>
              <w:rPr>
                <w:b/>
                <w:sz w:val="18"/>
              </w:rPr>
              <w:t>plus</w:t>
            </w:r>
            <w:r>
              <w:rPr>
                <w:sz w:val="18"/>
              </w:rPr>
              <w:t xml:space="preserve"> a real verdict from </w:t>
            </w:r>
            <w:r>
              <w:rPr>
                <w:rFonts w:ascii="Consolas" w:hAnsi="Consolas"/>
                <w:sz w:val="18"/>
              </w:rPr>
              <w:t>uiao oscal ksi-ar</w:t>
            </w:r>
            <w:r>
              <w:rPr>
                <w:sz w:val="18"/>
              </w:rPr>
              <w:t>, an honest gap statement for anything not-evaluated, and the deadline that gap answers to</w:t>
            </w:r>
          </w:p>
        </w:tc>
      </w:tr>
    </w:tbl>
    <w:p/>
    <w:p>
      <w:pPr>
        <w:spacing w:before="80" w:after="80"/>
      </w:pPr>
      <w:r>
        <w:rPr>
          <w:b/>
          <w:sz w:val="22"/>
        </w:rPr>
        <w:t>Pass bar for Track A:</w:t>
      </w:r>
      <w:r>
        <w:rPr>
          <w:sz w:val="22"/>
        </w:rPr>
        <w:t xml:space="preserve"> every slot at level 2 or higher, </w:t>
      </w:r>
      <w:r>
        <w:rPr>
          <w:b/>
          <w:sz w:val="22"/>
        </w:rPr>
        <w:t>and</w:t>
      </w:r>
      <w:r>
        <w:rPr>
          <w:sz w:val="22"/>
        </w:rPr>
        <w:t xml:space="preserve"> at least three slots at level 3. (All eight at level 3 is the "distinguished" outcome — it is, in substance, a ConMon narrative.)</w:t>
      </w:r>
    </w:p>
    <w:p>
      <w:pPr>
        <w:jc w:val="center"/>
      </w:pPr>
      <w:r>
        <w:drawing>
          <wp:inline xmlns:a="http://schemas.openxmlformats.org/drawingml/2006/main" xmlns:pic="http://schemas.openxmlformats.org/drawingml/2006/picture">
            <wp:extent cx="5760720" cy="3240405"/>
            <wp:docPr id="5" name="Picture 5"/>
            <wp:cNvGraphicFramePr>
              <a:graphicFrameLocks noChangeAspect="1"/>
            </wp:cNvGraphicFramePr>
            <a:graphic>
              <a:graphicData uri="http://schemas.openxmlformats.org/drawingml/2006/picture">
                <pic:pic>
                  <pic:nvPicPr>
                    <pic:cNvPr id="0" name="tp-fig-04-rubric-ladder.png"/>
                    <pic:cNvPicPr/>
                  </pic:nvPicPr>
                  <pic:blipFill>
                    <a:blip r:embed="rId13"/>
                    <a:stretch>
                      <a:fillRect/>
                    </a:stretch>
                  </pic:blipFill>
                  <pic:spPr>
                    <a:xfrm>
                      <a:off x="0" y="0"/>
                      <a:ext cx="5760720" cy="3240405"/>
                    </a:xfrm>
                    <a:prstGeom prst="rect"/>
                  </pic:spPr>
                </pic:pic>
              </a:graphicData>
            </a:graphic>
          </wp:inline>
        </w:drawing>
      </w:r>
    </w:p>
    <w:p>
      <w:pPr>
        <w:jc w:val="center"/>
      </w:pPr>
      <w:r>
        <w:rPr>
          <w:i/>
          <w:color w:val="5A5A5A"/>
          <w:sz w:val="18"/>
        </w:rPr>
        <w:t>Figure 1 — The rubric ladder: Missing → Named → Traced → Assessor-ready, with the pass bar and the four common checks.</w:t>
      </w:r>
    </w:p>
    <w:p>
      <w:pPr>
        <w:pStyle w:val="Heading3"/>
      </w:pPr>
      <w:r>
        <w:rPr>
          <w:color w:val="0D1B2E"/>
        </w:rPr>
        <w:t>Common checks (scored once, apply to the whole capstone)</w:t>
      </w:r>
    </w:p>
    <w:tbl>
      <w:tblPr>
        <w:tblStyle w:val="LightList-Accent1"/>
        <w:tblW w:type="auto" w:w="0"/>
        <w:tblLook w:firstColumn="1" w:firstRow="1" w:lastColumn="0" w:lastRow="0" w:noHBand="0" w:noVBand="1" w:val="04A0"/>
      </w:tblPr>
      <w:tblGrid>
        <w:gridCol w:w="4680"/>
        <w:gridCol w:w="4680"/>
      </w:tblGrid>
      <w:tr>
        <w:tc>
          <w:tcPr>
            <w:tcW w:type="dxa" w:w="4680"/>
          </w:tcPr>
          <w:p>
            <w:r>
              <w:rPr>
                <w:b/>
              </w:rPr>
            </w:r>
            <w:r>
              <w:rPr>
                <w:b/>
                <w:sz w:val="18"/>
              </w:rPr>
              <w:t>Check</w:t>
            </w:r>
          </w:p>
        </w:tc>
        <w:tc>
          <w:tcPr>
            <w:tcW w:type="dxa" w:w="4680"/>
          </w:tcPr>
          <w:p>
            <w:r>
              <w:rPr>
                <w:b/>
              </w:rPr>
            </w:r>
            <w:r>
              <w:rPr>
                <w:b/>
                <w:sz w:val="18"/>
              </w:rPr>
              <w:t>Yes/No</w:t>
            </w:r>
          </w:p>
        </w:tc>
      </w:tr>
      <w:tr>
        <w:tc>
          <w:tcPr>
            <w:tcW w:type="dxa" w:w="4680"/>
          </w:tcPr>
          <w:p>
            <w:r/>
            <w:r>
              <w:rPr>
                <w:sz w:val="18"/>
              </w:rPr>
              <w:t xml:space="preserve">The </w:t>
            </w:r>
            <w:r>
              <w:rPr>
                <w:rFonts w:ascii="Consolas" w:hAnsi="Consolas"/>
                <w:sz w:val="18"/>
              </w:rPr>
              <w:t>ksi-ar</w:t>
            </w:r>
            <w:r>
              <w:rPr>
                <w:sz w:val="18"/>
              </w:rPr>
              <w:t xml:space="preserve"> output file is attached/linked, not just described</w:t>
            </w:r>
          </w:p>
        </w:tc>
        <w:tc>
          <w:tcPr>
            <w:tcW w:type="dxa" w:w="4680"/>
          </w:tcPr>
          <w:p>
            <w:r/>
          </w:p>
        </w:tc>
      </w:tr>
      <w:tr>
        <w:tc>
          <w:tcPr>
            <w:tcW w:type="dxa" w:w="4680"/>
          </w:tcPr>
          <w:p>
            <w:r/>
            <w:r>
              <w:rPr>
                <w:sz w:val="18"/>
              </w:rPr>
              <w:t>Every control ID cited appears in the slot mapping or the book itself (no invented controls)</w:t>
            </w:r>
          </w:p>
        </w:tc>
        <w:tc>
          <w:tcPr>
            <w:tcW w:type="dxa" w:w="4680"/>
          </w:tcPr>
          <w:p>
            <w:r/>
          </w:p>
        </w:tc>
      </w:tr>
      <w:tr>
        <w:tc>
          <w:tcPr>
            <w:tcW w:type="dxa" w:w="4680"/>
          </w:tcPr>
          <w:p>
            <w:r/>
            <w:r>
              <w:rPr>
                <w:sz w:val="18"/>
              </w:rPr>
              <w:t>Scaffold/not-evaluated rules are stated as gaps, not glossed as satisfied</w:t>
            </w:r>
          </w:p>
        </w:tc>
        <w:tc>
          <w:tcPr>
            <w:tcW w:type="dxa" w:w="4680"/>
          </w:tcPr>
          <w:p>
            <w:r/>
          </w:p>
        </w:tc>
      </w:tr>
      <w:tr>
        <w:tc>
          <w:tcPr>
            <w:tcW w:type="dxa" w:w="4680"/>
          </w:tcPr>
          <w:p>
            <w:r/>
            <w:r>
              <w:rPr>
                <w:sz w:val="18"/>
              </w:rPr>
              <w:t>Each gap names its forcing deadline (e.g., BOD 26-04 Dec 7 2026; 20x mandatory Jan 1 2027)</w:t>
            </w:r>
          </w:p>
        </w:tc>
        <w:tc>
          <w:tcPr>
            <w:tcW w:type="dxa" w:w="4680"/>
          </w:tcPr>
          <w:p>
            <w:r/>
          </w:p>
        </w:tc>
      </w:tr>
    </w:tbl>
    <w:p/>
    <w:p>
      <w:pPr>
        <w:pStyle w:val="Heading3"/>
      </w:pPr>
      <w:r>
        <w:rPr>
          <w:color w:val="0D1B2E"/>
        </w:rPr>
        <w:t>Slot 1 — identity (KSI-IAM)</w:t>
      </w:r>
    </w:p>
    <w:tbl>
      <w:tblPr>
        <w:tblStyle w:val="LightList-Accent1"/>
        <w:tblW w:type="auto" w:w="0"/>
        <w:tblLook w:firstColumn="1" w:firstRow="1" w:lastColumn="0" w:lastRow="0" w:noHBand="0" w:noVBand="1" w:val="04A0"/>
      </w:tblPr>
      <w:tblGrid>
        <w:gridCol w:w="3120"/>
        <w:gridCol w:w="3120"/>
        <w:gridCol w:w="3120"/>
      </w:tblGrid>
      <w:tr>
        <w:tc>
          <w:tcPr>
            <w:tcW w:type="dxa" w:w="3120"/>
          </w:tcPr>
          <w:p>
            <w:r>
              <w:rPr>
                <w:b/>
              </w:rPr>
            </w:r>
            <w:r>
              <w:rPr>
                <w:b/>
                <w:sz w:val="18"/>
              </w:rPr>
              <w:t>Criterion</w:t>
            </w:r>
          </w:p>
        </w:tc>
        <w:tc>
          <w:tcPr>
            <w:tcW w:type="dxa" w:w="3120"/>
          </w:tcPr>
          <w:p>
            <w:r>
              <w:rPr>
                <w:b/>
              </w:rPr>
            </w:r>
            <w:r>
              <w:rPr>
                <w:b/>
                <w:sz w:val="18"/>
              </w:rPr>
              <w:t>Level 2 evidence</w:t>
            </w:r>
          </w:p>
        </w:tc>
        <w:tc>
          <w:tcPr>
            <w:tcW w:type="dxa" w:w="3120"/>
          </w:tcPr>
          <w:p>
            <w:r>
              <w:rPr>
                <w:b/>
              </w:rPr>
            </w:r>
            <w:r>
              <w:rPr>
                <w:b/>
                <w:sz w:val="18"/>
              </w:rPr>
              <w:t>Level 3 adds</w:t>
            </w:r>
          </w:p>
        </w:tc>
      </w:tr>
      <w:tr>
        <w:tc>
          <w:tcPr>
            <w:tcW w:type="dxa" w:w="3120"/>
          </w:tcPr>
          <w:p>
            <w:r/>
            <w:r>
              <w:rPr>
                <w:sz w:val="18"/>
              </w:rPr>
              <w:t>Books</w:t>
            </w:r>
          </w:p>
        </w:tc>
        <w:tc>
          <w:tcPr>
            <w:tcW w:type="dxa" w:w="3120"/>
          </w:tcPr>
          <w:p>
            <w:r/>
            <w:r>
              <w:rPr>
                <w:sz w:val="18"/>
              </w:rPr>
              <w:t>03, 04, 06, 07, 10 named (08 as procedural companion)</w:t>
            </w:r>
          </w:p>
        </w:tc>
        <w:tc>
          <w:tcPr>
            <w:tcW w:type="dxa" w:w="3120"/>
          </w:tcPr>
          <w:p>
            <w:r/>
            <w:r>
              <w:rPr>
                <w:sz w:val="18"/>
              </w:rPr>
              <w:t>—</w:t>
            </w:r>
          </w:p>
        </w:tc>
      </w:tr>
      <w:tr>
        <w:tc>
          <w:tcPr>
            <w:tcW w:type="dxa" w:w="3120"/>
          </w:tcPr>
          <w:p>
            <w:r/>
            <w:r>
              <w:rPr>
                <w:sz w:val="18"/>
              </w:rPr>
              <w:t>Controls</w:t>
            </w:r>
          </w:p>
        </w:tc>
        <w:tc>
          <w:tcPr>
            <w:tcW w:type="dxa" w:w="3120"/>
          </w:tcPr>
          <w:p>
            <w:r/>
            <w:r>
              <w:rPr>
                <w:sz w:val="18"/>
              </w:rPr>
              <w:t>IA-2(+1/2/11), IA-5, IA-11, AC-2(+1), AC-3, AC-5/6 family, AC-17, CA-7 mapped to the right book</w:t>
            </w:r>
          </w:p>
        </w:tc>
        <w:tc>
          <w:tcPr>
            <w:tcW w:type="dxa" w:w="3120"/>
          </w:tcPr>
          <w:p>
            <w:r/>
            <w:r>
              <w:rPr>
                <w:sz w:val="18"/>
              </w:rPr>
              <w:t>Before/after table for at least one AC-6 enhancement (Book 10 style)</w:t>
            </w:r>
          </w:p>
        </w:tc>
      </w:tr>
      <w:tr>
        <w:tc>
          <w:tcPr>
            <w:tcW w:type="dxa" w:w="3120"/>
          </w:tcPr>
          <w:p>
            <w:r/>
            <w:r>
              <w:rPr>
                <w:sz w:val="18"/>
              </w:rPr>
              <w:t>Evidence flow</w:t>
            </w:r>
          </w:p>
        </w:tc>
        <w:tc>
          <w:tcPr>
            <w:tcW w:type="dxa" w:w="3120"/>
          </w:tcPr>
          <w:p>
            <w:r/>
            <w:r>
              <w:rPr>
                <w:sz w:val="18"/>
              </w:rPr>
              <w:t>Sign-in/risk logs named as the source</w:t>
            </w:r>
          </w:p>
        </w:tc>
        <w:tc>
          <w:tcPr>
            <w:tcW w:type="dxa" w:w="3120"/>
          </w:tcPr>
          <w:p>
            <w:r/>
            <w:r>
              <w:rPr>
                <w:sz w:val="18"/>
              </w:rPr>
              <w:t>A privileged-role trace: PIM design → control → KSI rule → audit log entry (e.g., the PIM lab export)</w:t>
            </w:r>
          </w:p>
        </w:tc>
      </w:tr>
    </w:tbl>
    <w:p/>
    <w:p>
      <w:pPr>
        <w:pStyle w:val="Heading3"/>
      </w:pPr>
      <w:r>
        <w:rPr>
          <w:color w:val="0D1B2E"/>
        </w:rPr>
        <w:t>Slot 2 — addressing (KSI-PIY)</w:t>
      </w:r>
    </w:p>
    <w:tbl>
      <w:tblPr>
        <w:tblStyle w:val="LightList-Accent1"/>
        <w:tblW w:type="auto" w:w="0"/>
        <w:tblLook w:firstColumn="1" w:firstRow="1" w:lastColumn="0" w:lastRow="0" w:noHBand="0" w:noVBand="1" w:val="04A0"/>
      </w:tblPr>
      <w:tblGrid>
        <w:gridCol w:w="3120"/>
        <w:gridCol w:w="3120"/>
        <w:gridCol w:w="3120"/>
      </w:tblGrid>
      <w:tr>
        <w:tc>
          <w:tcPr>
            <w:tcW w:type="dxa" w:w="3120"/>
          </w:tcPr>
          <w:p>
            <w:r>
              <w:rPr>
                <w:b/>
              </w:rPr>
            </w:r>
            <w:r>
              <w:rPr>
                <w:b/>
                <w:sz w:val="18"/>
              </w:rPr>
              <w:t>Criterion</w:t>
            </w:r>
          </w:p>
        </w:tc>
        <w:tc>
          <w:tcPr>
            <w:tcW w:type="dxa" w:w="3120"/>
          </w:tcPr>
          <w:p>
            <w:r>
              <w:rPr>
                <w:b/>
              </w:rPr>
            </w:r>
            <w:r>
              <w:rPr>
                <w:b/>
                <w:sz w:val="18"/>
              </w:rPr>
              <w:t>Level 2 evidence</w:t>
            </w:r>
          </w:p>
        </w:tc>
        <w:tc>
          <w:tcPr>
            <w:tcW w:type="dxa" w:w="3120"/>
          </w:tcPr>
          <w:p>
            <w:r>
              <w:rPr>
                <w:b/>
              </w:rPr>
            </w:r>
            <w:r>
              <w:rPr>
                <w:b/>
                <w:sz w:val="18"/>
              </w:rPr>
              <w:t>Level 3 adds</w:t>
            </w:r>
          </w:p>
        </w:tc>
      </w:tr>
      <w:tr>
        <w:tc>
          <w:tcPr>
            <w:tcW w:type="dxa" w:w="3120"/>
          </w:tcPr>
          <w:p>
            <w:r/>
            <w:r>
              <w:rPr>
                <w:sz w:val="18"/>
              </w:rPr>
              <w:t>Books</w:t>
            </w:r>
          </w:p>
        </w:tc>
        <w:tc>
          <w:tcPr>
            <w:tcW w:type="dxa" w:w="3120"/>
          </w:tcPr>
          <w:p>
            <w:r/>
            <w:r>
              <w:rPr>
                <w:sz w:val="18"/>
              </w:rPr>
              <w:t>01</w:t>
            </w:r>
          </w:p>
        </w:tc>
        <w:tc>
          <w:tcPr>
            <w:tcW w:type="dxa" w:w="3120"/>
          </w:tcPr>
          <w:p>
            <w:r/>
            <w:r>
              <w:rPr>
                <w:sz w:val="18"/>
              </w:rPr>
              <w:t>—</w:t>
            </w:r>
          </w:p>
        </w:tc>
      </w:tr>
      <w:tr>
        <w:tc>
          <w:tcPr>
            <w:tcW w:type="dxa" w:w="3120"/>
          </w:tcPr>
          <w:p>
            <w:r/>
            <w:r>
              <w:rPr>
                <w:sz w:val="18"/>
              </w:rPr>
              <w:t>Controls</w:t>
            </w:r>
          </w:p>
        </w:tc>
        <w:tc>
          <w:tcPr>
            <w:tcW w:type="dxa" w:w="3120"/>
          </w:tcPr>
          <w:p>
            <w:r/>
            <w:r>
              <w:rPr>
                <w:sz w:val="18"/>
              </w:rPr>
              <w:t>CM-8 / AC-4 anchors; the 16-control closure claim attributed to the roadmap, not asserted as fact</w:t>
            </w:r>
          </w:p>
        </w:tc>
        <w:tc>
          <w:tcPr>
            <w:tcW w:type="dxa" w:w="3120"/>
          </w:tcPr>
          <w:p>
            <w:r/>
            <w:r>
              <w:rPr>
                <w:sz w:val="18"/>
              </w:rPr>
              <w:t>—</w:t>
            </w:r>
          </w:p>
        </w:tc>
      </w:tr>
      <w:tr>
        <w:tc>
          <w:tcPr>
            <w:tcW w:type="dxa" w:w="3120"/>
          </w:tcPr>
          <w:p>
            <w:r/>
            <w:r>
              <w:rPr>
                <w:sz w:val="18"/>
              </w:rPr>
              <w:t>Evidence flow</w:t>
            </w:r>
          </w:p>
        </w:tc>
        <w:tc>
          <w:tcPr>
            <w:tcW w:type="dxa" w:w="3120"/>
          </w:tcPr>
          <w:p>
            <w:r/>
            <w:r>
              <w:rPr>
                <w:sz w:val="18"/>
              </w:rPr>
              <w:t>IPAM inventory named as the attestation</w:t>
            </w:r>
          </w:p>
        </w:tc>
        <w:tc>
          <w:tcPr>
            <w:tcW w:type="dxa" w:w="3120"/>
          </w:tcPr>
          <w:p>
            <w:r/>
            <w:r>
              <w:rPr>
                <w:sz w:val="18"/>
              </w:rPr>
              <w:t>An actual inventory artifact (vendor export or the DDI lab fixture) referenced from the slot-02 mapping</w:t>
            </w:r>
          </w:p>
        </w:tc>
      </w:tr>
    </w:tbl>
    <w:p/>
    <w:p>
      <w:pPr>
        <w:pStyle w:val="Heading3"/>
      </w:pPr>
      <w:r>
        <w:rPr>
          <w:color w:val="0D1B2E"/>
        </w:rPr>
        <w:t>Slot 3 — network (KSI-CNA)</w:t>
      </w:r>
    </w:p>
    <w:tbl>
      <w:tblPr>
        <w:tblStyle w:val="LightList-Accent1"/>
        <w:tblW w:type="auto" w:w="0"/>
        <w:tblLook w:firstColumn="1" w:firstRow="1" w:lastColumn="0" w:lastRow="0" w:noHBand="0" w:noVBand="1" w:val="04A0"/>
      </w:tblPr>
      <w:tblGrid>
        <w:gridCol w:w="3120"/>
        <w:gridCol w:w="3120"/>
        <w:gridCol w:w="3120"/>
      </w:tblGrid>
      <w:tr>
        <w:tc>
          <w:tcPr>
            <w:tcW w:type="dxa" w:w="3120"/>
          </w:tcPr>
          <w:p>
            <w:r>
              <w:rPr>
                <w:b/>
              </w:rPr>
            </w:r>
            <w:r>
              <w:rPr>
                <w:b/>
                <w:sz w:val="18"/>
              </w:rPr>
              <w:t>Criterion</w:t>
            </w:r>
          </w:p>
        </w:tc>
        <w:tc>
          <w:tcPr>
            <w:tcW w:type="dxa" w:w="3120"/>
          </w:tcPr>
          <w:p>
            <w:r>
              <w:rPr>
                <w:b/>
              </w:rPr>
            </w:r>
            <w:r>
              <w:rPr>
                <w:b/>
                <w:sz w:val="18"/>
              </w:rPr>
              <w:t>Level 2 evidence</w:t>
            </w:r>
          </w:p>
        </w:tc>
        <w:tc>
          <w:tcPr>
            <w:tcW w:type="dxa" w:w="3120"/>
          </w:tcPr>
          <w:p>
            <w:r>
              <w:rPr>
                <w:b/>
              </w:rPr>
            </w:r>
            <w:r>
              <w:rPr>
                <w:b/>
                <w:sz w:val="18"/>
              </w:rPr>
              <w:t>Level 3 adds</w:t>
            </w:r>
          </w:p>
        </w:tc>
      </w:tr>
      <w:tr>
        <w:tc>
          <w:tcPr>
            <w:tcW w:type="dxa" w:w="3120"/>
          </w:tcPr>
          <w:p>
            <w:r/>
            <w:r>
              <w:rPr>
                <w:sz w:val="18"/>
              </w:rPr>
              <w:t>Books</w:t>
            </w:r>
          </w:p>
        </w:tc>
        <w:tc>
          <w:tcPr>
            <w:tcW w:type="dxa" w:w="3120"/>
          </w:tcPr>
          <w:p>
            <w:r/>
            <w:r>
              <w:rPr>
                <w:sz w:val="18"/>
              </w:rPr>
              <w:t>05, 09</w:t>
            </w:r>
          </w:p>
        </w:tc>
        <w:tc>
          <w:tcPr>
            <w:tcW w:type="dxa" w:w="3120"/>
          </w:tcPr>
          <w:p>
            <w:r/>
            <w:r>
              <w:rPr>
                <w:sz w:val="18"/>
              </w:rPr>
              <w:t>—</w:t>
            </w:r>
          </w:p>
        </w:tc>
      </w:tr>
      <w:tr>
        <w:tc>
          <w:tcPr>
            <w:tcW w:type="dxa" w:w="3120"/>
          </w:tcPr>
          <w:p>
            <w:r/>
            <w:r>
              <w:rPr>
                <w:sz w:val="18"/>
              </w:rPr>
              <w:t>Controls</w:t>
            </w:r>
          </w:p>
        </w:tc>
        <w:tc>
          <w:tcPr>
            <w:tcW w:type="dxa" w:w="3120"/>
          </w:tcPr>
          <w:p>
            <w:r/>
            <w:r>
              <w:rPr>
                <w:sz w:val="18"/>
              </w:rPr>
              <w:t>SC-8 / CA-7 anchors; Book 09's SC/SI depth distinguished from Book 05's argument</w:t>
            </w:r>
          </w:p>
        </w:tc>
        <w:tc>
          <w:tcPr>
            <w:tcW w:type="dxa" w:w="3120"/>
          </w:tcPr>
          <w:p>
            <w:r/>
            <w:r>
              <w:rPr>
                <w:sz w:val="18"/>
              </w:rPr>
              <w:t>—</w:t>
            </w:r>
          </w:p>
        </w:tc>
      </w:tr>
      <w:tr>
        <w:tc>
          <w:tcPr>
            <w:tcW w:type="dxa" w:w="3120"/>
          </w:tcPr>
          <w:p>
            <w:r/>
            <w:r>
              <w:rPr>
                <w:sz w:val="18"/>
              </w:rPr>
              <w:t>Evidence flow</w:t>
            </w:r>
          </w:p>
        </w:tc>
        <w:tc>
          <w:tcPr>
            <w:tcW w:type="dxa" w:w="3120"/>
          </w:tcPr>
          <w:p>
            <w:r/>
            <w:r>
              <w:rPr>
                <w:sz w:val="18"/>
              </w:rPr>
              <w:t>One application-aware path policy mapped to SC-8</w:t>
            </w:r>
          </w:p>
        </w:tc>
        <w:tc>
          <w:tcPr>
            <w:tcW w:type="dxa" w:w="3120"/>
          </w:tcPr>
          <w:p>
            <w:r/>
            <w:r>
              <w:rPr>
                <w:sz w:val="18"/>
              </w:rPr>
              <w:t>The CA-7 continuous signal that proves the policy stays enforced, named concretely (probe, log, or export)</w:t>
            </w:r>
          </w:p>
        </w:tc>
      </w:tr>
    </w:tbl>
    <w:p/>
    <w:p>
      <w:pPr>
        <w:pStyle w:val="Heading3"/>
      </w:pPr>
      <w:r>
        <w:rPr>
          <w:color w:val="0D1B2E"/>
        </w:rPr>
        <w:t>Slot 4 — telemetry (KSI-MLA)</w:t>
      </w:r>
    </w:p>
    <w:tbl>
      <w:tblPr>
        <w:tblStyle w:val="LightList-Accent1"/>
        <w:tblW w:type="auto" w:w="0"/>
        <w:tblLook w:firstColumn="1" w:firstRow="1" w:lastColumn="0" w:lastRow="0" w:noHBand="0" w:noVBand="1" w:val="04A0"/>
      </w:tblPr>
      <w:tblGrid>
        <w:gridCol w:w="3120"/>
        <w:gridCol w:w="3120"/>
        <w:gridCol w:w="3120"/>
      </w:tblGrid>
      <w:tr>
        <w:tc>
          <w:tcPr>
            <w:tcW w:type="dxa" w:w="3120"/>
          </w:tcPr>
          <w:p>
            <w:r>
              <w:rPr>
                <w:b/>
              </w:rPr>
            </w:r>
            <w:r>
              <w:rPr>
                <w:b/>
                <w:sz w:val="18"/>
              </w:rPr>
              <w:t>Criterion</w:t>
            </w:r>
          </w:p>
        </w:tc>
        <w:tc>
          <w:tcPr>
            <w:tcW w:type="dxa" w:w="3120"/>
          </w:tcPr>
          <w:p>
            <w:r>
              <w:rPr>
                <w:b/>
              </w:rPr>
            </w:r>
            <w:r>
              <w:rPr>
                <w:b/>
                <w:sz w:val="18"/>
              </w:rPr>
              <w:t>Level 2 evidence</w:t>
            </w:r>
          </w:p>
        </w:tc>
        <w:tc>
          <w:tcPr>
            <w:tcW w:type="dxa" w:w="3120"/>
          </w:tcPr>
          <w:p>
            <w:r>
              <w:rPr>
                <w:b/>
              </w:rPr>
            </w:r>
            <w:r>
              <w:rPr>
                <w:b/>
                <w:sz w:val="18"/>
              </w:rPr>
              <w:t>Level 3 adds</w:t>
            </w:r>
          </w:p>
        </w:tc>
      </w:tr>
      <w:tr>
        <w:tc>
          <w:tcPr>
            <w:tcW w:type="dxa" w:w="3120"/>
          </w:tcPr>
          <w:p>
            <w:r/>
            <w:r>
              <w:rPr>
                <w:sz w:val="18"/>
              </w:rPr>
              <w:t>Books</w:t>
            </w:r>
          </w:p>
        </w:tc>
        <w:tc>
          <w:tcPr>
            <w:tcW w:type="dxa" w:w="3120"/>
          </w:tcPr>
          <w:p>
            <w:r/>
            <w:r>
              <w:rPr>
                <w:sz w:val="18"/>
              </w:rPr>
              <w:t>11, 12, 13</w:t>
            </w:r>
          </w:p>
        </w:tc>
        <w:tc>
          <w:tcPr>
            <w:tcW w:type="dxa" w:w="3120"/>
          </w:tcPr>
          <w:p>
            <w:r/>
            <w:r>
              <w:rPr>
                <w:sz w:val="18"/>
              </w:rPr>
              <w:t>—</w:t>
            </w:r>
          </w:p>
        </w:tc>
      </w:tr>
      <w:tr>
        <w:tc>
          <w:tcPr>
            <w:tcW w:type="dxa" w:w="3120"/>
          </w:tcPr>
          <w:p>
            <w:r/>
            <w:r>
              <w:rPr>
                <w:sz w:val="18"/>
              </w:rPr>
              <w:t>Controls</w:t>
            </w:r>
          </w:p>
        </w:tc>
        <w:tc>
          <w:tcPr>
            <w:tcW w:type="dxa" w:w="3120"/>
          </w:tcPr>
          <w:p>
            <w:r/>
            <w:r>
              <w:rPr>
                <w:sz w:val="18"/>
              </w:rPr>
              <w:t>CA-7 / SI-4 anchors; RA-5 family, SI-2, AU-6/7/8/11, IR-4/6/8 assigned to the right book</w:t>
            </w:r>
          </w:p>
        </w:tc>
        <w:tc>
          <w:tcPr>
            <w:tcW w:type="dxa" w:w="3120"/>
          </w:tcPr>
          <w:p>
            <w:r/>
            <w:r>
              <w:rPr>
                <w:sz w:val="18"/>
              </w:rPr>
              <w:t>—</w:t>
            </w:r>
          </w:p>
        </w:tc>
      </w:tr>
      <w:tr>
        <w:tc>
          <w:tcPr>
            <w:tcW w:type="dxa" w:w="3120"/>
          </w:tcPr>
          <w:p>
            <w:r/>
            <w:r>
              <w:rPr>
                <w:sz w:val="18"/>
              </w:rPr>
              <w:t>Evidence flow</w:t>
            </w:r>
          </w:p>
        </w:tc>
        <w:tc>
          <w:tcPr>
            <w:tcW w:type="dxa" w:w="3120"/>
          </w:tcPr>
          <w:p>
            <w:r/>
            <w:r>
              <w:rPr>
                <w:sz w:val="18"/>
              </w:rPr>
              <w:t>KEV-scenario trace: Defender VM finding → Sentinel incident → SI-4/RA-5 closure</w:t>
            </w:r>
          </w:p>
        </w:tc>
        <w:tc>
          <w:tcPr>
            <w:tcW w:type="dxa" w:w="3120"/>
          </w:tcPr>
          <w:p>
            <w:r/>
            <w:r>
              <w:rPr>
                <w:sz w:val="18"/>
              </w:rPr>
              <w:t>A fired-rule artifact (e.g., the Sentinel lab chain) plus the AU-11 retention argument</w:t>
            </w:r>
          </w:p>
        </w:tc>
      </w:tr>
    </w:tbl>
    <w:p/>
    <w:p>
      <w:pPr>
        <w:pStyle w:val="Heading3"/>
      </w:pPr>
      <w:r>
        <w:rPr>
          <w:color w:val="0D1B2E"/>
        </w:rPr>
        <w:t>Slot 5 — endpoint (KSI-PIY)</w:t>
      </w:r>
    </w:p>
    <w:tbl>
      <w:tblPr>
        <w:tblStyle w:val="LightList-Accent1"/>
        <w:tblW w:type="auto" w:w="0"/>
        <w:tblLook w:firstColumn="1" w:firstRow="1" w:lastColumn="0" w:lastRow="0" w:noHBand="0" w:noVBand="1" w:val="04A0"/>
      </w:tblPr>
      <w:tblGrid>
        <w:gridCol w:w="3120"/>
        <w:gridCol w:w="3120"/>
        <w:gridCol w:w="3120"/>
      </w:tblGrid>
      <w:tr>
        <w:tc>
          <w:tcPr>
            <w:tcW w:type="dxa" w:w="3120"/>
          </w:tcPr>
          <w:p>
            <w:r>
              <w:rPr>
                <w:b/>
              </w:rPr>
            </w:r>
            <w:r>
              <w:rPr>
                <w:b/>
                <w:sz w:val="18"/>
              </w:rPr>
              <w:t>Criterion</w:t>
            </w:r>
          </w:p>
        </w:tc>
        <w:tc>
          <w:tcPr>
            <w:tcW w:type="dxa" w:w="3120"/>
          </w:tcPr>
          <w:p>
            <w:r>
              <w:rPr>
                <w:b/>
              </w:rPr>
            </w:r>
            <w:r>
              <w:rPr>
                <w:b/>
                <w:sz w:val="18"/>
              </w:rPr>
              <w:t>Level 2 evidence</w:t>
            </w:r>
          </w:p>
        </w:tc>
        <w:tc>
          <w:tcPr>
            <w:tcW w:type="dxa" w:w="3120"/>
          </w:tcPr>
          <w:p>
            <w:r>
              <w:rPr>
                <w:b/>
              </w:rPr>
            </w:r>
            <w:r>
              <w:rPr>
                <w:b/>
                <w:sz w:val="18"/>
              </w:rPr>
              <w:t>Level 3 adds</w:t>
            </w:r>
          </w:p>
        </w:tc>
      </w:tr>
      <w:tr>
        <w:tc>
          <w:tcPr>
            <w:tcW w:type="dxa" w:w="3120"/>
          </w:tcPr>
          <w:p>
            <w:r/>
            <w:r>
              <w:rPr>
                <w:sz w:val="18"/>
              </w:rPr>
              <w:t>Books</w:t>
            </w:r>
          </w:p>
        </w:tc>
        <w:tc>
          <w:tcPr>
            <w:tcW w:type="dxa" w:w="3120"/>
          </w:tcPr>
          <w:p>
            <w:r/>
            <w:r>
              <w:rPr>
                <w:sz w:val="18"/>
              </w:rPr>
              <w:t>10 (PAW), 11 (assessment surface), 17 (PII endpoints); 02 noted (device identity — binding pending mapping refresh)</w:t>
            </w:r>
          </w:p>
        </w:tc>
        <w:tc>
          <w:tcPr>
            <w:tcW w:type="dxa" w:w="3120"/>
          </w:tcPr>
          <w:p>
            <w:r/>
            <w:r>
              <w:rPr>
                <w:sz w:val="18"/>
              </w:rPr>
              <w:t>—</w:t>
            </w:r>
          </w:p>
        </w:tc>
      </w:tr>
      <w:tr>
        <w:tc>
          <w:tcPr>
            <w:tcW w:type="dxa" w:w="3120"/>
          </w:tcPr>
          <w:p>
            <w:r/>
            <w:r>
              <w:rPr>
                <w:sz w:val="18"/>
              </w:rPr>
              <w:t>Controls</w:t>
            </w:r>
          </w:p>
        </w:tc>
        <w:tc>
          <w:tcPr>
            <w:tcW w:type="dxa" w:w="3120"/>
          </w:tcPr>
          <w:p>
            <w:r/>
            <w:r>
              <w:rPr>
                <w:sz w:val="18"/>
              </w:rPr>
              <w:t>CM-8 / IA-3 anchors; PT entry points from Book 17</w:t>
            </w:r>
          </w:p>
        </w:tc>
        <w:tc>
          <w:tcPr>
            <w:tcW w:type="dxa" w:w="3120"/>
          </w:tcPr>
          <w:p>
            <w:r/>
            <w:r>
              <w:rPr>
                <w:sz w:val="18"/>
              </w:rPr>
              <w:t>—</w:t>
            </w:r>
          </w:p>
        </w:tc>
      </w:tr>
      <w:tr>
        <w:tc>
          <w:tcPr>
            <w:tcW w:type="dxa" w:w="3120"/>
          </w:tcPr>
          <w:p>
            <w:r/>
            <w:r>
              <w:rPr>
                <w:sz w:val="18"/>
              </w:rPr>
              <w:t>Evidence flow</w:t>
            </w:r>
          </w:p>
        </w:tc>
        <w:tc>
          <w:tcPr>
            <w:tcW w:type="dxa" w:w="3120"/>
          </w:tcPr>
          <w:p>
            <w:r/>
            <w:r>
              <w:rPr>
                <w:sz w:val="18"/>
              </w:rPr>
              <w:t>Endpoint-inventory statement covering device identity and completeness</w:t>
            </w:r>
          </w:p>
        </w:tc>
        <w:tc>
          <w:tcPr>
            <w:tcW w:type="dxa" w:w="3120"/>
          </w:tcPr>
          <w:p>
            <w:r/>
            <w:r>
              <w:rPr>
                <w:sz w:val="18"/>
              </w:rPr>
              <w:t>The PII-handling endpoint subset called out with its Book 17 transparency treatment</w:t>
            </w:r>
          </w:p>
        </w:tc>
      </w:tr>
    </w:tbl>
    <w:p/>
    <w:p>
      <w:pPr>
        <w:pStyle w:val="Heading3"/>
      </w:pPr>
      <w:r>
        <w:rPr>
          <w:color w:val="0D1B2E"/>
        </w:rPr>
        <w:t>Slot 6 — security configuration &amp; change (KSI-CMT)</w:t>
      </w:r>
    </w:p>
    <w:tbl>
      <w:tblPr>
        <w:tblStyle w:val="LightList-Accent1"/>
        <w:tblW w:type="auto" w:w="0"/>
        <w:tblLook w:firstColumn="1" w:firstRow="1" w:lastColumn="0" w:lastRow="0" w:noHBand="0" w:noVBand="1" w:val="04A0"/>
      </w:tblPr>
      <w:tblGrid>
        <w:gridCol w:w="3120"/>
        <w:gridCol w:w="3120"/>
        <w:gridCol w:w="3120"/>
      </w:tblGrid>
      <w:tr>
        <w:tc>
          <w:tcPr>
            <w:tcW w:type="dxa" w:w="3120"/>
          </w:tcPr>
          <w:p>
            <w:r>
              <w:rPr>
                <w:b/>
              </w:rPr>
            </w:r>
            <w:r>
              <w:rPr>
                <w:b/>
                <w:sz w:val="18"/>
              </w:rPr>
              <w:t>Criterion</w:t>
            </w:r>
          </w:p>
        </w:tc>
        <w:tc>
          <w:tcPr>
            <w:tcW w:type="dxa" w:w="3120"/>
          </w:tcPr>
          <w:p>
            <w:r>
              <w:rPr>
                <w:b/>
              </w:rPr>
            </w:r>
            <w:r>
              <w:rPr>
                <w:b/>
                <w:sz w:val="18"/>
              </w:rPr>
              <w:t>Level 2 evidence</w:t>
            </w:r>
          </w:p>
        </w:tc>
        <w:tc>
          <w:tcPr>
            <w:tcW w:type="dxa" w:w="3120"/>
          </w:tcPr>
          <w:p>
            <w:r>
              <w:rPr>
                <w:b/>
              </w:rPr>
            </w:r>
            <w:r>
              <w:rPr>
                <w:b/>
                <w:sz w:val="18"/>
              </w:rPr>
              <w:t>Level 3 adds</w:t>
            </w:r>
          </w:p>
        </w:tc>
      </w:tr>
      <w:tr>
        <w:tc>
          <w:tcPr>
            <w:tcW w:type="dxa" w:w="3120"/>
          </w:tcPr>
          <w:p>
            <w:r/>
            <w:r>
              <w:rPr>
                <w:sz w:val="18"/>
              </w:rPr>
              <w:t>Books</w:t>
            </w:r>
          </w:p>
        </w:tc>
        <w:tc>
          <w:tcPr>
            <w:tcW w:type="dxa" w:w="3120"/>
          </w:tcPr>
          <w:p>
            <w:r/>
            <w:r>
              <w:rPr>
                <w:sz w:val="18"/>
              </w:rPr>
              <w:t>11, 13, 15, 16</w:t>
            </w:r>
          </w:p>
        </w:tc>
        <w:tc>
          <w:tcPr>
            <w:tcW w:type="dxa" w:w="3120"/>
          </w:tcPr>
          <w:p>
            <w:r/>
            <w:r>
              <w:rPr>
                <w:sz w:val="18"/>
              </w:rPr>
              <w:t>—</w:t>
            </w:r>
          </w:p>
        </w:tc>
      </w:tr>
      <w:tr>
        <w:tc>
          <w:tcPr>
            <w:tcW w:type="dxa" w:w="3120"/>
          </w:tcPr>
          <w:p>
            <w:r/>
            <w:r>
              <w:rPr>
                <w:sz w:val="18"/>
              </w:rPr>
              <w:t>Controls</w:t>
            </w:r>
          </w:p>
        </w:tc>
        <w:tc>
          <w:tcPr>
            <w:tcW w:type="dxa" w:w="3120"/>
          </w:tcPr>
          <w:p>
            <w:r/>
            <w:r>
              <w:rPr>
                <w:sz w:val="18"/>
              </w:rPr>
              <w:t>CM-2 / AC-4 anchors; SR family from Book 15; PM family from Book 16</w:t>
            </w:r>
          </w:p>
        </w:tc>
        <w:tc>
          <w:tcPr>
            <w:tcW w:type="dxa" w:w="3120"/>
          </w:tcPr>
          <w:p>
            <w:r/>
            <w:r>
              <w:rPr>
                <w:sz w:val="18"/>
              </w:rPr>
              <w:t>—</w:t>
            </w:r>
          </w:p>
        </w:tc>
      </w:tr>
      <w:tr>
        <w:tc>
          <w:tcPr>
            <w:tcW w:type="dxa" w:w="3120"/>
          </w:tcPr>
          <w:p>
            <w:r/>
            <w:r>
              <w:rPr>
                <w:sz w:val="18"/>
              </w:rPr>
              <w:t>Evidence flow</w:t>
            </w:r>
          </w:p>
        </w:tc>
        <w:tc>
          <w:tcPr>
            <w:tcW w:type="dxa" w:w="3120"/>
          </w:tcPr>
          <w:p>
            <w:r/>
            <w:r>
              <w:rPr>
                <w:sz w:val="18"/>
              </w:rPr>
              <w:t>The BOD 26-04 submission story: SBOM artifacts → KSI-011–014 activation</w:t>
            </w:r>
          </w:p>
        </w:tc>
        <w:tc>
          <w:tcPr>
            <w:tcW w:type="dxa" w:w="3120"/>
          </w:tcPr>
          <w:p>
            <w:r/>
            <w:r>
              <w:rPr>
                <w:sz w:val="18"/>
              </w:rPr>
              <w:t>An actual SBOM/VDR artifact, and the Book 19 submission cadence stated against the Dec 7 2026 gate</w:t>
            </w:r>
          </w:p>
        </w:tc>
      </w:tr>
    </w:tbl>
    <w:p/>
    <w:p>
      <w:pPr>
        <w:pStyle w:val="Heading3"/>
      </w:pPr>
      <w:r>
        <w:rPr>
          <w:color w:val="0D1B2E"/>
        </w:rPr>
        <w:t>Slot 7 — continuity (KSI-RPL)</w:t>
      </w:r>
    </w:p>
    <w:tbl>
      <w:tblPr>
        <w:tblStyle w:val="LightList-Accent1"/>
        <w:tblW w:type="auto" w:w="0"/>
        <w:tblLook w:firstColumn="1" w:firstRow="1" w:lastColumn="0" w:lastRow="0" w:noHBand="0" w:noVBand="1" w:val="04A0"/>
      </w:tblPr>
      <w:tblGrid>
        <w:gridCol w:w="3120"/>
        <w:gridCol w:w="3120"/>
        <w:gridCol w:w="3120"/>
      </w:tblGrid>
      <w:tr>
        <w:tc>
          <w:tcPr>
            <w:tcW w:type="dxa" w:w="3120"/>
          </w:tcPr>
          <w:p>
            <w:r>
              <w:rPr>
                <w:b/>
              </w:rPr>
            </w:r>
            <w:r>
              <w:rPr>
                <w:b/>
                <w:sz w:val="18"/>
              </w:rPr>
              <w:t>Criterion</w:t>
            </w:r>
          </w:p>
        </w:tc>
        <w:tc>
          <w:tcPr>
            <w:tcW w:type="dxa" w:w="3120"/>
          </w:tcPr>
          <w:p>
            <w:r>
              <w:rPr>
                <w:b/>
              </w:rPr>
            </w:r>
            <w:r>
              <w:rPr>
                <w:b/>
                <w:sz w:val="18"/>
              </w:rPr>
              <w:t>Level 2 evidence</w:t>
            </w:r>
          </w:p>
        </w:tc>
        <w:tc>
          <w:tcPr>
            <w:tcW w:type="dxa" w:w="3120"/>
          </w:tcPr>
          <w:p>
            <w:r>
              <w:rPr>
                <w:b/>
              </w:rPr>
            </w:r>
            <w:r>
              <w:rPr>
                <w:b/>
                <w:sz w:val="18"/>
              </w:rPr>
              <w:t>Level 3 adds</w:t>
            </w:r>
          </w:p>
        </w:tc>
      </w:tr>
      <w:tr>
        <w:tc>
          <w:tcPr>
            <w:tcW w:type="dxa" w:w="3120"/>
          </w:tcPr>
          <w:p>
            <w:r/>
            <w:r>
              <w:rPr>
                <w:sz w:val="18"/>
              </w:rPr>
              <w:t>Books</w:t>
            </w:r>
          </w:p>
        </w:tc>
        <w:tc>
          <w:tcPr>
            <w:tcW w:type="dxa" w:w="3120"/>
          </w:tcPr>
          <w:p>
            <w:r/>
            <w:r>
              <w:rPr>
                <w:sz w:val="18"/>
              </w:rPr>
              <w:t>14</w:t>
            </w:r>
          </w:p>
        </w:tc>
        <w:tc>
          <w:tcPr>
            <w:tcW w:type="dxa" w:w="3120"/>
          </w:tcPr>
          <w:p>
            <w:r/>
            <w:r>
              <w:rPr>
                <w:sz w:val="18"/>
              </w:rPr>
              <w:t>—</w:t>
            </w:r>
          </w:p>
        </w:tc>
      </w:tr>
      <w:tr>
        <w:tc>
          <w:tcPr>
            <w:tcW w:type="dxa" w:w="3120"/>
          </w:tcPr>
          <w:p>
            <w:r/>
            <w:r>
              <w:rPr>
                <w:sz w:val="18"/>
              </w:rPr>
              <w:t>Controls</w:t>
            </w:r>
          </w:p>
        </w:tc>
        <w:tc>
          <w:tcPr>
            <w:tcW w:type="dxa" w:w="3120"/>
          </w:tcPr>
          <w:p>
            <w:r/>
            <w:r>
              <w:rPr>
                <w:sz w:val="18"/>
              </w:rPr>
              <w:t>CP-2 through CP-10 with enhancement counts right</w:t>
            </w:r>
          </w:p>
        </w:tc>
        <w:tc>
          <w:tcPr>
            <w:tcW w:type="dxa" w:w="3120"/>
          </w:tcPr>
          <w:p>
            <w:r/>
            <w:r>
              <w:rPr>
                <w:sz w:val="18"/>
              </w:rPr>
              <w:t>—</w:t>
            </w:r>
          </w:p>
        </w:tc>
      </w:tr>
      <w:tr>
        <w:tc>
          <w:tcPr>
            <w:tcW w:type="dxa" w:w="3120"/>
          </w:tcPr>
          <w:p>
            <w:r/>
            <w:r>
              <w:rPr>
                <w:sz w:val="18"/>
              </w:rPr>
              <w:t>Evidence flow</w:t>
            </w:r>
          </w:p>
        </w:tc>
        <w:tc>
          <w:tcPr>
            <w:tcW w:type="dxa" w:w="3120"/>
          </w:tcPr>
          <w:p>
            <w:r/>
            <w:r>
              <w:rPr>
                <w:sz w:val="18"/>
              </w:rPr>
              <w:t>One contingency-test exercise mapped to CP-4 via the slot-07 binding</w:t>
            </w:r>
          </w:p>
        </w:tc>
        <w:tc>
          <w:tcPr>
            <w:tcW w:type="dxa" w:w="3120"/>
          </w:tcPr>
          <w:p>
            <w:r/>
            <w:r>
              <w:rPr>
                <w:sz w:val="18"/>
              </w:rPr>
              <w:t>A tabletop AAR (even a lab one) with findings and owners — a zero-finding AAR scores 0 here, per Book 14</w:t>
            </w:r>
          </w:p>
        </w:tc>
      </w:tr>
    </w:tbl>
    <w:p/>
    <w:p>
      <w:pPr>
        <w:pStyle w:val="Heading3"/>
      </w:pPr>
      <w:r>
        <w:rPr>
          <w:color w:val="0D1B2E"/>
        </w:rPr>
        <w:t>Slot 8 — training (KSI-CED)</w:t>
      </w:r>
    </w:p>
    <w:tbl>
      <w:tblPr>
        <w:tblStyle w:val="LightList-Accent1"/>
        <w:tblW w:type="auto" w:w="0"/>
        <w:tblLook w:firstColumn="1" w:firstRow="1" w:lastColumn="0" w:lastRow="0" w:noHBand="0" w:noVBand="1" w:val="04A0"/>
      </w:tblPr>
      <w:tblGrid>
        <w:gridCol w:w="3120"/>
        <w:gridCol w:w="3120"/>
        <w:gridCol w:w="3120"/>
      </w:tblGrid>
      <w:tr>
        <w:tc>
          <w:tcPr>
            <w:tcW w:type="dxa" w:w="3120"/>
          </w:tcPr>
          <w:p>
            <w:r>
              <w:rPr>
                <w:b/>
              </w:rPr>
            </w:r>
            <w:r>
              <w:rPr>
                <w:b/>
                <w:sz w:val="18"/>
              </w:rPr>
              <w:t>Criterion</w:t>
            </w:r>
          </w:p>
        </w:tc>
        <w:tc>
          <w:tcPr>
            <w:tcW w:type="dxa" w:w="3120"/>
          </w:tcPr>
          <w:p>
            <w:r>
              <w:rPr>
                <w:b/>
              </w:rPr>
            </w:r>
            <w:r>
              <w:rPr>
                <w:b/>
                <w:sz w:val="18"/>
              </w:rPr>
              <w:t>Level 2 evidence</w:t>
            </w:r>
          </w:p>
        </w:tc>
        <w:tc>
          <w:tcPr>
            <w:tcW w:type="dxa" w:w="3120"/>
          </w:tcPr>
          <w:p>
            <w:r>
              <w:rPr>
                <w:b/>
              </w:rPr>
            </w:r>
            <w:r>
              <w:rPr>
                <w:b/>
                <w:sz w:val="18"/>
              </w:rPr>
              <w:t>Level 3 adds</w:t>
            </w:r>
          </w:p>
        </w:tc>
      </w:tr>
      <w:tr>
        <w:tc>
          <w:tcPr>
            <w:tcW w:type="dxa" w:w="3120"/>
          </w:tcPr>
          <w:p>
            <w:r/>
            <w:r>
              <w:rPr>
                <w:sz w:val="18"/>
              </w:rPr>
              <w:t>Books</w:t>
            </w:r>
          </w:p>
        </w:tc>
        <w:tc>
          <w:tcPr>
            <w:tcW w:type="dxa" w:w="3120"/>
          </w:tcPr>
          <w:p>
            <w:r/>
            <w:r>
              <w:rPr>
                <w:sz w:val="18"/>
              </w:rPr>
              <w:t>18 (19 as the freshness/ConMon context)</w:t>
            </w:r>
          </w:p>
        </w:tc>
        <w:tc>
          <w:tcPr>
            <w:tcW w:type="dxa" w:w="3120"/>
          </w:tcPr>
          <w:p>
            <w:r/>
            <w:r>
              <w:rPr>
                <w:sz w:val="18"/>
              </w:rPr>
              <w:t>—</w:t>
            </w:r>
          </w:p>
        </w:tc>
      </w:tr>
      <w:tr>
        <w:tc>
          <w:tcPr>
            <w:tcW w:type="dxa" w:w="3120"/>
          </w:tcPr>
          <w:p>
            <w:r/>
            <w:r>
              <w:rPr>
                <w:sz w:val="18"/>
              </w:rPr>
              <w:t>Controls</w:t>
            </w:r>
          </w:p>
        </w:tc>
        <w:tc>
          <w:tcPr>
            <w:tcW w:type="dxa" w:w="3120"/>
          </w:tcPr>
          <w:p>
            <w:r/>
            <w:r>
              <w:rPr>
                <w:sz w:val="18"/>
              </w:rPr>
              <w:t>AT-2(+1/+2), AT-3(+3/+5), AT-4, CP-3, IR-2 mapped to the four training dimensions</w:t>
            </w:r>
          </w:p>
        </w:tc>
        <w:tc>
          <w:tcPr>
            <w:tcW w:type="dxa" w:w="3120"/>
          </w:tcPr>
          <w:p>
            <w:r/>
            <w:r>
              <w:rPr>
                <w:sz w:val="18"/>
              </w:rPr>
              <w:t>—</w:t>
            </w:r>
          </w:p>
        </w:tc>
      </w:tr>
      <w:tr>
        <w:tc>
          <w:tcPr>
            <w:tcW w:type="dxa" w:w="3120"/>
          </w:tcPr>
          <w:p>
            <w:r/>
            <w:r>
              <w:rPr>
                <w:sz w:val="18"/>
              </w:rPr>
              <w:t>Evidence flow</w:t>
            </w:r>
          </w:p>
        </w:tc>
        <w:tc>
          <w:tcPr>
            <w:tcW w:type="dxa" w:w="3120"/>
          </w:tcPr>
          <w:p>
            <w:r/>
            <w:r>
              <w:rPr>
                <w:sz w:val="18"/>
              </w:rPr>
              <w:t xml:space="preserve">The </w:t>
            </w:r>
            <w:r>
              <w:rPr>
                <w:rFonts w:ascii="Consolas" w:hAnsi="Consolas"/>
                <w:sz w:val="18"/>
              </w:rPr>
              <w:t>training-effectiveness-record</w:t>
            </w:r>
            <w:r>
              <w:rPr>
                <w:sz w:val="18"/>
              </w:rPr>
              <w:t xml:space="preserve"> JSON named as the KSI-022 evidence contract, with the ≥95% thresholds</w:t>
            </w:r>
          </w:p>
        </w:tc>
        <w:tc>
          <w:tcPr>
            <w:tcW w:type="dxa" w:w="3120"/>
          </w:tcPr>
          <w:p>
            <w:r/>
            <w:r>
              <w:rPr>
                <w:sz w:val="18"/>
              </w:rPr>
              <w:t>An actual record (lab-generated is fine) passing the PASS logic, with per-identity phishing results — aggregate-only stats score 0 here, per Book 18</w:t>
            </w:r>
          </w:p>
        </w:tc>
      </w:tr>
    </w:tbl>
    <w:p/>
    <w:p>
      <w:pPr>
        <w:pStyle w:val="Heading3"/>
      </w:pPr>
      <w:r>
        <w:rPr>
          <w:color w:val="0D1B2E"/>
        </w:rPr>
        <w:t>Scoring sheet</w:t>
      </w:r>
    </w:p>
    <w:tbl>
      <w:tblPr>
        <w:tblStyle w:val="LightList-Accent1"/>
        <w:tblW w:type="auto" w:w="0"/>
        <w:tblLook w:firstColumn="1" w:firstRow="1" w:lastColumn="0" w:lastRow="0" w:noHBand="0" w:noVBand="1" w:val="04A0"/>
      </w:tblPr>
      <w:tblGrid>
        <w:gridCol w:w="3120"/>
        <w:gridCol w:w="3120"/>
        <w:gridCol w:w="3120"/>
      </w:tblGrid>
      <w:tr>
        <w:tc>
          <w:tcPr>
            <w:tcW w:type="dxa" w:w="3120"/>
          </w:tcPr>
          <w:p>
            <w:r>
              <w:rPr>
                <w:b/>
              </w:rPr>
            </w:r>
            <w:r>
              <w:rPr>
                <w:b/>
                <w:sz w:val="18"/>
              </w:rPr>
              <w:t>Slot</w:t>
            </w:r>
          </w:p>
        </w:tc>
        <w:tc>
          <w:tcPr>
            <w:tcW w:type="dxa" w:w="3120"/>
          </w:tcPr>
          <w:p>
            <w:r>
              <w:rPr>
                <w:b/>
              </w:rPr>
            </w:r>
            <w:r>
              <w:rPr>
                <w:b/>
                <w:sz w:val="18"/>
              </w:rPr>
              <w:t>Level (0–3)</w:t>
            </w:r>
          </w:p>
        </w:tc>
        <w:tc>
          <w:tcPr>
            <w:tcW w:type="dxa" w:w="3120"/>
          </w:tcPr>
          <w:p>
            <w:r>
              <w:rPr>
                <w:b/>
              </w:rPr>
            </w:r>
            <w:r>
              <w:rPr>
                <w:b/>
                <w:sz w:val="18"/>
              </w:rPr>
              <w:t>Notes</w:t>
            </w:r>
          </w:p>
        </w:tc>
      </w:tr>
      <w:tr>
        <w:tc>
          <w:tcPr>
            <w:tcW w:type="dxa" w:w="3120"/>
          </w:tcPr>
          <w:p>
            <w:r/>
            <w:r>
              <w:rPr>
                <w:sz w:val="18"/>
              </w:rPr>
              <w:t>1 — identity</w:t>
            </w:r>
          </w:p>
        </w:tc>
        <w:tc>
          <w:tcPr>
            <w:tcW w:type="dxa" w:w="3120"/>
          </w:tcPr>
          <w:p>
            <w:r/>
          </w:p>
        </w:tc>
        <w:tc>
          <w:tcPr>
            <w:tcW w:type="dxa" w:w="3120"/>
          </w:tcPr>
          <w:p>
            <w:r/>
          </w:p>
        </w:tc>
      </w:tr>
      <w:tr>
        <w:tc>
          <w:tcPr>
            <w:tcW w:type="dxa" w:w="3120"/>
          </w:tcPr>
          <w:p>
            <w:r/>
            <w:r>
              <w:rPr>
                <w:sz w:val="18"/>
              </w:rPr>
              <w:t>2 — addressing</w:t>
            </w:r>
          </w:p>
        </w:tc>
        <w:tc>
          <w:tcPr>
            <w:tcW w:type="dxa" w:w="3120"/>
          </w:tcPr>
          <w:p>
            <w:r/>
          </w:p>
        </w:tc>
        <w:tc>
          <w:tcPr>
            <w:tcW w:type="dxa" w:w="3120"/>
          </w:tcPr>
          <w:p>
            <w:r/>
          </w:p>
        </w:tc>
      </w:tr>
      <w:tr>
        <w:tc>
          <w:tcPr>
            <w:tcW w:type="dxa" w:w="3120"/>
          </w:tcPr>
          <w:p>
            <w:r/>
            <w:r>
              <w:rPr>
                <w:sz w:val="18"/>
              </w:rPr>
              <w:t>3 — network</w:t>
            </w:r>
          </w:p>
        </w:tc>
        <w:tc>
          <w:tcPr>
            <w:tcW w:type="dxa" w:w="3120"/>
          </w:tcPr>
          <w:p>
            <w:r/>
          </w:p>
        </w:tc>
        <w:tc>
          <w:tcPr>
            <w:tcW w:type="dxa" w:w="3120"/>
          </w:tcPr>
          <w:p>
            <w:r/>
          </w:p>
        </w:tc>
      </w:tr>
      <w:tr>
        <w:tc>
          <w:tcPr>
            <w:tcW w:type="dxa" w:w="3120"/>
          </w:tcPr>
          <w:p>
            <w:r/>
            <w:r>
              <w:rPr>
                <w:sz w:val="18"/>
              </w:rPr>
              <w:t>4 — telemetry</w:t>
            </w:r>
          </w:p>
        </w:tc>
        <w:tc>
          <w:tcPr>
            <w:tcW w:type="dxa" w:w="3120"/>
          </w:tcPr>
          <w:p>
            <w:r/>
          </w:p>
        </w:tc>
        <w:tc>
          <w:tcPr>
            <w:tcW w:type="dxa" w:w="3120"/>
          </w:tcPr>
          <w:p>
            <w:r/>
          </w:p>
        </w:tc>
      </w:tr>
      <w:tr>
        <w:tc>
          <w:tcPr>
            <w:tcW w:type="dxa" w:w="3120"/>
          </w:tcPr>
          <w:p>
            <w:r/>
            <w:r>
              <w:rPr>
                <w:sz w:val="18"/>
              </w:rPr>
              <w:t>5 — endpoint</w:t>
            </w:r>
          </w:p>
        </w:tc>
        <w:tc>
          <w:tcPr>
            <w:tcW w:type="dxa" w:w="3120"/>
          </w:tcPr>
          <w:p>
            <w:r/>
          </w:p>
        </w:tc>
        <w:tc>
          <w:tcPr>
            <w:tcW w:type="dxa" w:w="3120"/>
          </w:tcPr>
          <w:p>
            <w:r/>
          </w:p>
        </w:tc>
      </w:tr>
      <w:tr>
        <w:tc>
          <w:tcPr>
            <w:tcW w:type="dxa" w:w="3120"/>
          </w:tcPr>
          <w:p>
            <w:r/>
            <w:r>
              <w:rPr>
                <w:sz w:val="18"/>
              </w:rPr>
              <w:t>6 — security</w:t>
            </w:r>
          </w:p>
        </w:tc>
        <w:tc>
          <w:tcPr>
            <w:tcW w:type="dxa" w:w="3120"/>
          </w:tcPr>
          <w:p>
            <w:r/>
          </w:p>
        </w:tc>
        <w:tc>
          <w:tcPr>
            <w:tcW w:type="dxa" w:w="3120"/>
          </w:tcPr>
          <w:p>
            <w:r/>
          </w:p>
        </w:tc>
      </w:tr>
      <w:tr>
        <w:tc>
          <w:tcPr>
            <w:tcW w:type="dxa" w:w="3120"/>
          </w:tcPr>
          <w:p>
            <w:r/>
            <w:r>
              <w:rPr>
                <w:sz w:val="18"/>
              </w:rPr>
              <w:t>7 — continuity</w:t>
            </w:r>
          </w:p>
        </w:tc>
        <w:tc>
          <w:tcPr>
            <w:tcW w:type="dxa" w:w="3120"/>
          </w:tcPr>
          <w:p>
            <w:r/>
          </w:p>
        </w:tc>
        <w:tc>
          <w:tcPr>
            <w:tcW w:type="dxa" w:w="3120"/>
          </w:tcPr>
          <w:p>
            <w:r/>
          </w:p>
        </w:tc>
      </w:tr>
      <w:tr>
        <w:tc>
          <w:tcPr>
            <w:tcW w:type="dxa" w:w="3120"/>
          </w:tcPr>
          <w:p>
            <w:r/>
            <w:r>
              <w:rPr>
                <w:sz w:val="18"/>
              </w:rPr>
              <w:t>8 — training</w:t>
            </w:r>
          </w:p>
        </w:tc>
        <w:tc>
          <w:tcPr>
            <w:tcW w:type="dxa" w:w="3120"/>
          </w:tcPr>
          <w:p>
            <w:r/>
          </w:p>
        </w:tc>
        <w:tc>
          <w:tcPr>
            <w:tcW w:type="dxa" w:w="3120"/>
          </w:tcPr>
          <w:p>
            <w:r/>
          </w:p>
        </w:tc>
      </w:tr>
      <w:tr>
        <w:tc>
          <w:tcPr>
            <w:tcW w:type="dxa" w:w="3120"/>
          </w:tcPr>
          <w:p>
            <w:r/>
            <w:r>
              <w:rPr>
                <w:sz w:val="18"/>
              </w:rPr>
              <w:t>Common checks passed</w:t>
            </w:r>
          </w:p>
        </w:tc>
        <w:tc>
          <w:tcPr>
            <w:tcW w:type="dxa" w:w="3120"/>
          </w:tcPr>
          <w:p>
            <w:r/>
            <w:r>
              <w:rPr>
                <w:sz w:val="18"/>
              </w:rPr>
              <w:t>/4</w:t>
            </w:r>
          </w:p>
        </w:tc>
        <w:tc>
          <w:tcPr>
            <w:tcW w:type="dxa" w:w="3120"/>
          </w:tcPr>
          <w:p>
            <w:r/>
          </w:p>
        </w:tc>
      </w:tr>
      <w:tr>
        <w:tc>
          <w:tcPr>
            <w:tcW w:type="dxa" w:w="3120"/>
          </w:tcPr>
          <w:p>
            <w:r/>
            <w:r>
              <w:rPr>
                <w:b/>
                <w:sz w:val="18"/>
              </w:rPr>
              <w:t>Result</w:t>
            </w:r>
          </w:p>
        </w:tc>
        <w:tc>
          <w:tcPr>
            <w:tcW w:type="dxa" w:w="3120"/>
          </w:tcPr>
          <w:p>
            <w:r/>
            <w:r>
              <w:rPr>
                <w:sz w:val="18"/>
              </w:rPr>
              <w:t>Pass / Not yet</w:t>
            </w:r>
          </w:p>
        </w:tc>
        <w:tc>
          <w:tcPr>
            <w:tcW w:type="dxa" w:w="3120"/>
          </w:tcPr>
          <w:p>
            <w:r/>
            <w:r>
              <w:rPr>
                <w:sz w:val="18"/>
              </w:rPr>
              <w:t>Pass = all ≥2, ≥3 at level 3, 4/4 common checks</w:t>
            </w:r>
          </w:p>
        </w:tc>
      </w:tr>
    </w:tbl>
    <w:p/>
    <w:p>
      <w:r>
        <w:br w:type="page"/>
      </w:r>
    </w:p>
    <w:p>
      <w:pPr>
        <w:pStyle w:val="Heading1"/>
      </w:pPr>
      <w:r>
        <w:rPr>
          <w:color w:val="0D1B2E"/>
        </w:rPr>
        <w:t>Book 00 — Executive Summary</w:t>
      </w:r>
    </w:p>
    <w:p>
      <w:r>
        <w:rPr>
          <w:i/>
          <w:color w:val="5A5A5A"/>
          <w:sz w:val="24"/>
        </w:rPr>
        <w:t>AAN module: the decision-maker synthesis of the series</w:t>
      </w:r>
    </w:p>
    <w:p>
      <w:r>
        <w:rPr>
          <w:color w:val="1E8C8C"/>
          <w:sz w:val="18"/>
        </w:rPr>
        <w:t>Federal AAN Training Program — companion material for the federal AAN book series; not part of UIAO.</w:t>
      </w:r>
    </w:p>
    <w:p>
      <w:pPr>
        <w:spacing w:before="80" w:after="80"/>
      </w:pPr>
      <w:r>
        <w:rPr>
          <w:b/>
          <w:sz w:val="22"/>
        </w:rPr>
        <w:t>Source:</w:t>
      </w:r>
      <w:r>
        <w:rPr>
          <w:sz w:val="22"/>
        </w:rPr>
        <w:t xml:space="preserve"> Book_00 Executive Summary &lt;https://github.com/WhalerMike/uiao/blob/main/inbox/Application%20Aware%20Networking/Book_00_FedAAN_Executive_Summary.qmd&gt; · </w:t>
      </w:r>
      <w:r>
        <w:rPr>
          <w:b/>
          <w:sz w:val="22"/>
        </w:rPr>
        <w:t>Evidence slot:</w:t>
      </w:r>
      <w:r>
        <w:rPr>
          <w:sz w:val="22"/>
        </w:rPr>
        <w:t xml:space="preserve"> — (orientation) · </w:t>
      </w:r>
      <w:r>
        <w:rPr>
          <w:b/>
          <w:sz w:val="22"/>
        </w:rPr>
        <w:t>Track modules:</w:t>
      </w:r>
      <w:r>
        <w:rPr>
          <w:sz w:val="22"/>
        </w:rPr>
        <w:t xml:space="preserve"> A0, Track B prerequisite</w:t>
      </w:r>
    </w:p>
    <w:p>
      <w:pPr>
        <w:pStyle w:val="Heading3"/>
      </w:pPr>
      <w:r>
        <w:rPr>
          <w:color w:val="0D1B2E"/>
        </w:rPr>
        <w:t>Scope</w:t>
      </w:r>
    </w:p>
    <w:p>
      <w:pPr>
        <w:spacing w:before="80" w:after="80"/>
      </w:pPr>
      <w:r>
        <w:rPr>
          <w:sz w:val="22"/>
        </w:rPr>
        <w:t xml:space="preserve">The decision-maker synthesis of the series. Thesis: the agency's compliance debt is an </w:t>
      </w:r>
      <w:r>
        <w:rPr>
          <w:b/>
          <w:sz w:val="22"/>
        </w:rPr>
        <w:t>architectural pattern mismatch, not a resource shortage</w:t>
      </w:r>
      <w:r>
        <w:rPr>
          <w:sz w:val="22"/>
        </w:rPr>
        <w:t xml:space="preserve"> — the six core implementations (Books 01, 05–09) close 34 distinct NIST SP 800-53 Rev 5 controls (~55 more via Parts 10–14), and together they </w:t>
      </w:r>
      <w:r>
        <w:rPr>
          <w:i/>
          <w:sz w:val="22"/>
        </w:rPr>
        <w:t>are</w:t>
      </w:r>
      <w:r>
        <w:rPr>
          <w:sz w:val="22"/>
        </w:rPr>
        <w:t xml:space="preserve"> the FedRAMP 20x continuous-monitoring posture that becomes mandatory January 1, 2027.</w:t>
      </w:r>
    </w:p>
    <w:p>
      <w:pPr>
        <w:pStyle w:val="Heading3"/>
      </w:pPr>
      <w:r>
        <w:rPr>
          <w:color w:val="0D1B2E"/>
        </w:rPr>
        <w:t>Learning objectives</w:t>
      </w:r>
    </w:p>
    <w:p>
      <w:pPr>
        <w:pStyle w:val="ListBullet"/>
      </w:pPr>
      <w:r>
        <w:rPr>
          <w:sz w:val="22"/>
        </w:rPr>
        <w:t>Map expected POA&amp;M findings (CM-8, SC-20/21, SC-7, AU-2/12, IA-9, IA-2, IA-5) to the architectural gap causing each and the technology closing it.</w:t>
      </w:r>
    </w:p>
    <w:p>
      <w:pPr>
        <w:pStyle w:val="ListBullet"/>
      </w:pPr>
      <w:r>
        <w:rPr>
          <w:sz w:val="22"/>
        </w:rPr>
        <w:t>State the FedRAMP 20x hard deadlines: Class A August 3, 2026; Class B/C August 31, 2026; BOD 26-04 December 7, 2026; 20x mandatory January 1, 2027; Rev 5 cutoff June 11, 2027.</w:t>
      </w:r>
    </w:p>
    <w:p>
      <w:pPr>
        <w:pStyle w:val="ListBullet"/>
      </w:pPr>
      <w:r>
        <w:rPr>
          <w:sz w:val="22"/>
        </w:rPr>
        <w:t>State the four criteria that make a control "closed" under 20x: evidence that is automatic, machine-readable, continuous, and programmatically validatable.</w:t>
      </w:r>
    </w:p>
    <w:p>
      <w:pPr>
        <w:pStyle w:val="ListBullet"/>
      </w:pPr>
      <w:r>
        <w:rPr>
          <w:sz w:val="22"/>
        </w:rPr>
        <w:t>Assign each book to its control families and core technology.</w:t>
      </w:r>
    </w:p>
    <w:p>
      <w:pPr>
        <w:pStyle w:val="ListBullet"/>
      </w:pPr>
      <w:r>
        <w:rPr>
          <w:sz w:val="22"/>
        </w:rPr>
        <w:t>Justify the implementation priority order (DDI first; SD-WAN/SASE concurrent; Entra/ZTNA as a phased program; SQL/Arc in parallel).</w:t>
      </w:r>
    </w:p>
    <w:p>
      <w:pPr>
        <w:pStyle w:val="ListBullet"/>
      </w:pPr>
      <w:r>
        <w:rPr>
          <w:sz w:val="22"/>
        </w:rPr>
        <w:t>Identify the residual gap families (SR, PM, PT) closed by Books 15–17.</w:t>
      </w:r>
    </w:p>
    <w:p>
      <w:pPr>
        <w:pStyle w:val="Heading3"/>
      </w:pPr>
      <w:r>
        <w:rPr>
          <w:color w:val="0D1B2E"/>
        </w:rPr>
        <w:t>Key concepts</w:t>
      </w:r>
    </w:p>
    <w:p>
      <w:pPr>
        <w:pStyle w:val="ListBullet"/>
      </w:pPr>
      <w:r>
        <w:rPr>
          <w:sz w:val="22"/>
        </w:rPr>
        <w:t>The expected-POA&amp;M-to-closure mapping table (finding → root cause → closing technology).</w:t>
      </w:r>
    </w:p>
    <w:p>
      <w:pPr>
        <w:pStyle w:val="ListBullet"/>
      </w:pPr>
      <w:r>
        <w:rPr>
          <w:sz w:val="22"/>
        </w:rPr>
        <w:t>"DIA is a pipe" — direct internet access alone satisfies zero NIST controls; the SASE/SD-WAN stack closes them.</w:t>
      </w:r>
    </w:p>
    <w:p>
      <w:pPr>
        <w:pStyle w:val="ListBullet"/>
      </w:pPr>
      <w:r>
        <w:rPr>
          <w:sz w:val="22"/>
        </w:rPr>
        <w:t>SSOT-before-tokens structural dependency (token identity presumes a restored single source of truth).</w:t>
      </w:r>
    </w:p>
    <w:p>
      <w:pPr>
        <w:pStyle w:val="ListBullet"/>
      </w:pPr>
      <w:r>
        <w:rPr>
          <w:sz w:val="22"/>
        </w:rPr>
        <w:t>KSI themes (KSI-MLA, KSI-SVC, KSI-IAM) and machine-readable evidence.</w:t>
      </w:r>
    </w:p>
    <w:p>
      <w:pPr>
        <w:pStyle w:val="ListBullet"/>
      </w:pPr>
      <w:r>
        <w:rPr>
          <w:sz w:val="22"/>
        </w:rPr>
        <w:t>The Conformance Adapter + OSCAL Emitter (AP/AR/POAM bundles) and the evidence surface slots — the same slots that structure Track A.</w:t>
      </w:r>
    </w:p>
    <w:p>
      <w:pPr>
        <w:pStyle w:val="Heading3"/>
      </w:pPr>
      <w:r>
        <w:rPr>
          <w:color w:val="0D1B2E"/>
        </w:rPr>
        <w:t>Reading sequence</w:t>
      </w:r>
    </w:p>
    <w:p>
      <w:pPr>
        <w:spacing w:before="80" w:after="80"/>
      </w:pPr>
      <w:r>
        <w:rPr>
          <w:sz w:val="22"/>
        </w:rPr>
        <w:t>Not implementation-shaped; it is the argument for the whole program: findings diagnosis → deadline map → per-book control closure → priority order → phased delivery roadmap (Phase 0 July 2026 through the BOD 26-04 submission December 7, 2026) → residual gaps.</w:t>
      </w:r>
    </w:p>
    <w:p>
      <w:pPr>
        <w:pStyle w:val="Heading3"/>
      </w:pPr>
      <w:r>
        <w:rPr>
          <w:color w:val="0D1B2E"/>
        </w:rPr>
        <w:t>Compliance hooks</w:t>
      </w:r>
    </w:p>
    <w:p>
      <w:pPr>
        <w:spacing w:before="80" w:after="80"/>
      </w:pPr>
      <w:r>
        <w:rPr>
          <w:sz w:val="22"/>
        </w:rPr>
        <w:t>The widest citation surface in the series — SC, CM, AU, IA, AC, CA, CP, IR, SA, SI, RA, MP families plus the SR/PM/PT gap families; FedRAMP 20x Consolidated Rules, KSI-011–014, BOD 26-04, EO 14028, OMB M-22-09, TIC 3.0, NIST SP 800-207.</w:t>
      </w:r>
    </w:p>
    <w:p>
      <w:pPr>
        <w:pStyle w:val="Heading3"/>
      </w:pPr>
      <w:r>
        <w:rPr>
          <w:color w:val="0D1B2E"/>
        </w:rPr>
        <w:t>Labs</w:t>
      </w:r>
    </w:p>
    <w:p>
      <w:pPr>
        <w:pStyle w:val="ListNumber"/>
      </w:pPr>
      <w:r>
        <w:rPr>
          <w:sz w:val="22"/>
        </w:rPr>
        <w:t>Build a POA&amp;M-to-closure traceability matrix: take the findings table and produce OSCAL-style entries mapping each finding to control, technology, and evidence artifact.</w:t>
      </w:r>
    </w:p>
    <w:p>
      <w:pPr>
        <w:pStyle w:val="ListNumber"/>
      </w:pPr>
      <w:r>
        <w:rPr>
          <w:sz w:val="22"/>
        </w:rPr>
        <w:t>Write a small KSI evidence validator: given sample JSON evidence (e.g., an IP inventory export), check it against the four "closed under 20x" criteria.</w:t>
      </w:r>
    </w:p>
    <w:p>
      <w:pPr>
        <w:pStyle w:val="ListNumber"/>
      </w:pPr>
      <w:r>
        <w:rPr>
          <w:sz w:val="22"/>
        </w:rPr>
        <w:t>Build the Phase 0–4 delivery plan as a dependency graph and identify which slips break the December 7, 2026 BOD 26-04 gate.</w:t>
      </w:r>
    </w:p>
    <w:p>
      <w:pPr>
        <w:pStyle w:val="Heading3"/>
      </w:pPr>
      <w:r>
        <w:rPr>
          <w:color w:val="0D1B2E"/>
        </w:rPr>
        <w:t>Pitfalls the book calls out</w:t>
      </w:r>
    </w:p>
    <w:p>
      <w:pPr>
        <w:pStyle w:val="ListBullet"/>
      </w:pPr>
      <w:r>
        <w:rPr>
          <w:sz w:val="22"/>
        </w:rPr>
        <w:t>Treating POA&amp;M items as periodic-remediation tasks — under 20x they demand continuous machine-readable evidence; manual assembly cannot satisfy KSIs.</w:t>
      </w:r>
    </w:p>
    <w:p>
      <w:pPr>
        <w:pStyle w:val="ListBullet"/>
      </w:pPr>
      <w:r>
        <w:rPr>
          <w:sz w:val="22"/>
        </w:rPr>
        <w:t>Rolling out tokens before SSOT restoration ("signing broken authorizations efficiently").</w:t>
      </w:r>
    </w:p>
    <w:p>
      <w:pPr>
        <w:pStyle w:val="ListBullet"/>
      </w:pPr>
      <w:r>
        <w:rPr>
          <w:sz w:val="22"/>
        </w:rPr>
        <w:t>Assuming network/security books close SR/PM/PT controls — they cannot.</w:t>
      </w:r>
    </w:p>
    <w:p>
      <w:pPr>
        <w:pStyle w:val="Heading3"/>
      </w:pPr>
      <w:r>
        <w:rPr>
          <w:color w:val="0D1B2E"/>
        </w:rPr>
        <w:t>Vendor training</w:t>
      </w:r>
    </w:p>
    <w:p>
      <w:pPr>
        <w:spacing w:before="80" w:after="80"/>
      </w:pPr>
      <w:r>
        <w:rPr>
          <w:sz w:val="22"/>
        </w:rPr>
        <w:t>SC-100 Cybersecurity Architect, ISC2, FedRAMP PMO materials.</w:t>
      </w:r>
    </w:p>
    <w:p>
      <w:pPr>
        <w:spacing w:before="80" w:after="80"/>
      </w:pPr>
      <w:r>
        <w:rPr>
          <w:b/>
          <w:sz w:val="22"/>
        </w:rPr>
        <w:t>Next:</w:t>
      </w:r>
      <w:r>
        <w:rPr>
          <w:sz w:val="22"/>
        </w:rPr>
        <w:t xml:space="preserve"> Book 01 — SSA Landing Zone, IPAM &amp; FedRAMP</w:t>
      </w:r>
    </w:p>
    <w:p>
      <w:r>
        <w:br w:type="page"/>
      </w:r>
    </w:p>
    <w:p>
      <w:pPr>
        <w:pStyle w:val="Heading1"/>
      </w:pPr>
      <w:r>
        <w:rPr>
          <w:color w:val="0D1B2E"/>
        </w:rPr>
        <w:t>Book 01 — SSA Landing Zone, IPAM &amp; FedRAMP</w:t>
      </w:r>
    </w:p>
    <w:p>
      <w:r>
        <w:rPr>
          <w:i/>
          <w:color w:val="5A5A5A"/>
          <w:sz w:val="24"/>
        </w:rPr>
        <w:t>AAN module: DDI (DNS · DHCP · IPAM · PKI) as a foundational security control</w:t>
      </w:r>
    </w:p>
    <w:p>
      <w:r>
        <w:rPr>
          <w:color w:val="1E8C8C"/>
          <w:sz w:val="18"/>
        </w:rPr>
        <w:t>Federal AAN Training Program — companion material for the federal AAN book series; not part of UIAO.</w:t>
      </w:r>
    </w:p>
    <w:p>
      <w:pPr>
        <w:spacing w:before="80" w:after="80"/>
      </w:pPr>
      <w:r>
        <w:rPr>
          <w:b/>
          <w:sz w:val="22"/>
        </w:rPr>
        <w:t>Source:</w:t>
      </w:r>
      <w:r>
        <w:rPr>
          <w:sz w:val="22"/>
        </w:rPr>
        <w:t xml:space="preserve"> Book_01 SSA Landing Zone IPAM FedRAMP &lt;https://github.com/WhalerMike/uiao/blob/main/inbox/Application%20Aware%20Networking/Book_01_FedAAN_SSA_Landing_Zone_IPAM_FedRAMP.qmd&gt; · </w:t>
      </w:r>
      <w:r>
        <w:rPr>
          <w:b/>
          <w:sz w:val="22"/>
        </w:rPr>
        <w:t>Evidence slot:</w:t>
      </w:r>
      <w:r>
        <w:rPr>
          <w:sz w:val="22"/>
        </w:rPr>
        <w:t xml:space="preserve"> 2 — addressing (KSI-PIY, CM-8 / AC-4) · </w:t>
      </w:r>
      <w:r>
        <w:rPr>
          <w:b/>
          <w:sz w:val="22"/>
        </w:rPr>
        <w:t>Track modules:</w:t>
      </w:r>
      <w:r>
        <w:rPr>
          <w:sz w:val="22"/>
        </w:rPr>
        <w:t xml:space="preserve"> A2, B1</w:t>
      </w:r>
    </w:p>
    <w:p>
      <w:pPr>
        <w:pStyle w:val="Heading3"/>
      </w:pPr>
      <w:r>
        <w:rPr>
          <w:color w:val="0D1B2E"/>
        </w:rPr>
        <w:t>Scope</w:t>
      </w:r>
    </w:p>
    <w:p>
      <w:pPr>
        <w:spacing w:before="80" w:after="80"/>
      </w:pPr>
      <w:r>
        <w:rPr>
          <w:sz w:val="22"/>
        </w:rPr>
        <w:t>DDI (DNS, DHCP, IPAM) is a foundational security control, not plumbing. The agency's four cloud environments (VMware VCF, Azure Government GCC, AWS GovCloud, Oracle OCI) — none of which uses broadcast DHCP — require a unified Infoblox DDI control plane. One deployment closes 16 NIST controls, enforces the M365 GCC boundary, and produces machine-readable FedRAMP 20x KSI evidence via WAPI.</w:t>
      </w:r>
    </w:p>
    <w:p>
      <w:pPr>
        <w:pStyle w:val="Heading3"/>
      </w:pPr>
      <w:r>
        <w:rPr>
          <w:color w:val="0D1B2E"/>
        </w:rPr>
        <w:t>Learning objectives</w:t>
      </w:r>
    </w:p>
    <w:p>
      <w:pPr>
        <w:pStyle w:val="ListBullet"/>
      </w:pPr>
      <w:r>
        <w:rPr>
          <w:sz w:val="22"/>
        </w:rPr>
        <w:t>Explain why SDN fabrics (NSX-T DHCP profiles, Azure fabric IP injection, AWS Nitro/DHCP options sets, OCI VNIC) break broadcast DHCP and demand an IPAM overlay.</w:t>
      </w:r>
    </w:p>
    <w:p>
      <w:pPr>
        <w:pStyle w:val="ListBullet"/>
      </w:pPr>
      <w:r>
        <w:rPr>
          <w:sz w:val="22"/>
        </w:rPr>
        <w:t>Describe the atomic provisioning lifecycle: IP allocation → DNS A/PTR → SCEP/EST certificate enrollment → certificate-tracker binding → 90/30/7-day expiry alerts.</w:t>
      </w:r>
    </w:p>
    <w:p>
      <w:pPr>
        <w:pStyle w:val="ListBullet"/>
      </w:pPr>
      <w:r>
        <w:rPr>
          <w:sz w:val="22"/>
        </w:rPr>
        <w:t>Design a namespace hierarchy (functional/environment/cloud/split-horizon, ≤3 labels) that aligns wildcard certificate scope, RPZ policy, and DNS views.</w:t>
      </w:r>
    </w:p>
    <w:p>
      <w:pPr>
        <w:pStyle w:val="ListBullet"/>
      </w:pPr>
      <w:r>
        <w:rPr>
          <w:sz w:val="22"/>
        </w:rPr>
        <w:t>Configure split-horizon views so private zones return NXDOMAIN externally.</w:t>
      </w:r>
    </w:p>
    <w:p>
      <w:pPr>
        <w:pStyle w:val="ListBullet"/>
      </w:pPr>
      <w:r>
        <w:rPr>
          <w:sz w:val="22"/>
        </w:rPr>
        <w:t>Map Infoblox capabilities to the 16 NIST controls and their evidence artifacts.</w:t>
      </w:r>
    </w:p>
    <w:p>
      <w:pPr>
        <w:pStyle w:val="ListBullet"/>
      </w:pPr>
      <w:r>
        <w:rPr>
          <w:sz w:val="22"/>
        </w:rPr>
        <w:t>Explain M365 GCC endpoint lifecycle automation (daily API poll → RPZ allow/block, NSG, security-group, split-tunnel updates).</w:t>
      </w:r>
    </w:p>
    <w:p>
      <w:pPr>
        <w:pStyle w:val="Heading3"/>
      </w:pPr>
      <w:r>
        <w:rPr>
          <w:color w:val="0D1B2E"/>
        </w:rPr>
        <w:t>Key concepts</w:t>
      </w:r>
    </w:p>
    <w:p>
      <w:pPr>
        <w:pStyle w:val="ListBullet"/>
      </w:pPr>
      <w:r>
        <w:rPr>
          <w:sz w:val="22"/>
        </w:rPr>
        <w:t>Infoblox BloxOne DDI Federal (FedRAMP CSO, hosted on AWS GovCloud; inherited ATO for PL-8).</w:t>
      </w:r>
    </w:p>
    <w:p>
      <w:pPr>
        <w:pStyle w:val="ListBullet"/>
      </w:pPr>
      <w:r>
        <w:rPr>
          <w:sz w:val="22"/>
        </w:rPr>
        <w:t>Four network views over four environments; cross-cloud CIDR conflict detection.</w:t>
      </w:r>
    </w:p>
    <w:p>
      <w:pPr>
        <w:pStyle w:val="ListBullet"/>
      </w:pPr>
      <w:r>
        <w:rPr>
          <w:sz w:val="22"/>
        </w:rPr>
        <w:t>Route 53 private-zone DNSSEC gap closed by Grid signing.</w:t>
      </w:r>
    </w:p>
    <w:p>
      <w:pPr>
        <w:pStyle w:val="ListBullet"/>
      </w:pPr>
      <w:r>
        <w:rPr>
          <w:sz w:val="22"/>
        </w:rPr>
        <w:t>RPZ + CISA Protective DNS + TIDE threat intel; RPZ scoping by zone.</w:t>
      </w:r>
    </w:p>
    <w:p>
      <w:pPr>
        <w:pStyle w:val="ListBullet"/>
      </w:pPr>
      <w:r>
        <w:rPr>
          <w:sz w:val="22"/>
        </w:rPr>
        <w:t>Certificate-to-IP binding as zero-trust machine identity ("certificate possession = boundary membership").</w:t>
      </w:r>
    </w:p>
    <w:p>
      <w:pPr>
        <w:pStyle w:val="ListBullet"/>
      </w:pPr>
      <w:r>
        <w:rPr>
          <w:sz w:val="22"/>
        </w:rPr>
        <w:t>Three-layer boundary enforcement: IPAM defines, DNS enforces egress, certificates carry identity.</w:t>
      </w:r>
    </w:p>
    <w:p>
      <w:pPr>
        <w:pStyle w:val="Heading3"/>
      </w:pPr>
      <w:r>
        <w:rPr>
          <w:color w:val="0D1B2E"/>
        </w:rPr>
        <w:t>Implementation sequence</w:t>
      </w:r>
    </w:p>
    <w:p>
      <w:pPr>
        <w:pStyle w:val="ListNumber"/>
      </w:pPr>
      <w:r>
        <w:rPr>
          <w:sz w:val="22"/>
        </w:rPr>
        <w:t>Phase 0 (month 1): marketplace procurement; CIDR audit and network-view design.</w:t>
      </w:r>
    </w:p>
    <w:p>
      <w:pPr>
        <w:pStyle w:val="ListNumber"/>
      </w:pPr>
      <w:r>
        <w:rPr>
          <w:sz w:val="22"/>
        </w:rPr>
        <w:t>Phase 1 (months 1–3): Grid Master HA, AD zone import, DNSSEC + DS record, DHCP migration, syslog to SIEM, SCEP connector, first CM-8 export.</w:t>
      </w:r>
    </w:p>
    <w:p>
      <w:pPr>
        <w:pStyle w:val="ListNumber"/>
      </w:pPr>
      <w:r>
        <w:rPr>
          <w:sz w:val="22"/>
        </w:rPr>
        <w:t>Phase 2 (months 2–4): VCF WAPI IPAM backend; NSX-T DNS to Grid.</w:t>
      </w:r>
    </w:p>
    <w:p>
      <w:pPr>
        <w:pStyle w:val="ListNumber"/>
      </w:pPr>
      <w:r>
        <w:rPr>
          <w:sz w:val="22"/>
        </w:rPr>
        <w:t>Phase 3 (months 3–5): Azure Grid member, Key Vault polling, M365 GCC endpoint automation.</w:t>
      </w:r>
    </w:p>
    <w:p>
      <w:pPr>
        <w:pStyle w:val="ListNumber"/>
      </w:pPr>
      <w:r>
        <w:rPr>
          <w:sz w:val="22"/>
        </w:rPr>
        <w:t>Phase 4 (months 5–7): AWS Grid member, DHCP options, ACM CNAME automation, Security Hub integration.</w:t>
      </w:r>
    </w:p>
    <w:p>
      <w:pPr>
        <w:pStyle w:val="ListNumber"/>
      </w:pPr>
      <w:r>
        <w:rPr>
          <w:sz w:val="22"/>
        </w:rPr>
        <w:t>Phase 5 (months 7–9): OPM HRIT external host records, conditional forwarders, SA-9 documentation.</w:t>
      </w:r>
    </w:p>
    <w:p>
      <w:pPr>
        <w:pStyle w:val="ListNumber"/>
      </w:pPr>
      <w:r>
        <w:rPr>
          <w:sz w:val="22"/>
        </w:rPr>
        <w:t>Phase 6 (months 9–12): SSP ATO inheritance, scheduled evidence exports, atomic IaC pipeline, 20x KSI checks as CI/CD tests.</w:t>
      </w:r>
    </w:p>
    <w:p>
      <w:pPr>
        <w:pStyle w:val="Heading3"/>
      </w:pPr>
      <w:r>
        <w:rPr>
          <w:color w:val="0D1B2E"/>
        </w:rPr>
        <w:t>Compliance hooks</w:t>
      </w:r>
    </w:p>
    <w:p>
      <w:pPr>
        <w:spacing w:before="80" w:after="80"/>
      </w:pPr>
      <w:r>
        <w:rPr>
          <w:sz w:val="22"/>
        </w:rPr>
        <w:t>SC-20/20(1), SC-21, SC-22, SC-7/7(7), SC-8/8(1), CM-8/8(1), CM-2, CM-6, SA-9, IA-5(2), IA-9, AU-2, AU-12, IR-4, IR-5, SI-3/3(1), PL-8. FedRAMP 20x KSI table (DNSSEC, protective DNS, inventory currency, no CIDR overlap, cert auto-renewal, machine identity, auditable DNS changes); CISA ZTMM v2.0 Networks pillar at Advanced.</w:t>
      </w:r>
    </w:p>
    <w:p>
      <w:pPr>
        <w:pStyle w:val="Heading3"/>
      </w:pPr>
      <w:r>
        <w:rPr>
          <w:color w:val="0D1B2E"/>
        </w:rPr>
        <w:t>Labs</w:t>
      </w:r>
    </w:p>
    <w:p>
      <w:pPr>
        <w:pStyle w:val="ListNumber"/>
      </w:pPr>
      <w:r>
        <w:rPr>
          <w:sz w:val="22"/>
        </w:rPr>
        <w:t xml:space="preserve">Terraform the namespace: delegated zones plus a low-TTL blue/green CNAME with the </w:t>
      </w:r>
      <w:r>
        <w:rPr>
          <w:rFonts w:ascii="Consolas" w:hAnsi="Consolas"/>
          <w:sz w:val="22"/>
        </w:rPr>
        <w:t>infoblox/infoblox</w:t>
      </w:r>
      <w:r>
        <w:rPr>
          <w:sz w:val="22"/>
        </w:rPr>
        <w:t xml:space="preserve"> provider.</w:t>
      </w:r>
    </w:p>
    <w:p>
      <w:pPr>
        <w:pStyle w:val="ListNumber"/>
      </w:pPr>
      <w:r>
        <w:rPr>
          <w:sz w:val="22"/>
        </w:rPr>
        <w:t>Split-horizon lab: three DNS views returning private IP / cloud endpoint / NXDOMAIN for the same FQDN; verify external NXDOMAIN.</w:t>
      </w:r>
    </w:p>
    <w:p>
      <w:pPr>
        <w:pStyle w:val="ListNumber"/>
      </w:pPr>
      <w:r>
        <w:rPr>
          <w:sz w:val="22"/>
        </w:rPr>
        <w:t>Simulate the M365 GCC pipeline: poll the Microsoft 365 IP &amp; URL web service, diff versions, emit RPZ and NSG updates.</w:t>
      </w:r>
    </w:p>
    <w:p>
      <w:pPr>
        <w:pStyle w:val="Heading3"/>
      </w:pPr>
      <w:r>
        <w:rPr>
          <w:color w:val="0D1B2E"/>
        </w:rPr>
        <w:t>Pitfalls the book calls out</w:t>
      </w:r>
    </w:p>
    <w:p>
      <w:pPr>
        <w:pStyle w:val="ListBullet"/>
      </w:pPr>
      <w:r>
        <w:rPr>
          <w:sz w:val="22"/>
        </w:rPr>
        <w:t>Manual M365 endpoint handling: 8–12 changes/year × four enforcement layers = multi-day boundary-gap windows.</w:t>
      </w:r>
    </w:p>
    <w:p>
      <w:pPr>
        <w:pStyle w:val="ListBullet"/>
      </w:pPr>
      <w:r>
        <w:rPr>
          <w:sz w:val="22"/>
        </w:rPr>
        <w:t>Relying on Route 53 private zones for SC-20 — they cannot be DNSSEC-signed.</w:t>
      </w:r>
    </w:p>
    <w:p>
      <w:pPr>
        <w:pStyle w:val="ListBullet"/>
      </w:pPr>
      <w:r>
        <w:rPr>
          <w:sz w:val="22"/>
        </w:rPr>
        <w:t xml:space="preserve">Undisciplined namespace depth: </w:t>
      </w:r>
      <w:r>
        <w:rPr>
          <w:rFonts w:ascii="Consolas" w:hAnsi="Consolas"/>
          <w:sz w:val="22"/>
        </w:rPr>
        <w:t>*.example.gov</w:t>
      </w:r>
      <w:r>
        <w:rPr>
          <w:sz w:val="22"/>
        </w:rPr>
        <w:t xml:space="preserve"> covers only one label (RFC 6125); accidental split-brain from unmanaged duplication.</w:t>
      </w:r>
    </w:p>
    <w:p>
      <w:pPr>
        <w:pStyle w:val="ListBullet"/>
      </w:pPr>
      <w:r>
        <w:rPr>
          <w:sz w:val="22"/>
        </w:rPr>
        <w:t>Applying RPZ at record level instead of zone level.</w:t>
      </w:r>
    </w:p>
    <w:p>
      <w:pPr>
        <w:pStyle w:val="Heading3"/>
      </w:pPr>
      <w:r>
        <w:rPr>
          <w:color w:val="0D1B2E"/>
        </w:rPr>
        <w:t>Vendor training</w:t>
      </w:r>
    </w:p>
    <w:p>
      <w:pPr>
        <w:spacing w:before="80" w:after="80"/>
      </w:pPr>
      <w:r>
        <w:rPr>
          <w:sz w:val="22"/>
        </w:rPr>
        <w:t>Infoblox Education, BlueCat Training, AZ-700.</w:t>
      </w:r>
    </w:p>
    <w:p>
      <w:pPr>
        <w:spacing w:before="80" w:after="80"/>
      </w:pPr>
      <w:r>
        <w:rPr>
          <w:b/>
          <w:sz w:val="22"/>
        </w:rPr>
        <w:t>Previous:</w:t>
      </w:r>
      <w:r>
        <w:rPr>
          <w:sz w:val="22"/>
        </w:rPr>
        <w:t xml:space="preserve"> Book 00 · </w:t>
      </w:r>
      <w:r>
        <w:rPr>
          <w:b/>
          <w:sz w:val="22"/>
        </w:rPr>
        <w:t>Next:</w:t>
      </w:r>
      <w:r>
        <w:rPr>
          <w:sz w:val="22"/>
        </w:rPr>
        <w:t xml:space="preserve"> Book 02 — Network Access Control: 802.1X</w:t>
      </w:r>
    </w:p>
    <w:p>
      <w:r>
        <w:br w:type="page"/>
      </w:r>
    </w:p>
    <w:p>
      <w:pPr>
        <w:pStyle w:val="Heading1"/>
      </w:pPr>
      <w:r>
        <w:rPr>
          <w:color w:val="0D1B2E"/>
        </w:rPr>
        <w:t>Book 02 — Network Access Control: 802.1X</w:t>
      </w:r>
    </w:p>
    <w:p>
      <w:r>
        <w:rPr>
          <w:i/>
          <w:color w:val="5A5A5A"/>
          <w:sz w:val="24"/>
        </w:rPr>
        <w:t>AAN module: device identity at the port — EAP-TLS, NPS, the five-tier VLAN model, and posture-driven CoA</w:t>
      </w:r>
    </w:p>
    <w:p>
      <w:r>
        <w:rPr>
          <w:color w:val="1E8C8C"/>
          <w:sz w:val="18"/>
        </w:rPr>
        <w:t>Federal AAN Training Program — companion material for the federal AAN book series; not part of UIAO.</w:t>
      </w:r>
    </w:p>
    <w:p>
      <w:pPr>
        <w:spacing w:before="80" w:after="80"/>
      </w:pPr>
      <w:r>
        <w:rPr>
          <w:b/>
          <w:sz w:val="22"/>
        </w:rPr>
        <w:t>Source:</w:t>
      </w:r>
      <w:r>
        <w:rPr>
          <w:sz w:val="22"/>
        </w:rPr>
        <w:t xml:space="preserve"> Book_02 Network Access Control 802.1X &lt;https://github.com/WhalerMike/uiao/blob/main/inbox/Application%20Aware%20Networking/Book_02_FedAAN_Network_Access_Control_802_1X.qmd&gt; · </w:t>
      </w:r>
      <w:r>
        <w:rPr>
          <w:b/>
          <w:sz w:val="22"/>
        </w:rPr>
        <w:t>Evidence slot:</w:t>
      </w:r>
      <w:r>
        <w:rPr>
          <w:sz w:val="22"/>
        </w:rPr>
        <w:t xml:space="preserve"> — (KSI-CMT / KSI-IAM themes; slot binding pending the adapter mapping refresh) · </w:t>
      </w:r>
      <w:r>
        <w:rPr>
          <w:b/>
          <w:sz w:val="22"/>
        </w:rPr>
        <w:t>Track modules:</w:t>
      </w:r>
      <w:r>
        <w:rPr>
          <w:sz w:val="22"/>
        </w:rPr>
        <w:t xml:space="preserve"> A5 context, B2</w:t>
      </w:r>
    </w:p>
    <w:p>
      <w:pPr>
        <w:pStyle w:val="Heading3"/>
      </w:pPr>
      <w:r>
        <w:rPr>
          <w:color w:val="0D1B2E"/>
        </w:rPr>
        <w:t>Scope</w:t>
      </w:r>
    </w:p>
    <w:p>
      <w:pPr>
        <w:spacing w:before="80" w:after="80"/>
      </w:pPr>
      <w:r>
        <w:rPr>
          <w:sz w:val="22"/>
        </w:rPr>
        <w:t xml:space="preserve">Closes the </w:t>
      </w:r>
      <w:r>
        <w:rPr>
          <w:b/>
          <w:sz w:val="22"/>
        </w:rPr>
        <w:t>device identity gap</w:t>
      </w:r>
      <w:r>
        <w:rPr>
          <w:sz w:val="22"/>
        </w:rPr>
        <w:t xml:space="preserve">: user identity alone says nothing about what hardware just plugged into the wall jack. The book builds port- and SSID-level admission control — 802.1X with EAP-TLS against an NPS RADIUS tier, Intune SCEP-issued device certificates, a five-tier VLAN policy structure, MAB confined to documented guest/IoT exceptions, and Intune compliance as the posture signal enforced in real time via RADIUS Change of Authorization. Thesis: </w:t>
      </w:r>
      <w:r>
        <w:rPr>
          <w:b/>
          <w:sz w:val="22"/>
        </w:rPr>
        <w:t>the physical port is an identity-plane enforcement point, and the same certificate substrate that authenticates users must authenticate devices before they get a VLAN at all.</w:t>
      </w:r>
    </w:p>
    <w:p>
      <w:pPr>
        <w:pStyle w:val="Heading3"/>
      </w:pPr>
      <w:r>
        <w:rPr>
          <w:color w:val="0D1B2E"/>
        </w:rPr>
        <w:t>Learning objectives</w:t>
      </w:r>
    </w:p>
    <w:p>
      <w:pPr>
        <w:pStyle w:val="ListBullet"/>
      </w:pPr>
      <w:r>
        <w:rPr>
          <w:sz w:val="22"/>
        </w:rPr>
        <w:t>Explain why user authentication alone leaves the physical-access gap, and how the voice-VLAN precedent already normalized per-device network decisions.</w:t>
      </w:r>
    </w:p>
    <w:p>
      <w:pPr>
        <w:pStyle w:val="ListBullet"/>
      </w:pPr>
      <w:r>
        <w:rPr>
          <w:sz w:val="22"/>
        </w:rPr>
        <w:t>Describe the authentication stack (supplicant → authenticator → RADIUS) and justify EAP-TLS over credential-based EAP methods for federal use.</w:t>
      </w:r>
    </w:p>
    <w:p>
      <w:pPr>
        <w:pStyle w:val="ListBullet"/>
      </w:pPr>
      <w:r>
        <w:rPr>
          <w:sz w:val="22"/>
        </w:rPr>
        <w:t>Design the NPS RADIUS tier and the 802.1X port configuration (IOS-XE reference) including re-authentication and session timeout behavior.</w:t>
      </w:r>
    </w:p>
    <w:p>
      <w:pPr>
        <w:pStyle w:val="ListBullet"/>
      </w:pPr>
      <w:r>
        <w:rPr>
          <w:sz w:val="22"/>
        </w:rPr>
        <w:t>Stand up Intune SCEP device-certificate enrollment against the issuing CA, and state the revocation story for machine certs.</w:t>
      </w:r>
    </w:p>
    <w:p>
      <w:pPr>
        <w:pStyle w:val="ListBullet"/>
      </w:pPr>
      <w:r>
        <w:rPr>
          <w:sz w:val="22"/>
        </w:rPr>
        <w:t>Apply the five-tier NAC policy structure — production, remediation, quarantine VLANs, plus MAB-profiled guest/IoT — and defend MAB as a logged exception, never a default.</w:t>
      </w:r>
    </w:p>
    <w:p>
      <w:pPr>
        <w:pStyle w:val="ListBullet"/>
      </w:pPr>
      <w:r>
        <w:rPr>
          <w:sz w:val="22"/>
        </w:rPr>
        <w:t>Wire Intune compliance state into access decisions and trigger CoA to re-evaluate a live session when posture changes.</w:t>
      </w:r>
    </w:p>
    <w:p>
      <w:pPr>
        <w:pStyle w:val="ListBullet"/>
      </w:pPr>
      <w:r>
        <w:rPr>
          <w:sz w:val="22"/>
        </w:rPr>
        <w:t>Extend the same model to wireless via WPA3-Enterprise, and to DHCP fingerprinting / IPAM-driven VLAN assignment through the Book 01 Infoblox layer.</w:t>
      </w:r>
    </w:p>
    <w:p>
      <w:pPr>
        <w:pStyle w:val="Heading3"/>
      </w:pPr>
      <w:r>
        <w:rPr>
          <w:color w:val="0D1B2E"/>
        </w:rPr>
        <w:t>Key concepts</w:t>
      </w:r>
    </w:p>
    <w:p>
      <w:pPr>
        <w:pStyle w:val="ListBullet"/>
      </w:pPr>
      <w:r>
        <w:rPr>
          <w:sz w:val="22"/>
        </w:rPr>
        <w:t>Device identity vs. user identity; the federal physical-access reality.</w:t>
      </w:r>
    </w:p>
    <w:p>
      <w:pPr>
        <w:pStyle w:val="ListBullet"/>
      </w:pPr>
      <w:r>
        <w:rPr>
          <w:sz w:val="22"/>
        </w:rPr>
        <w:t>EAP-TLS mutual certificate authentication; why password-carrying EAP methods fail the phishing-resistance bar.</w:t>
      </w:r>
    </w:p>
    <w:p>
      <w:pPr>
        <w:pStyle w:val="ListBullet"/>
      </w:pPr>
      <w:r>
        <w:rPr>
          <w:sz w:val="22"/>
        </w:rPr>
        <w:t>The certificate trust chain for devices (Book 03's hierarchy applied at the port) and SCEP enrollment through Intune.</w:t>
      </w:r>
    </w:p>
    <w:p>
      <w:pPr>
        <w:pStyle w:val="ListBullet"/>
      </w:pPr>
      <w:r>
        <w:rPr>
          <w:sz w:val="22"/>
        </w:rPr>
        <w:t>Five-tier VLAN model: production / remediation / quarantine / voice / MAB-profiled exceptions.</w:t>
      </w:r>
    </w:p>
    <w:p>
      <w:pPr>
        <w:pStyle w:val="ListBullet"/>
      </w:pPr>
      <w:r>
        <w:rPr>
          <w:sz w:val="22"/>
        </w:rPr>
        <w:t>RADIUS CoA as the real-time enforcement channel for posture changes.</w:t>
      </w:r>
    </w:p>
    <w:p>
      <w:pPr>
        <w:pStyle w:val="ListBullet"/>
      </w:pPr>
      <w:r>
        <w:rPr>
          <w:sz w:val="22"/>
        </w:rPr>
        <w:t>RADIUS accounting into Sentinel; NAC analytics rules as slot-relevant telemetry.</w:t>
      </w:r>
    </w:p>
    <w:p>
      <w:pPr>
        <w:pStyle w:val="ListBullet"/>
      </w:pPr>
      <w:r>
        <w:rPr>
          <w:sz w:val="22"/>
        </w:rPr>
        <w:t>The NAC → ZTNA continuum: the port decision and the Conditional Access decision are the same decision at different layers.</w:t>
      </w:r>
    </w:p>
    <w:p>
      <w:pPr>
        <w:pStyle w:val="Heading3"/>
      </w:pPr>
      <w:r>
        <w:rPr>
          <w:color w:val="0D1B2E"/>
        </w:rPr>
        <w:t>Implementation sequence (phased, per the book)</w:t>
      </w:r>
    </w:p>
    <w:p>
      <w:pPr>
        <w:pStyle w:val="ListNumber"/>
      </w:pPr>
      <w:r>
        <w:rPr>
          <w:b/>
          <w:sz w:val="22"/>
        </w:rPr>
        <w:t>Phase 1 — monitor mode (weeks 1–4):</w:t>
      </w:r>
      <w:r>
        <w:rPr>
          <w:sz w:val="22"/>
        </w:rPr>
        <w:t xml:space="preserve"> 802.1X open/monitor on pilot switches; collect would-have-failed data; fix supplicants and cert coverage before anything blocks.</w:t>
      </w:r>
    </w:p>
    <w:p>
      <w:pPr>
        <w:pStyle w:val="ListNumber"/>
      </w:pPr>
      <w:r>
        <w:rPr>
          <w:b/>
          <w:sz w:val="22"/>
        </w:rPr>
        <w:t>Phase 2 — wired enforcement (weeks 5–10):</w:t>
      </w:r>
      <w:r>
        <w:rPr>
          <w:sz w:val="22"/>
        </w:rPr>
        <w:t xml:space="preserve"> promote pilot closets to enforce; remediation/quarantine VLANs live; MAB exceptions documented.</w:t>
      </w:r>
    </w:p>
    <w:p>
      <w:pPr>
        <w:pStyle w:val="ListNumber"/>
      </w:pPr>
      <w:r>
        <w:rPr>
          <w:b/>
          <w:sz w:val="22"/>
        </w:rPr>
        <w:t>Phase 3 — wireless enforcement (weeks 11–14):</w:t>
      </w:r>
      <w:r>
        <w:rPr>
          <w:sz w:val="22"/>
        </w:rPr>
        <w:t xml:space="preserve"> WPA3-Enterprise SSID cutover; retire PSK networks.</w:t>
      </w:r>
    </w:p>
    <w:p>
      <w:pPr>
        <w:pStyle w:val="ListNumber"/>
      </w:pPr>
      <w:r>
        <w:rPr>
          <w:b/>
          <w:sz w:val="22"/>
        </w:rPr>
        <w:t>Phase 4 — IoT segmentation and hardening (weeks 15–20):</w:t>
      </w:r>
      <w:r>
        <w:rPr>
          <w:sz w:val="22"/>
        </w:rPr>
        <w:t xml:space="preserve"> DHCP fingerprinting, IPAM-driven VLAN assignment, CoA-driven posture enforcement across the estate.</w:t>
      </w:r>
    </w:p>
    <w:p>
      <w:pPr>
        <w:pStyle w:val="Heading3"/>
      </w:pPr>
      <w:r>
        <w:rPr>
          <w:color w:val="0D1B2E"/>
        </w:rPr>
        <w:t>Compliance hooks</w:t>
      </w:r>
    </w:p>
    <w:p>
      <w:pPr>
        <w:spacing w:before="80" w:after="80"/>
      </w:pPr>
      <w:r>
        <w:rPr>
          <w:sz w:val="22"/>
        </w:rPr>
        <w:t>IA-3 (+1) device identification and authentication; AC-3, AC-17, AC-19, AC-20 access enforcement surfaces; SC-7(3)(5) boundary/deny-by-default; CM-6, CM-7, CM-8 configuration and inventory; AU-11 accounting retention. FedRAMP 20x: KSI-CMT and KSI-IAM themes — the slot binding lands with the adapter mapping refresh.</w:t>
      </w:r>
    </w:p>
    <w:p>
      <w:pPr>
        <w:pStyle w:val="Heading3"/>
      </w:pPr>
      <w:r>
        <w:rPr>
          <w:color w:val="0D1B2E"/>
        </w:rPr>
        <w:t>Prerequisites</w:t>
      </w:r>
    </w:p>
    <w:p>
      <w:pPr>
        <w:spacing w:before="80" w:after="80"/>
      </w:pPr>
      <w:r>
        <w:rPr>
          <w:sz w:val="22"/>
        </w:rPr>
        <w:t>Book 01 (the DDI/IPAM layer NAC assigns into); Book 03 is read next but its certificate hierarchy is the trust anchor this book consumes — skim its trust-chain section first if certificates are new to you. Basic switching/CLI familiarity.</w:t>
      </w:r>
    </w:p>
    <w:p>
      <w:pPr>
        <w:pStyle w:val="Heading3"/>
      </w:pPr>
      <w:r>
        <w:rPr>
          <w:color w:val="0D1B2E"/>
        </w:rPr>
        <w:t>Labs</w:t>
      </w:r>
    </w:p>
    <w:p>
      <w:pPr>
        <w:pStyle w:val="ListNumber"/>
      </w:pPr>
      <w:r>
        <w:rPr>
          <w:sz w:val="22"/>
        </w:rPr>
        <w:t>Configure one switch port pair in monitor mode against a lab NPS; review the would-have-failed log and produce the pre-enforcement readiness report.</w:t>
      </w:r>
    </w:p>
    <w:p>
      <w:pPr>
        <w:pStyle w:val="ListNumber"/>
      </w:pPr>
      <w:r>
        <w:rPr>
          <w:sz w:val="22"/>
        </w:rPr>
        <w:t>Issue a device certificate via an Intune SCEP profile, complete an EAP-TLS authentication, then revoke and watch the re-auth fail into the quarantine VLAN.</w:t>
      </w:r>
    </w:p>
    <w:p>
      <w:pPr>
        <w:pStyle w:val="ListNumber"/>
      </w:pPr>
      <w:r>
        <w:rPr>
          <w:sz w:val="22"/>
        </w:rPr>
        <w:t>Flip a device out of Intune compliance and verify CoA moves the live session to remediation without waiting for re-authentication.</w:t>
      </w:r>
    </w:p>
    <w:p>
      <w:pPr>
        <w:pStyle w:val="Heading3"/>
      </w:pPr>
      <w:r>
        <w:rPr>
          <w:color w:val="0D1B2E"/>
        </w:rPr>
        <w:t>Pitfalls the book calls out</w:t>
      </w:r>
    </w:p>
    <w:p>
      <w:pPr>
        <w:pStyle w:val="ListBullet"/>
      </w:pPr>
      <w:r>
        <w:rPr>
          <w:sz w:val="22"/>
        </w:rPr>
        <w:t>Skipping monitor mode and enforcing on day one — the classic NAC-lockout failure; monitor-mode-first is non-negotiable.</w:t>
      </w:r>
    </w:p>
    <w:p>
      <w:pPr>
        <w:pStyle w:val="ListBullet"/>
      </w:pPr>
      <w:r>
        <w:rPr>
          <w:sz w:val="22"/>
        </w:rPr>
        <w:t>Letting MAB become the default path instead of a documented, inventoried exception — it silently converts NAC back to MAC filtering.</w:t>
      </w:r>
    </w:p>
    <w:p>
      <w:pPr>
        <w:pStyle w:val="ListBullet"/>
      </w:pPr>
      <w:r>
        <w:rPr>
          <w:sz w:val="22"/>
        </w:rPr>
        <w:t>Certificate expiry as an availability event: device certs that expire without renewal automation take the fleet off the network.</w:t>
      </w:r>
    </w:p>
    <w:p>
      <w:pPr>
        <w:pStyle w:val="ListBullet"/>
      </w:pPr>
      <w:r>
        <w:rPr>
          <w:sz w:val="22"/>
        </w:rPr>
        <w:t>Treating the voice VLAN as a security boundary rather than the precedent it is.</w:t>
      </w:r>
    </w:p>
    <w:p>
      <w:pPr>
        <w:pStyle w:val="Heading3"/>
      </w:pPr>
      <w:r>
        <w:rPr>
          <w:color w:val="0D1B2E"/>
        </w:rPr>
        <w:t>Vendor training</w:t>
      </w:r>
    </w:p>
    <w:p>
      <w:pPr>
        <w:spacing w:before="80" w:after="80"/>
      </w:pPr>
      <w:r>
        <w:rPr>
          <w:sz w:val="22"/>
        </w:rPr>
        <w:t>Cisco U / Networking Academy (ISE/NAC), SC-300, AZ-500 (Intune/Conditional Access side).</w:t>
      </w:r>
    </w:p>
    <w:p>
      <w:pPr>
        <w:spacing w:before="80" w:after="80"/>
      </w:pPr>
      <w:r>
        <w:rPr>
          <w:b/>
          <w:sz w:val="22"/>
        </w:rPr>
        <w:t>Previous:</w:t>
      </w:r>
      <w:r>
        <w:rPr>
          <w:sz w:val="22"/>
        </w:rPr>
        <w:t xml:space="preserve"> Book 01 · </w:t>
      </w:r>
      <w:r>
        <w:rPr>
          <w:b/>
          <w:sz w:val="22"/>
        </w:rPr>
        <w:t>Next:</w:t>
      </w:r>
      <w:r>
        <w:rPr>
          <w:sz w:val="22"/>
        </w:rPr>
        <w:t xml:space="preserve"> Book 03 — Certificates, Tokens &amp; Cryptographic Identity</w:t>
      </w:r>
    </w:p>
    <w:p>
      <w:r>
        <w:br w:type="page"/>
      </w:r>
    </w:p>
    <w:p>
      <w:pPr>
        <w:pStyle w:val="Heading1"/>
      </w:pPr>
      <w:r>
        <w:rPr>
          <w:color w:val="0D1B2E"/>
        </w:rPr>
        <w:t>Book 03 — Certificates, Tokens &amp; Cryptographic Identity</w:t>
      </w:r>
    </w:p>
    <w:p>
      <w:r>
        <w:rPr>
          <w:i/>
          <w:color w:val="5A5A5A"/>
          <w:sz w:val="24"/>
        </w:rPr>
        <w:t>AAN module: retiring session-bound authentication — the PKI naming plane, 47-day certificates, and token-based identity</w:t>
      </w:r>
    </w:p>
    <w:p>
      <w:r>
        <w:rPr>
          <w:color w:val="1E8C8C"/>
          <w:sz w:val="18"/>
        </w:rPr>
        <w:t>Federal AAN Training Program — companion material for the federal AAN book series; not part of UIAO.</w:t>
      </w:r>
    </w:p>
    <w:p>
      <w:pPr>
        <w:spacing w:before="80" w:after="80"/>
      </w:pPr>
      <w:r>
        <w:rPr>
          <w:b/>
          <w:sz w:val="22"/>
        </w:rPr>
        <w:t>Source:</w:t>
      </w:r>
      <w:r>
        <w:rPr>
          <w:sz w:val="22"/>
        </w:rPr>
        <w:t xml:space="preserve"> Book_03 Certificates Tokens Cryptographic Identity &lt;https://github.com/WhalerMike/uiao/blob/main/inbox/Application%20Aware%20Networking/Book_03_FedAAN_Certificates_Tokens_Cryptographic_Identity.qmd&gt; · </w:t>
      </w:r>
      <w:r>
        <w:rPr>
          <w:b/>
          <w:sz w:val="22"/>
        </w:rPr>
        <w:t>Evidence slot:</w:t>
      </w:r>
      <w:r>
        <w:rPr>
          <w:sz w:val="22"/>
        </w:rPr>
        <w:t xml:space="preserve"> 1 — identity (KSI-IAM, IA-2 / IA-5) · </w:t>
      </w:r>
      <w:r>
        <w:rPr>
          <w:b/>
          <w:sz w:val="22"/>
        </w:rPr>
        <w:t>Track modules:</w:t>
      </w:r>
      <w:r>
        <w:rPr>
          <w:sz w:val="22"/>
        </w:rPr>
        <w:t xml:space="preserve"> A1, B2</w:t>
      </w:r>
    </w:p>
    <w:p>
      <w:pPr>
        <w:pStyle w:val="Heading3"/>
      </w:pPr>
      <w:r>
        <w:rPr>
          <w:color w:val="0D1B2E"/>
        </w:rPr>
        <w:t>Scope</w:t>
      </w:r>
    </w:p>
    <w:p>
      <w:pPr>
        <w:spacing w:before="80" w:after="80"/>
      </w:pPr>
      <w:r>
        <w:rPr>
          <w:sz w:val="22"/>
        </w:rPr>
        <w:t xml:space="preserve">The doctrinal core of the early series: </w:t>
      </w:r>
      <w:r>
        <w:rPr>
          <w:b/>
          <w:sz w:val="22"/>
        </w:rPr>
        <w:t>session-bound, location-bound authentication (Kerberos's three bindings) cannot survive an application-aware, multipath network — identity must be credential-bound and cryptographic.</w:t>
      </w:r>
      <w:r>
        <w:rPr>
          <w:sz w:val="22"/>
        </w:rPr>
        <w:t xml:space="preserve"> The book rebuilds the credential plane: PKI as a naming-plane function with an offline HSM-backed root and name-constrained issuing CAs; certificate lifecycle automation (ACME, CAA) sized for the industry's 47-day maximum lifetimes; OAuth 2.0 / OIDC token identity with deliberate lifetime design; certificate-based authentication and phishing-resistant MFA; and machine/workload identity federation to retire long-lived secrets.</w:t>
      </w:r>
    </w:p>
    <w:p>
      <w:pPr>
        <w:pStyle w:val="Heading3"/>
      </w:pPr>
      <w:r>
        <w:rPr>
          <w:color w:val="0D1B2E"/>
        </w:rPr>
        <w:t>Learning objectives</w:t>
      </w:r>
    </w:p>
    <w:p>
      <w:pPr>
        <w:pStyle w:val="ListBullet"/>
      </w:pPr>
      <w:r>
        <w:rPr>
          <w:sz w:val="22"/>
        </w:rPr>
        <w:t>State the three bindings a Kerberos ticket makes and demonstrate why multipath transport breaks them structurally (not fixably).</w:t>
      </w:r>
    </w:p>
    <w:p>
      <w:pPr>
        <w:pStyle w:val="ListBullet"/>
      </w:pPr>
      <w:r>
        <w:rPr>
          <w:sz w:val="22"/>
        </w:rPr>
        <w:t>Explain a certificate as a naming claim, and the one-substrate / three-consumers model (users, devices, workloads).</w:t>
      </w:r>
    </w:p>
    <w:p>
      <w:pPr>
        <w:pStyle w:val="ListBullet"/>
      </w:pPr>
      <w:r>
        <w:rPr>
          <w:sz w:val="22"/>
        </w:rPr>
        <w:t>Design the internal trust hierarchy: offline HSM root, name-constrained issuing CAs, and the blast-radius argument for the constraints.</w:t>
      </w:r>
    </w:p>
    <w:p>
      <w:pPr>
        <w:pStyle w:val="ListBullet"/>
      </w:pPr>
      <w:r>
        <w:rPr>
          <w:sz w:val="22"/>
        </w:rPr>
        <w:t>Operate lifecycle automation: ACME issuance, CAA records restricting who may issue, and why 47-day lifetimes make manual renewal arithmetically impossible — automation is the control.</w:t>
      </w:r>
    </w:p>
    <w:p>
      <w:pPr>
        <w:pStyle w:val="ListBullet"/>
      </w:pPr>
      <w:r>
        <w:rPr>
          <w:sz w:val="22"/>
        </w:rPr>
        <w:t>Contrast revocation in a short-lived-certificate world with CRL/OCSP dependence, and use certificate telemetry as compliance evidence.</w:t>
      </w:r>
    </w:p>
    <w:p>
      <w:pPr>
        <w:pStyle w:val="ListBullet"/>
      </w:pPr>
      <w:r>
        <w:rPr>
          <w:sz w:val="22"/>
        </w:rPr>
        <w:t>Describe the token layer's anatomy (authorization server, access/ refresh/ID tokens, lifetimes) and why the token inverts the trust model relative to the session.</w:t>
      </w:r>
    </w:p>
    <w:p>
      <w:pPr>
        <w:pStyle w:val="ListBullet"/>
      </w:pPr>
      <w:r>
        <w:rPr>
          <w:sz w:val="22"/>
        </w:rPr>
        <w:t>Implement certificate-based authentication and phishing-resistant MFA, and argue why token theft is a smaller problem than credential theft.</w:t>
      </w:r>
    </w:p>
    <w:p>
      <w:pPr>
        <w:pStyle w:val="ListBullet"/>
      </w:pPr>
      <w:r>
        <w:rPr>
          <w:sz w:val="22"/>
        </w:rPr>
        <w:t>Convert workload secrets to federated workload identity (no stored keys), and state where keys are allowed to live.</w:t>
      </w:r>
    </w:p>
    <w:p>
      <w:pPr>
        <w:pStyle w:val="Heading3"/>
      </w:pPr>
      <w:r>
        <w:rPr>
          <w:color w:val="0D1B2E"/>
        </w:rPr>
        <w:t>Key concepts</w:t>
      </w:r>
    </w:p>
    <w:p>
      <w:pPr>
        <w:pStyle w:val="ListBullet"/>
      </w:pPr>
      <w:r>
        <w:rPr>
          <w:sz w:val="22"/>
        </w:rPr>
        <w:t>Session-bound vs. credential-bound identity; "the fallback nobody chose" (NTLM) as the cost of un-retired session auth.</w:t>
      </w:r>
    </w:p>
    <w:p>
      <w:pPr>
        <w:pStyle w:val="ListBullet"/>
      </w:pPr>
      <w:r>
        <w:rPr>
          <w:sz w:val="22"/>
        </w:rPr>
        <w:t>PKI as naming plane — the certificate substrate underneath Books 01 (DDI/PKI issuance), 02 (device certs), and 06 (Entra CBA).</w:t>
      </w:r>
    </w:p>
    <w:p>
      <w:pPr>
        <w:pStyle w:val="ListBullet"/>
      </w:pPr>
      <w:r>
        <w:rPr>
          <w:sz w:val="22"/>
        </w:rPr>
        <w:t>The spreadsheet-CA failure mode and its retirement.</w:t>
      </w:r>
    </w:p>
    <w:p>
      <w:pPr>
        <w:pStyle w:val="ListBullet"/>
      </w:pPr>
      <w:r>
        <w:rPr>
          <w:sz w:val="22"/>
        </w:rPr>
        <w:t>47-day certificate lifetimes; issuance telemetry as evidence.</w:t>
      </w:r>
    </w:p>
    <w:p>
      <w:pPr>
        <w:pStyle w:val="ListBullet"/>
      </w:pPr>
      <w:r>
        <w:rPr>
          <w:sz w:val="22"/>
        </w:rPr>
        <w:t>Access-token/refresh-token lifetime design; Conditional Access as the token-issuance policy point.</w:t>
      </w:r>
    </w:p>
    <w:p>
      <w:pPr>
        <w:pStyle w:val="ListBullet"/>
      </w:pPr>
      <w:r>
        <w:rPr>
          <w:sz w:val="22"/>
        </w:rPr>
        <w:t>Phishing-resistant MFA (FIDO2 / certificate-based) as the IA-2 enhancement surface.</w:t>
      </w:r>
    </w:p>
    <w:p>
      <w:pPr>
        <w:pStyle w:val="ListBullet"/>
      </w:pPr>
      <w:r>
        <w:rPr>
          <w:sz w:val="22"/>
        </w:rPr>
        <w:t>The non-human majority: workload identities outnumber humans; workload identity federation replaces stored secrets.</w:t>
      </w:r>
    </w:p>
    <w:p>
      <w:pPr>
        <w:pStyle w:val="Heading3"/>
      </w:pPr>
      <w:r>
        <w:rPr>
          <w:color w:val="0D1B2E"/>
        </w:rPr>
        <w:t>Implementation sequence (phased, per the book)</w:t>
      </w:r>
    </w:p>
    <w:p>
      <w:pPr>
        <w:pStyle w:val="ListNumber"/>
      </w:pPr>
      <w:r>
        <w:rPr>
          <w:b/>
          <w:sz w:val="22"/>
        </w:rPr>
        <w:t>Phase 1 — certificate estate discovery (weeks 1–4):</w:t>
      </w:r>
      <w:r>
        <w:rPr>
          <w:sz w:val="22"/>
        </w:rPr>
        <w:t xml:space="preserve"> find every certificate and its issuer; build the inventory the automation will own.</w:t>
      </w:r>
    </w:p>
    <w:p>
      <w:pPr>
        <w:pStyle w:val="ListNumber"/>
      </w:pPr>
      <w:r>
        <w:rPr>
          <w:b/>
          <w:sz w:val="22"/>
        </w:rPr>
        <w:t>Phase 2 — issuance automation (weeks 5–12):</w:t>
      </w:r>
      <w:r>
        <w:rPr>
          <w:sz w:val="22"/>
        </w:rPr>
        <w:t xml:space="preserve"> ACME/SCEP pipelines, CAA records, offline-root + name-constrained issuing hierarchy.</w:t>
      </w:r>
    </w:p>
    <w:p>
      <w:pPr>
        <w:pStyle w:val="ListNumber"/>
      </w:pPr>
      <w:r>
        <w:rPr>
          <w:b/>
          <w:sz w:val="22"/>
        </w:rPr>
        <w:t>Phase 3 — token migration and phishing-resistant enforcement (weeks 13–24):</w:t>
      </w:r>
      <w:r>
        <w:rPr>
          <w:sz w:val="22"/>
        </w:rPr>
        <w:t xml:space="preserve"> OIDC/OAuth conversion, CBA/FIDO2 rollout, Conditional Access enforcement.</w:t>
      </w:r>
    </w:p>
    <w:p>
      <w:pPr>
        <w:pStyle w:val="ListNumber"/>
      </w:pPr>
      <w:r>
        <w:rPr>
          <w:b/>
          <w:sz w:val="22"/>
        </w:rPr>
        <w:t>Phase 4 — workload identity conversion (weeks 25–40):</w:t>
      </w:r>
      <w:r>
        <w:rPr>
          <w:sz w:val="22"/>
        </w:rPr>
        <w:t xml:space="preserve"> federate service credentials; eliminate long-lived stored keys.</w:t>
      </w:r>
    </w:p>
    <w:p>
      <w:pPr>
        <w:pStyle w:val="Heading3"/>
      </w:pPr>
      <w:r>
        <w:rPr>
          <w:color w:val="0D1B2E"/>
        </w:rPr>
        <w:t>Compliance hooks</w:t>
      </w:r>
    </w:p>
    <w:p>
      <w:pPr>
        <w:spacing w:before="80" w:after="80"/>
      </w:pPr>
      <w:r>
        <w:rPr>
          <w:sz w:val="22"/>
        </w:rPr>
        <w:t xml:space="preserve">IA-5 (+2 PKI-based authentication), SC-12 key establishment/management, SC-17 PKI certificates, IA-2 (+1)(+2) MFA for privileged and non-privileged accounts. FedRAMP 20x: </w:t>
      </w:r>
      <w:r>
        <w:rPr>
          <w:b/>
          <w:sz w:val="22"/>
        </w:rPr>
        <w:t>binds evidence slot 1 — identity (KSI-IAM)</w:t>
      </w:r>
      <w:r>
        <w:rPr>
          <w:sz w:val="22"/>
        </w:rPr>
        <w:t xml:space="preserve"> — certificate issuance telemetry and token policy state are the evidence artifacts.</w:t>
      </w:r>
    </w:p>
    <w:p>
      <w:pPr>
        <w:pStyle w:val="Heading3"/>
      </w:pPr>
      <w:r>
        <w:rPr>
          <w:color w:val="0D1B2E"/>
        </w:rPr>
        <w:t>Prerequisites</w:t>
      </w:r>
    </w:p>
    <w:p>
      <w:pPr>
        <w:spacing w:before="80" w:after="80"/>
      </w:pPr>
      <w:r>
        <w:rPr>
          <w:sz w:val="22"/>
        </w:rPr>
        <w:t>Book 01 (the PKI issuance point lives in the DDI layer); Book 02 shows the port-level consumer of this hierarchy. No prior PKI depth assumed — the book builds the trust-chain argument from first principles.</w:t>
      </w:r>
    </w:p>
    <w:p>
      <w:pPr>
        <w:pStyle w:val="Heading3"/>
      </w:pPr>
      <w:r>
        <w:rPr>
          <w:color w:val="0D1B2E"/>
        </w:rPr>
        <w:t>Labs</w:t>
      </w:r>
    </w:p>
    <w:p>
      <w:pPr>
        <w:pStyle w:val="ListNumber"/>
      </w:pPr>
      <w:r>
        <w:rPr>
          <w:sz w:val="22"/>
        </w:rPr>
        <w:t>Stand up a lab two-tier hierarchy (offline root simulated, one name-constrained issuing CA); publish CAA records and demonstrate an out-of-policy issuance being refused.</w:t>
      </w:r>
    </w:p>
    <w:p>
      <w:pPr>
        <w:pStyle w:val="ListNumber"/>
      </w:pPr>
      <w:r>
        <w:rPr>
          <w:sz w:val="22"/>
        </w:rPr>
        <w:t>Automate one certificate through ACME DNS-01 at a short lifetime; capture the issuance/renewal telemetry as slot-01 evidence.</w:t>
      </w:r>
    </w:p>
    <w:p>
      <w:pPr>
        <w:pStyle w:val="ListNumber"/>
      </w:pPr>
      <w:r>
        <w:rPr>
          <w:sz w:val="22"/>
        </w:rPr>
        <w:t>Register an OIDC application, inspect access/refresh token lifetimes, then enforce phishing-resistant MFA via Conditional Access and verify the token-issuance policy change in the sign-in log.</w:t>
      </w:r>
    </w:p>
    <w:p>
      <w:pPr>
        <w:pStyle w:val="Heading3"/>
      </w:pPr>
      <w:r>
        <w:rPr>
          <w:color w:val="0D1B2E"/>
        </w:rPr>
        <w:t>Pitfalls the book calls out</w:t>
      </w:r>
    </w:p>
    <w:p>
      <w:pPr>
        <w:pStyle w:val="ListBullet"/>
      </w:pPr>
      <w:r>
        <w:rPr>
          <w:sz w:val="22"/>
        </w:rPr>
        <w:t>Treating 47-day lifetimes as a burden to negotiate down rather than the forcing function for automation.</w:t>
      </w:r>
    </w:p>
    <w:p>
      <w:pPr>
        <w:pStyle w:val="ListBullet"/>
      </w:pPr>
      <w:r>
        <w:rPr>
          <w:sz w:val="22"/>
        </w:rPr>
        <w:t>Standing up issuing CAs without name constraints — one compromised issuer then speaks for the whole namespace.</w:t>
      </w:r>
    </w:p>
    <w:p>
      <w:pPr>
        <w:pStyle w:val="ListBullet"/>
      </w:pPr>
      <w:r>
        <w:rPr>
          <w:sz w:val="22"/>
        </w:rPr>
        <w:t>Migrating to tokens while leaving Kerberos/NTLM fallback enabled: the attacker uses the fallback, not the upgrade.</w:t>
      </w:r>
    </w:p>
    <w:p>
      <w:pPr>
        <w:pStyle w:val="ListBullet"/>
      </w:pPr>
      <w:r>
        <w:rPr>
          <w:sz w:val="22"/>
        </w:rPr>
        <w:t>Storing workload secrets in code/config after the human credential plane is modernized — the non-human majority is the larger surface.</w:t>
      </w:r>
    </w:p>
    <w:p>
      <w:pPr>
        <w:pStyle w:val="Heading3"/>
      </w:pPr>
      <w:r>
        <w:rPr>
          <w:color w:val="0D1B2E"/>
        </w:rPr>
        <w:t>Vendor training</w:t>
      </w:r>
    </w:p>
    <w:p>
      <w:pPr>
        <w:spacing w:before="80" w:after="80"/>
      </w:pPr>
      <w:r>
        <w:rPr>
          <w:sz w:val="22"/>
        </w:rPr>
        <w:t>SC-300, AZ-500 (Entra CBA, Conditional Access, workload identity), identity &amp; zero trust.</w:t>
      </w:r>
    </w:p>
    <w:p>
      <w:pPr>
        <w:spacing w:before="80" w:after="80"/>
      </w:pPr>
      <w:r>
        <w:rPr>
          <w:b/>
          <w:sz w:val="22"/>
        </w:rPr>
        <w:t>Previous:</w:t>
      </w:r>
      <w:r>
        <w:rPr>
          <w:sz w:val="22"/>
        </w:rPr>
        <w:t xml:space="preserve"> Book 02 · </w:t>
      </w:r>
      <w:r>
        <w:rPr>
          <w:b/>
          <w:sz w:val="22"/>
        </w:rPr>
        <w:t>Next:</w:t>
      </w:r>
      <w:r>
        <w:rPr>
          <w:sz w:val="22"/>
        </w:rPr>
        <w:t xml:space="preserve"> Book 04 — HRIT Identity &amp; Organizational SSOT</w:t>
      </w:r>
    </w:p>
    <w:p>
      <w:r>
        <w:br w:type="page"/>
      </w:r>
    </w:p>
    <w:p>
      <w:pPr>
        <w:pStyle w:val="Heading1"/>
      </w:pPr>
      <w:r>
        <w:rPr>
          <w:color w:val="0D1B2E"/>
        </w:rPr>
        <w:t>Book 04 — HRIT Identity &amp; Organizational SSOT</w:t>
      </w:r>
    </w:p>
    <w:p>
      <w:r>
        <w:rPr>
          <w:i/>
          <w:color w:val="5A5A5A"/>
          <w:sz w:val="24"/>
        </w:rPr>
        <w:t>AAN module: HR as the single source of truth — effective-dated records, event-driven provisioning, and the measured lifecycle</w:t>
      </w:r>
    </w:p>
    <w:p>
      <w:r>
        <w:rPr>
          <w:color w:val="1E8C8C"/>
          <w:sz w:val="18"/>
        </w:rPr>
        <w:t>Federal AAN Training Program — companion material for the federal AAN book series; not part of UIAO.</w:t>
      </w:r>
    </w:p>
    <w:p>
      <w:pPr>
        <w:spacing w:before="80" w:after="80"/>
      </w:pPr>
      <w:r>
        <w:rPr>
          <w:b/>
          <w:sz w:val="22"/>
        </w:rPr>
        <w:t>Source:</w:t>
      </w:r>
      <w:r>
        <w:rPr>
          <w:sz w:val="22"/>
        </w:rPr>
        <w:t xml:space="preserve"> Book_04 HRIT Identity Org SSOT &lt;https://github.com/WhalerMike/uiao/blob/main/inbox/Application%20Aware%20Networking/Book_04_FedAAN_HRIT_Identity_Org_SSOT.qmd&gt; · </w:t>
      </w:r>
      <w:r>
        <w:rPr>
          <w:b/>
          <w:sz w:val="22"/>
        </w:rPr>
        <w:t>Evidence slot:</w:t>
      </w:r>
      <w:r>
        <w:rPr>
          <w:sz w:val="22"/>
        </w:rPr>
        <w:t xml:space="preserve"> 1 — identity (KSI-IAM, AC-2 / IA-4) · </w:t>
      </w:r>
      <w:r>
        <w:rPr>
          <w:b/>
          <w:sz w:val="22"/>
        </w:rPr>
        <w:t>Track modules:</w:t>
      </w:r>
      <w:r>
        <w:rPr>
          <w:sz w:val="22"/>
        </w:rPr>
        <w:t xml:space="preserve"> A1, B2</w:t>
      </w:r>
    </w:p>
    <w:p>
      <w:pPr>
        <w:pStyle w:val="Heading3"/>
      </w:pPr>
      <w:r>
        <w:rPr>
          <w:color w:val="0D1B2E"/>
        </w:rPr>
        <w:t>Scope</w:t>
      </w:r>
    </w:p>
    <w:p>
      <w:pPr>
        <w:spacing w:before="80" w:after="80"/>
      </w:pPr>
      <w:r>
        <w:rPr>
          <w:sz w:val="22"/>
        </w:rPr>
        <w:t xml:space="preserve">Solves the </w:t>
      </w:r>
      <w:r>
        <w:rPr>
          <w:b/>
          <w:sz w:val="22"/>
        </w:rPr>
        <w:t>fragmented truth problem</w:t>
      </w:r>
      <w:r>
        <w:rPr>
          <w:sz w:val="22"/>
        </w:rPr>
        <w:t xml:space="preserve">: identity attributes scattered across HR, the directory, and per-app databases, with orphaned accounts as the visible symptom. The book installs the HR information technology system (Oracle HCM class) as the </w:t>
      </w:r>
      <w:r>
        <w:rPr>
          <w:b/>
          <w:sz w:val="22"/>
        </w:rPr>
        <w:t>system of record</w:t>
      </w:r>
      <w:r>
        <w:rPr>
          <w:sz w:val="22"/>
        </w:rPr>
        <w:t xml:space="preserve"> and the identity provider as its downstream consumer: effective-dated records, a strict authoritative-vs-derived attribute contract, an event-stream lifecycle (joiner, mover, converter, suspender, leaver), SCIM / Graph </w:t>
      </w:r>
      <w:r>
        <w:rPr>
          <w:rFonts w:ascii="Consolas" w:hAnsi="Consolas"/>
          <w:sz w:val="22"/>
        </w:rPr>
        <w:t>bulkUpload</w:t>
      </w:r>
      <w:r>
        <w:rPr>
          <w:sz w:val="22"/>
        </w:rPr>
        <w:t xml:space="preserve"> inbound provisioning, and deprovisioning as an HR event — never a ticket. The organizational hierarchy becomes queryable truth from which access is derived and attested.</w:t>
      </w:r>
    </w:p>
    <w:p>
      <w:pPr>
        <w:pStyle w:val="Heading3"/>
      </w:pPr>
      <w:r>
        <w:rPr>
          <w:color w:val="0D1B2E"/>
        </w:rPr>
        <w:t>Learning objectives</w:t>
      </w:r>
    </w:p>
    <w:p>
      <w:pPr>
        <w:pStyle w:val="ListBullet"/>
      </w:pPr>
      <w:r>
        <w:rPr>
          <w:sz w:val="22"/>
        </w:rPr>
        <w:t>Diagnose where identity truth lives today, and connect orphaned accounts to the absence of an authoritative lifecycle source.</w:t>
      </w:r>
    </w:p>
    <w:p>
      <w:pPr>
        <w:pStyle w:val="ListBullet"/>
      </w:pPr>
      <w:r>
        <w:rPr>
          <w:sz w:val="22"/>
        </w:rPr>
        <w:t>Draw the division of labor: system of record (HRIT) vs. identity provider (Entra) — who owns which attributes, who merely consumes.</w:t>
      </w:r>
    </w:p>
    <w:p>
      <w:pPr>
        <w:pStyle w:val="ListBullet"/>
      </w:pPr>
      <w:r>
        <w:rPr>
          <w:sz w:val="22"/>
        </w:rPr>
        <w:t>Use effective dating to represent truth with a timeline (future-dated hires, transfers, separations) and explain the four record families the HR system actually owns.</w:t>
      </w:r>
    </w:p>
    <w:p>
      <w:pPr>
        <w:pStyle w:val="ListBullet"/>
      </w:pPr>
      <w:r>
        <w:rPr>
          <w:sz w:val="22"/>
        </w:rPr>
        <w:t>Enumerate the five lifecycle events and map each to its provisioning consequence in the identity plane.</w:t>
      </w:r>
    </w:p>
    <w:p>
      <w:pPr>
        <w:pStyle w:val="ListBullet"/>
      </w:pPr>
      <w:r>
        <w:rPr>
          <w:sz w:val="22"/>
        </w:rPr>
        <w:t xml:space="preserve">Implement inbound provisioning via the SCIM / Microsoft Graph </w:t>
      </w:r>
      <w:r>
        <w:rPr>
          <w:rFonts w:ascii="Consolas" w:hAnsi="Consolas"/>
          <w:sz w:val="22"/>
        </w:rPr>
        <w:t>bulkUpload</w:t>
      </w:r>
      <w:r>
        <w:rPr>
          <w:sz w:val="22"/>
        </w:rPr>
        <w:t xml:space="preserve"> pipeline (the Spec2-D3.1 pattern) with one-person / one-identifier discipline across worker types.</w:t>
      </w:r>
    </w:p>
    <w:p>
      <w:pPr>
        <w:pStyle w:val="ListBullet"/>
      </w:pPr>
      <w:r>
        <w:rPr>
          <w:sz w:val="22"/>
        </w:rPr>
        <w:t>Execute the six-step leaver sequence and defend "deprovisioning is an HR event, not a ticket."</w:t>
      </w:r>
    </w:p>
    <w:p>
      <w:pPr>
        <w:pStyle w:val="ListBullet"/>
      </w:pPr>
      <w:r>
        <w:rPr>
          <w:sz w:val="22"/>
        </w:rPr>
        <w:t>Derive access from organizational-SSOT attributes (the derivation chain) and land attestation/recertification on the same rail.</w:t>
      </w:r>
    </w:p>
    <w:p>
      <w:pPr>
        <w:pStyle w:val="ListBullet"/>
      </w:pPr>
      <w:r>
        <w:rPr>
          <w:sz w:val="22"/>
        </w:rPr>
        <w:t>Instrument the measured lifecycle: provisioning latency, orphan count, attribute-drift metrics as ongoing evidence.</w:t>
      </w:r>
    </w:p>
    <w:p>
      <w:pPr>
        <w:pStyle w:val="Heading3"/>
      </w:pPr>
      <w:r>
        <w:rPr>
          <w:color w:val="0D1B2E"/>
        </w:rPr>
        <w:t>Key concepts</w:t>
      </w:r>
    </w:p>
    <w:p>
      <w:pPr>
        <w:pStyle w:val="ListBullet"/>
      </w:pPr>
      <w:r>
        <w:rPr>
          <w:sz w:val="22"/>
        </w:rPr>
        <w:t>Fragmented truth → statutory frame → "why this cannot be patched."</w:t>
      </w:r>
    </w:p>
    <w:p>
      <w:pPr>
        <w:pStyle w:val="ListBullet"/>
      </w:pPr>
      <w:r>
        <w:rPr>
          <w:sz w:val="22"/>
        </w:rPr>
        <w:t>Four record families of the human-capital system; authoritative vs. derived attributes.</w:t>
      </w:r>
    </w:p>
    <w:p>
      <w:pPr>
        <w:pStyle w:val="ListBullet"/>
      </w:pPr>
      <w:r>
        <w:rPr>
          <w:sz w:val="22"/>
        </w:rPr>
        <w:t>The lifecycle as an event stream: joiner / mover / converter / suspender / leaver.</w:t>
      </w:r>
    </w:p>
    <w:p>
      <w:pPr>
        <w:pStyle w:val="ListBullet"/>
      </w:pPr>
      <w:r>
        <w:rPr>
          <w:sz w:val="22"/>
        </w:rPr>
        <w:t>One person, one identifier; the worker-type boundary (employee, contractor, seasonal) as an attribute, not a second identity.</w:t>
      </w:r>
    </w:p>
    <w:p>
      <w:pPr>
        <w:pStyle w:val="ListBullet"/>
      </w:pPr>
      <w:r>
        <w:rPr>
          <w:sz w:val="22"/>
        </w:rPr>
        <w:t xml:space="preserve">SCIM 2.0 and Graph </w:t>
      </w:r>
      <w:r>
        <w:rPr>
          <w:rFonts w:ascii="Consolas" w:hAnsi="Consolas"/>
          <w:sz w:val="22"/>
        </w:rPr>
        <w:t>bulkUpload</w:t>
      </w:r>
      <w:r>
        <w:rPr>
          <w:sz w:val="22"/>
        </w:rPr>
        <w:t xml:space="preserve"> as the inbound provisioning rail.</w:t>
      </w:r>
    </w:p>
    <w:p>
      <w:pPr>
        <w:pStyle w:val="ListBullet"/>
      </w:pPr>
      <w:r>
        <w:rPr>
          <w:sz w:val="22"/>
        </w:rPr>
        <w:t>The six-step leaver: HR event → sessions revoked → credentials disabled → access removed → data disposition → record retained.</w:t>
      </w:r>
    </w:p>
    <w:p>
      <w:pPr>
        <w:pStyle w:val="ListBullet"/>
      </w:pPr>
      <w:r>
        <w:rPr>
          <w:sz w:val="22"/>
        </w:rPr>
        <w:t>Organizational SSOT: reporting structure as queryable data; the HR-attribute → entitlement derivation chain; attestation on the same rail.</w:t>
      </w:r>
    </w:p>
    <w:p>
      <w:pPr>
        <w:pStyle w:val="ListBullet"/>
      </w:pPr>
      <w:r>
        <w:rPr>
          <w:sz w:val="22"/>
        </w:rPr>
        <w:t>A SaaS integration surface is an identity-plane surface (governs every later book's SaaS additions).</w:t>
      </w:r>
    </w:p>
    <w:p>
      <w:pPr>
        <w:pStyle w:val="Heading3"/>
      </w:pPr>
      <w:r>
        <w:rPr>
          <w:color w:val="0D1B2E"/>
        </w:rPr>
        <w:t>Implementation sequence (phased, per the book)</w:t>
      </w:r>
    </w:p>
    <w:p>
      <w:pPr>
        <w:pStyle w:val="ListNumber"/>
      </w:pPr>
      <w:r>
        <w:rPr>
          <w:b/>
          <w:sz w:val="22"/>
        </w:rPr>
        <w:t>Phase 1 — attribute authority agreement (weeks 1–6):</w:t>
      </w:r>
      <w:r>
        <w:rPr>
          <w:sz w:val="22"/>
        </w:rPr>
        <w:t xml:space="preserve"> the signed contract of which system owns which attribute; no engineering until this exists.</w:t>
      </w:r>
    </w:p>
    <w:p>
      <w:pPr>
        <w:pStyle w:val="ListNumber"/>
      </w:pPr>
      <w:r>
        <w:rPr>
          <w:b/>
          <w:sz w:val="22"/>
        </w:rPr>
        <w:t>Phase 2 — inbound provisioning pilot (weeks 7–14):</w:t>
      </w:r>
      <w:r>
        <w:rPr>
          <w:sz w:val="22"/>
        </w:rPr>
        <w:t xml:space="preserve"> SCIM/Graph </w:t>
      </w:r>
      <w:r>
        <w:rPr>
          <w:rFonts w:ascii="Consolas" w:hAnsi="Consolas"/>
          <w:sz w:val="22"/>
        </w:rPr>
        <w:t>bulkUpload</w:t>
      </w:r>
      <w:r>
        <w:rPr>
          <w:sz w:val="22"/>
        </w:rPr>
        <w:t xml:space="preserve"> from HRIT to Entra for one population, shadow mode first.</w:t>
      </w:r>
    </w:p>
    <w:p>
      <w:pPr>
        <w:pStyle w:val="ListNumber"/>
      </w:pPr>
      <w:r>
        <w:rPr>
          <w:b/>
          <w:sz w:val="22"/>
        </w:rPr>
        <w:t>Phase 3 — lifecycle automation (weeks 15–26):</w:t>
      </w:r>
      <w:r>
        <w:rPr>
          <w:sz w:val="22"/>
        </w:rPr>
        <w:t xml:space="preserve"> all five events driving provisioning; six-step leaver live; orphan-account burn-down.</w:t>
      </w:r>
    </w:p>
    <w:p>
      <w:pPr>
        <w:pStyle w:val="ListNumber"/>
      </w:pPr>
      <w:r>
        <w:rPr>
          <w:b/>
          <w:sz w:val="22"/>
        </w:rPr>
        <w:t>Phase 4 — organizational-SSOT-derived access (weeks 27–40):</w:t>
      </w:r>
      <w:r>
        <w:rPr>
          <w:sz w:val="22"/>
        </w:rPr>
        <w:t xml:space="preserve"> entitlements derived from org attributes; attestation cycles running on the same data.</w:t>
      </w:r>
    </w:p>
    <w:p>
      <w:pPr>
        <w:pStyle w:val="Heading3"/>
      </w:pPr>
      <w:r>
        <w:rPr>
          <w:color w:val="0D1B2E"/>
        </w:rPr>
        <w:t>Compliance hooks</w:t>
      </w:r>
    </w:p>
    <w:p>
      <w:pPr>
        <w:spacing w:before="80" w:after="80"/>
      </w:pPr>
      <w:r>
        <w:rPr>
          <w:sz w:val="22"/>
        </w:rPr>
        <w:t xml:space="preserve">AC-2 (+1 automated account management), PS-4 (+2 automated termination actions), PS-5 personnel transfer, IA-4 (+4 identifier management with user status), SI-12 information management/retention. FedRAMP 20x: </w:t>
      </w:r>
      <w:r>
        <w:rPr>
          <w:b/>
          <w:sz w:val="22"/>
        </w:rPr>
        <w:t>binds evidence slot 1 — identity (KSI-IAM)</w:t>
      </w:r>
      <w:r>
        <w:rPr>
          <w:sz w:val="22"/>
        </w:rPr>
        <w:t xml:space="preserve"> — provisioning event records and leaver-sequence evidence are the artifacts.</w:t>
      </w:r>
    </w:p>
    <w:p>
      <w:pPr>
        <w:pStyle w:val="Heading3"/>
      </w:pPr>
      <w:r>
        <w:rPr>
          <w:color w:val="0D1B2E"/>
        </w:rPr>
        <w:t>Prerequisites</w:t>
      </w:r>
    </w:p>
    <w:p>
      <w:pPr>
        <w:spacing w:before="80" w:after="80"/>
      </w:pPr>
      <w:r>
        <w:rPr>
          <w:sz w:val="22"/>
        </w:rPr>
        <w:t>Book 03 (the credential plane these accounts receive); familiarity with Entra provisioning concepts helps. No Oracle HCM depth required — the book treats HRIT behaviorally, as the class of system of record.</w:t>
      </w:r>
    </w:p>
    <w:p>
      <w:pPr>
        <w:pStyle w:val="Heading3"/>
      </w:pPr>
      <w:r>
        <w:rPr>
          <w:color w:val="0D1B2E"/>
        </w:rPr>
        <w:t>Labs</w:t>
      </w:r>
    </w:p>
    <w:p>
      <w:pPr>
        <w:pStyle w:val="ListNumber"/>
      </w:pPr>
      <w:r>
        <w:rPr>
          <w:sz w:val="22"/>
        </w:rPr>
        <w:t>Draft the attribute-authority matrix for a sample org: for ten attributes, name the owning system, the consumers, and the drift detection for each.</w:t>
      </w:r>
    </w:p>
    <w:p>
      <w:pPr>
        <w:pStyle w:val="ListNumber"/>
      </w:pPr>
      <w:r>
        <w:rPr>
          <w:sz w:val="22"/>
        </w:rPr>
        <w:t xml:space="preserve">Run a SCIM/Graph </w:t>
      </w:r>
      <w:r>
        <w:rPr>
          <w:rFonts w:ascii="Consolas" w:hAnsi="Consolas"/>
          <w:sz w:val="22"/>
        </w:rPr>
        <w:t>bulkUpload</w:t>
      </w:r>
      <w:r>
        <w:rPr>
          <w:sz w:val="22"/>
        </w:rPr>
        <w:t xml:space="preserve"> provisioning cycle in shadow mode against a test tenant; diff the would-be changes and promote one population to live.</w:t>
      </w:r>
    </w:p>
    <w:p>
      <w:pPr>
        <w:pStyle w:val="ListNumber"/>
      </w:pPr>
      <w:r>
        <w:rPr>
          <w:sz w:val="22"/>
        </w:rPr>
        <w:t>Fire a leaver event and trace all six steps, capturing timestamps for each as the PS-4(2) evidence record; verify the orphan count returns to zero.</w:t>
      </w:r>
    </w:p>
    <w:p>
      <w:pPr>
        <w:pStyle w:val="Heading3"/>
      </w:pPr>
      <w:r>
        <w:rPr>
          <w:color w:val="0D1B2E"/>
        </w:rPr>
        <w:t>Pitfalls the book calls out</w:t>
      </w:r>
    </w:p>
    <w:p>
      <w:pPr>
        <w:pStyle w:val="ListBullet"/>
      </w:pPr>
      <w:r>
        <w:rPr>
          <w:sz w:val="22"/>
        </w:rPr>
        <w:t>Building provisioning before the attribute-authority agreement — engineering cements the fragmentation instead of fixing it.</w:t>
      </w:r>
    </w:p>
    <w:p>
      <w:pPr>
        <w:pStyle w:val="ListBullet"/>
      </w:pPr>
      <w:r>
        <w:rPr>
          <w:sz w:val="22"/>
        </w:rPr>
        <w:t>Ticket-driven deprovisioning surviving alongside the automated path: the ticket queue becomes the orphan-account factory.</w:t>
      </w:r>
    </w:p>
    <w:p>
      <w:pPr>
        <w:pStyle w:val="ListBullet"/>
      </w:pPr>
      <w:r>
        <w:rPr>
          <w:sz w:val="22"/>
        </w:rPr>
        <w:t>Second identities per worker type instead of one identifier with a worker-type attribute.</w:t>
      </w:r>
    </w:p>
    <w:p>
      <w:pPr>
        <w:pStyle w:val="ListBullet"/>
      </w:pPr>
      <w:r>
        <w:rPr>
          <w:sz w:val="22"/>
        </w:rPr>
        <w:t>Treating the org hierarchy as an HR reporting artifact rather than the access-derivation source — the derivation chain then decays into hand-maintained groups.</w:t>
      </w:r>
    </w:p>
    <w:p>
      <w:pPr>
        <w:pStyle w:val="Heading3"/>
      </w:pPr>
      <w:r>
        <w:rPr>
          <w:color w:val="0D1B2E"/>
        </w:rPr>
        <w:t>Vendor training</w:t>
      </w:r>
    </w:p>
    <w:p>
      <w:pPr>
        <w:spacing w:before="80" w:after="80"/>
      </w:pPr>
      <w:r>
        <w:rPr>
          <w:sz w:val="22"/>
        </w:rPr>
        <w:t>SC-300 (lifecycle workflows, entitlement management), SailPoint Identity University (joiner-mover-leaver governance).</w:t>
      </w:r>
    </w:p>
    <w:p>
      <w:pPr>
        <w:spacing w:before="80" w:after="80"/>
      </w:pPr>
      <w:r>
        <w:rPr>
          <w:b/>
          <w:sz w:val="22"/>
        </w:rPr>
        <w:t>Previous:</w:t>
      </w:r>
      <w:r>
        <w:rPr>
          <w:sz w:val="22"/>
        </w:rPr>
        <w:t xml:space="preserve"> Book 03 · </w:t>
      </w:r>
      <w:r>
        <w:rPr>
          <w:b/>
          <w:sz w:val="22"/>
        </w:rPr>
        <w:t>Next:</w:t>
      </w:r>
      <w:r>
        <w:rPr>
          <w:sz w:val="22"/>
        </w:rPr>
        <w:t xml:space="preserve"> Book 05 — Network Modernization</w:t>
      </w:r>
    </w:p>
    <w:p>
      <w:r>
        <w:br w:type="page"/>
      </w:r>
    </w:p>
    <w:p>
      <w:pPr>
        <w:pStyle w:val="Heading1"/>
      </w:pPr>
      <w:r>
        <w:rPr>
          <w:color w:val="0D1B2E"/>
        </w:rPr>
        <w:t>Book 05 — Network Modernization</w:t>
      </w:r>
    </w:p>
    <w:p>
      <w:r>
        <w:rPr>
          <w:i/>
          <w:color w:val="5A5A5A"/>
          <w:sz w:val="24"/>
        </w:rPr>
        <w:t>AAN module: from mainframe to application-aware modernization (SD-WAN · SASE · the four principles)</w:t>
      </w:r>
    </w:p>
    <w:p>
      <w:r>
        <w:rPr>
          <w:color w:val="1E8C8C"/>
          <w:sz w:val="18"/>
        </w:rPr>
        <w:t>Federal AAN Training Program — companion material for the federal AAN book series; not part of UIAO.</w:t>
      </w:r>
    </w:p>
    <w:p>
      <w:pPr>
        <w:spacing w:before="80" w:after="80"/>
      </w:pPr>
      <w:r>
        <w:rPr>
          <w:b/>
          <w:sz w:val="22"/>
        </w:rPr>
        <w:t>Source:</w:t>
      </w:r>
      <w:r>
        <w:rPr>
          <w:sz w:val="22"/>
        </w:rPr>
        <w:t xml:space="preserve"> Book_05 Network Modernization &lt;https://github.com/WhalerMike/uiao/blob/main/inbox/Application%20Aware%20Networking/Book_05_FedAAN_Network_Modernization.qmd&gt; · </w:t>
      </w:r>
      <w:r>
        <w:rPr>
          <w:b/>
          <w:sz w:val="22"/>
        </w:rPr>
        <w:t>Evidence slot:</w:t>
      </w:r>
      <w:r>
        <w:rPr>
          <w:sz w:val="22"/>
        </w:rPr>
        <w:t xml:space="preserve"> 3 — network (KSI-CNA, SC-8 / CA-7) · </w:t>
      </w:r>
      <w:r>
        <w:rPr>
          <w:b/>
          <w:sz w:val="22"/>
        </w:rPr>
        <w:t>Track modules:</w:t>
      </w:r>
      <w:r>
        <w:rPr>
          <w:sz w:val="22"/>
        </w:rPr>
        <w:t xml:space="preserve"> A3, B3</w:t>
      </w:r>
    </w:p>
    <w:p>
      <w:pPr>
        <w:pStyle w:val="Heading3"/>
      </w:pPr>
      <w:r>
        <w:rPr>
          <w:color w:val="0D1B2E"/>
        </w:rPr>
        <w:t>Scope</w:t>
      </w:r>
    </w:p>
    <w:p>
      <w:pPr>
        <w:spacing w:before="80" w:after="80"/>
      </w:pPr>
      <w:r>
        <w:rPr>
          <w:sz w:val="22"/>
        </w:rPr>
        <w:t xml:space="preserve">A narrative history in four acts of how federal IT lost its single source of truth — mainframe centralization, 1990s decentralization into regional silos, security stacking that broke session-based Kerberos, and the multi-cloud breaking point — pivoting on one sentence: </w:t>
      </w:r>
      <w:r>
        <w:rPr>
          <w:b/>
          <w:sz w:val="22"/>
        </w:rPr>
        <w:t>Active Directory conflated the directory (truth) with the domain controller (in-path enforcer)</w:t>
      </w:r>
      <w:r>
        <w:rPr>
          <w:sz w:val="22"/>
        </w:rPr>
        <w:t>. Thesis: restore SSOT, adopt application-aware networking, move to token-based identity, and govern actively — physics and zero-trust mandates make the perimeter/session model unrecoverable.</w:t>
      </w:r>
    </w:p>
    <w:p>
      <w:pPr>
        <w:pStyle w:val="Heading3"/>
      </w:pPr>
      <w:r>
        <w:rPr>
          <w:color w:val="0D1B2E"/>
        </w:rPr>
        <w:t>Learning objectives</w:t>
      </w:r>
    </w:p>
    <w:p>
      <w:pPr>
        <w:pStyle w:val="ListBullet"/>
      </w:pPr>
      <w:r>
        <w:rPr>
          <w:sz w:val="22"/>
        </w:rPr>
        <w:t>Compute the speed-of-light propagation floor (e.g., Portland–Washington ≈ 5,400 km fiber ≈ 27 ms one-way) and explain why bandwidth cannot fix latency.</w:t>
      </w:r>
    </w:p>
    <w:p>
      <w:pPr>
        <w:pStyle w:val="ListBullet"/>
      </w:pPr>
      <w:r>
        <w:rPr>
          <w:sz w:val="22"/>
        </w:rPr>
        <w:t>Explain the two independent session killers — latency exceeding protocol timeouts, and asymmetric routing breaking stateful inspection — and how SD-WAN overlay tunnels remove asymmetry.</w:t>
      </w:r>
    </w:p>
    <w:p>
      <w:pPr>
        <w:pStyle w:val="ListBullet"/>
      </w:pPr>
      <w:r>
        <w:rPr>
          <w:sz w:val="22"/>
        </w:rPr>
        <w:t>Contrast packet-level (five-tuple) with application-aware enforcement (user, device posture, app, data, context) and name the NIST controls only the latter satisfies.</w:t>
      </w:r>
    </w:p>
    <w:p>
      <w:pPr>
        <w:pStyle w:val="ListBullet"/>
      </w:pPr>
      <w:r>
        <w:rPr>
          <w:sz w:val="22"/>
        </w:rPr>
        <w:t>Articulate why DIA alone satisfies zero NIST controls and which SASE/SD-WAN components close AC-4, SC-7, SC-8, SI-3, SI-4, AU-2/12, CA-7.</w:t>
      </w:r>
    </w:p>
    <w:p>
      <w:pPr>
        <w:pStyle w:val="ListBullet"/>
      </w:pPr>
      <w:r>
        <w:rPr>
          <w:sz w:val="22"/>
        </w:rPr>
        <w:t>Compare transports (MPLS hairpin, DIA, 5G MEC/CUPS, LEO satellite) and explain active-active multipath, FEC, and resequencing.</w:t>
      </w:r>
    </w:p>
    <w:p>
      <w:pPr>
        <w:pStyle w:val="ListBullet"/>
      </w:pPr>
      <w:r>
        <w:rPr>
          <w:sz w:val="22"/>
        </w:rPr>
        <w:t>Place governance postures on the CISA ZTMM actuation ladder and identify gated actuation as the AO-signable federal standard.</w:t>
      </w:r>
    </w:p>
    <w:p>
      <w:pPr>
        <w:pStyle w:val="Heading3"/>
      </w:pPr>
      <w:r>
        <w:rPr>
          <w:color w:val="0D1B2E"/>
        </w:rPr>
        <w:t>Key concepts</w:t>
      </w:r>
    </w:p>
    <w:p>
      <w:pPr>
        <w:pStyle w:val="ListBullet"/>
      </w:pPr>
      <w:r>
        <w:rPr>
          <w:sz w:val="22"/>
        </w:rPr>
        <w:t>Truth/enforcer conflation in Active Directory (the "one sentence").</w:t>
      </w:r>
    </w:p>
    <w:p>
      <w:pPr>
        <w:pStyle w:val="ListBullet"/>
      </w:pPr>
      <w:r>
        <w:rPr>
          <w:sz w:val="22"/>
        </w:rPr>
        <w:t>The physics floor: fiber at ~200,000 km/s; LEO at ~550 km altitude (20–40 ms) vs. the old GEO 238 ms ruling.</w:t>
      </w:r>
    </w:p>
    <w:p>
      <w:pPr>
        <w:pStyle w:val="ListBullet"/>
      </w:pPr>
      <w:r>
        <w:rPr>
          <w:sz w:val="22"/>
        </w:rPr>
        <w:t>"DIA is a pipe" — DIA enables compliance; AAN/SASE achieve it.</w:t>
      </w:r>
    </w:p>
    <w:p>
      <w:pPr>
        <w:pStyle w:val="ListBullet"/>
      </w:pPr>
      <w:r>
        <w:rPr>
          <w:sz w:val="22"/>
        </w:rPr>
        <w:t>The Four Principles of Application-Aware Modernization: SSOT, AAN, token identity, active governance.</w:t>
      </w:r>
    </w:p>
    <w:p>
      <w:pPr>
        <w:pStyle w:val="ListBullet"/>
      </w:pPr>
      <w:r>
        <w:rPr>
          <w:sz w:val="22"/>
        </w:rPr>
        <w:t>Active Governance actuation ladder: Traditional → Initial → Advanced (gated) → Optimal.</w:t>
      </w:r>
    </w:p>
    <w:p>
      <w:pPr>
        <w:pStyle w:val="ListBullet"/>
      </w:pPr>
      <w:r>
        <w:rPr>
          <w:sz w:val="22"/>
        </w:rPr>
        <w:t>FedRAMP 20x continuous machine-readable KSI evidence replacing periodic assessment.</w:t>
      </w:r>
    </w:p>
    <w:p>
      <w:pPr>
        <w:pStyle w:val="Heading3"/>
      </w:pPr>
      <w:r>
        <w:rPr>
          <w:color w:val="0D1B2E"/>
        </w:rPr>
        <w:t>Reading sequence</w:t>
      </w:r>
    </w:p>
    <w:p>
      <w:pPr>
        <w:spacing w:before="80" w:after="80"/>
      </w:pPr>
      <w:r>
        <w:rPr>
          <w:sz w:val="22"/>
        </w:rPr>
        <w:t>Argument-shaped, not implementation-shaped: prologue (mainframe = truth + enforcement in one box) → Act 1 (decentralization distributes truth) → Act 2 (security stacking + physics break sessions) → Act 3 (multi-cloud fractures identity) → physics interlude (DIA, LEO, 5G, SD-WAN multipath) → Act 4 (the four principles mapped to federal mandates and FedRAMP 20x).</w:t>
      </w:r>
    </w:p>
    <w:p>
      <w:pPr>
        <w:pStyle w:val="Heading3"/>
      </w:pPr>
      <w:r>
        <w:rPr>
          <w:color w:val="0D1B2E"/>
        </w:rPr>
        <w:t>Compliance hooks</w:t>
      </w:r>
    </w:p>
    <w:p>
      <w:pPr>
        <w:spacing w:before="80" w:after="80"/>
      </w:pPr>
      <w:r>
        <w:rPr>
          <w:sz w:val="22"/>
        </w:rPr>
        <w:t>AC-4, SC-7, SC-8, SI-3, SI-4, AU-2/AU-12, CA-7, CM-8, SI-12, SC-20/SC-21. Frameworks: NIST SP 800-207, SP 800-63, SP 800-37 Rev 2; EO 14028; OMB M-22-09 §3/§4; BOD 25-01 (SCuBA); TIC 3.0 Use Cases E/F; CISA ZTMM v2.0; FedRAMP 20x Consolidated Rules.</w:t>
      </w:r>
    </w:p>
    <w:p>
      <w:pPr>
        <w:pStyle w:val="Heading3"/>
      </w:pPr>
      <w:r>
        <w:rPr>
          <w:color w:val="0D1B2E"/>
        </w:rPr>
        <w:t>Labs</w:t>
      </w:r>
    </w:p>
    <w:p>
      <w:pPr>
        <w:pStyle w:val="ListNumber"/>
      </w:pPr>
      <w:r>
        <w:rPr>
          <w:sz w:val="22"/>
        </w:rPr>
        <w:t>Physics calculator: compute propagation floors for agency city pairs over fiber vs. LEO and compare against measured MPLS-hairpin latency.</w:t>
      </w:r>
    </w:p>
    <w:p>
      <w:pPr>
        <w:pStyle w:val="ListNumber"/>
      </w:pPr>
      <w:r>
        <w:rPr>
          <w:sz w:val="22"/>
        </w:rPr>
        <w:t>Asymmetric-routing demo: two-path lab with a stateful firewall on one path; observe SYN-ACK drops, then tunnel both directions through one overlay endpoint.</w:t>
      </w:r>
    </w:p>
    <w:p>
      <w:pPr>
        <w:pStyle w:val="ListNumber"/>
      </w:pPr>
      <w:r>
        <w:rPr>
          <w:sz w:val="22"/>
        </w:rPr>
        <w:t>Policy translation: rewrite five-tuple firewall rules as application-aware policies and map each to the NIST control it newly satisfies.</w:t>
      </w:r>
    </w:p>
    <w:p>
      <w:pPr>
        <w:pStyle w:val="Heading3"/>
      </w:pPr>
      <w:r>
        <w:rPr>
          <w:color w:val="0D1B2E"/>
        </w:rPr>
        <w:t>Pitfalls the book calls out</w:t>
      </w:r>
    </w:p>
    <w:p>
      <w:pPr>
        <w:pStyle w:val="ListBullet"/>
      </w:pPr>
      <w:r>
        <w:rPr>
          <w:sz w:val="22"/>
        </w:rPr>
        <w:t>Concluding "DIA solved the network problem" — connectivity without the control stack is not compliance.</w:t>
      </w:r>
    </w:p>
    <w:p>
      <w:pPr>
        <w:pStyle w:val="ListBullet"/>
      </w:pPr>
      <w:r>
        <w:rPr>
          <w:sz w:val="22"/>
        </w:rPr>
        <w:t>Treating VPN as zero trust — a tunnel extends network-wide trust to any compromised endpoint inside it.</w:t>
      </w:r>
    </w:p>
    <w:p>
      <w:pPr>
        <w:pStyle w:val="ListBullet"/>
      </w:pPr>
      <w:r>
        <w:rPr>
          <w:sz w:val="22"/>
        </w:rPr>
        <w:t>Deploying tokens atop fragmented directory trees without SSOT.</w:t>
      </w:r>
    </w:p>
    <w:p>
      <w:pPr>
        <w:pStyle w:val="ListBullet"/>
      </w:pPr>
      <w:r>
        <w:rPr>
          <w:sz w:val="22"/>
        </w:rPr>
        <w:t>Letting the governance plane become an in-path enforcer, or automating high-blast-radius actions that must remain human-gated.</w:t>
      </w:r>
    </w:p>
    <w:p>
      <w:pPr>
        <w:pStyle w:val="Heading3"/>
      </w:pPr>
      <w:r>
        <w:rPr>
          <w:color w:val="0D1B2E"/>
        </w:rPr>
        <w:t>Vendor training</w:t>
      </w:r>
    </w:p>
    <w:p>
      <w:pPr>
        <w:spacing w:before="80" w:after="80"/>
      </w:pPr>
      <w:r>
        <w:rPr>
          <w:sz w:val="22"/>
        </w:rPr>
        <w:t>Cisco U. / NetAcad, Zscaler, Netskope, Fortinet / Palo Alto, AZ-700, AWS Skill Builder.</w:t>
      </w:r>
    </w:p>
    <w:p>
      <w:pPr>
        <w:spacing w:before="80" w:after="80"/>
      </w:pPr>
      <w:r>
        <w:rPr>
          <w:b/>
          <w:sz w:val="22"/>
        </w:rPr>
        <w:t>Previous:</w:t>
      </w:r>
      <w:r>
        <w:rPr>
          <w:sz w:val="22"/>
        </w:rPr>
        <w:t xml:space="preserve"> Book 04 · </w:t>
      </w:r>
      <w:r>
        <w:rPr>
          <w:b/>
          <w:sz w:val="22"/>
        </w:rPr>
        <w:t>Next:</w:t>
      </w:r>
      <w:r>
        <w:rPr>
          <w:sz w:val="22"/>
        </w:rPr>
        <w:t xml:space="preserve"> Book 06 — Federal Telecommunications Modernization</w:t>
      </w:r>
    </w:p>
    <w:p>
      <w:r>
        <w:br w:type="page"/>
      </w:r>
    </w:p>
    <w:p>
      <w:pPr>
        <w:pStyle w:val="Heading1"/>
      </w:pPr>
      <w:r>
        <w:rPr>
          <w:color w:val="0D1B2E"/>
        </w:rPr>
        <w:t>Book 06 — Federal Telecommunications Modernization</w:t>
      </w:r>
    </w:p>
    <w:p>
      <w:r>
        <w:rPr>
          <w:i/>
          <w:color w:val="5A5A5A"/>
          <w:sz w:val="24"/>
        </w:rPr>
        <w:t>AAN module: cloud voice on Amazon Connect and Teams Phone over one SD-WAN investment</w:t>
      </w:r>
    </w:p>
    <w:p>
      <w:r>
        <w:rPr>
          <w:color w:val="1E8C8C"/>
          <w:sz w:val="18"/>
        </w:rPr>
        <w:t>Federal AAN Training Program — companion material for the federal AAN book series; not part of UIAO.</w:t>
      </w:r>
    </w:p>
    <w:p>
      <w:pPr>
        <w:spacing w:before="80" w:after="80"/>
      </w:pPr>
      <w:r>
        <w:rPr>
          <w:b/>
          <w:sz w:val="22"/>
        </w:rPr>
        <w:t>Source:</w:t>
      </w:r>
      <w:r>
        <w:rPr>
          <w:sz w:val="22"/>
        </w:rPr>
        <w:t xml:space="preserve"> Book_06 Federal Telecommunications Modernization &lt;https://github.com/WhalerMike/uiao/blob/main/inbox/Application%20Aware%20Networking/Book_06_FedAAN_Federal_Telecommunications_Modernization.qmd&gt; · </w:t>
      </w:r>
      <w:r>
        <w:rPr>
          <w:b/>
          <w:sz w:val="22"/>
        </w:rPr>
        <w:t>Evidence slot:</w:t>
      </w:r>
      <w:r>
        <w:rPr>
          <w:sz w:val="22"/>
        </w:rPr>
        <w:t xml:space="preserve"> 1 — identity (KSI-IAM, IA-2 / AC-2) · </w:t>
      </w:r>
      <w:r>
        <w:rPr>
          <w:b/>
          <w:sz w:val="22"/>
        </w:rPr>
        <w:t>Track modules:</w:t>
      </w:r>
      <w:r>
        <w:rPr>
          <w:sz w:val="22"/>
        </w:rPr>
        <w:t xml:space="preserve"> A1, B3</w:t>
      </w:r>
    </w:p>
    <w:p>
      <w:pPr>
        <w:pStyle w:val="Heading3"/>
      </w:pPr>
      <w:r>
        <w:rPr>
          <w:color w:val="0D1B2E"/>
        </w:rPr>
        <w:t>Scope</w:t>
      </w:r>
    </w:p>
    <w:p>
      <w:pPr>
        <w:spacing w:before="80" w:after="80"/>
      </w:pPr>
      <w:r>
        <w:rPr>
          <w:sz w:val="22"/>
        </w:rPr>
        <w:t xml:space="preserve">The agency's two cloud voice platforms — the N8NN citizen contact center on Amazon Connect (AWS commercial </w:t>
      </w:r>
      <w:r>
        <w:rPr>
          <w:rFonts w:ascii="Consolas" w:hAnsi="Consolas"/>
          <w:sz w:val="22"/>
        </w:rPr>
        <w:t>.com</w:t>
      </w:r>
      <w:r>
        <w:rPr>
          <w:sz w:val="22"/>
        </w:rPr>
        <w:t xml:space="preserve">, by authorized exception) and internal telephony on Microsoft Teams Phone in GCC Moderate — share identical network requirements (&lt;75 ms one-way, &lt;30 ms jitter, &lt;1% loss, DSCP EF). One SD-WAN/AAN modernization investment therefore enables both; </w:t>
      </w:r>
      <w:r>
        <w:rPr>
          <w:b/>
          <w:sz w:val="22"/>
        </w:rPr>
        <w:t>voice is the canary</w:t>
      </w:r>
      <w:r>
        <w:rPr>
          <w:sz w:val="22"/>
        </w:rPr>
        <w:t xml:space="preserve"> that exposes network problems other applications hide.</w:t>
      </w:r>
    </w:p>
    <w:p>
      <w:pPr>
        <w:pStyle w:val="Heading3"/>
      </w:pPr>
      <w:r>
        <w:rPr>
          <w:color w:val="0D1B2E"/>
        </w:rPr>
        <w:t>Learning objectives</w:t>
      </w:r>
    </w:p>
    <w:p>
      <w:pPr>
        <w:pStyle w:val="ListBullet"/>
      </w:pPr>
      <w:r>
        <w:rPr>
          <w:sz w:val="22"/>
        </w:rPr>
        <w:t>State the ITU-T G.114 150 ms one-way delay ceiling and derive the ~75 ms network budget after codec and jitter-buffer overhead.</w:t>
      </w:r>
    </w:p>
    <w:p>
      <w:pPr>
        <w:pStyle w:val="ListBullet"/>
      </w:pPr>
      <w:r>
        <w:rPr>
          <w:sz w:val="22"/>
        </w:rPr>
        <w:t>Map network conditions to MOS via the ITU-T G.107 E-model and defend the ≥4.0 MOS floor.</w:t>
      </w:r>
    </w:p>
    <w:p>
      <w:pPr>
        <w:pStyle w:val="ListBullet"/>
      </w:pPr>
      <w:r>
        <w:rPr>
          <w:sz w:val="22"/>
        </w:rPr>
        <w:t xml:space="preserve">Explain the Amazon Connect </w:t>
      </w:r>
      <w:r>
        <w:rPr>
          <w:rFonts w:ascii="Consolas" w:hAnsi="Consolas"/>
          <w:sz w:val="22"/>
        </w:rPr>
        <w:t>.com</w:t>
      </w:r>
      <w:r>
        <w:rPr>
          <w:sz w:val="22"/>
        </w:rPr>
        <w:t xml:space="preserve"> authorized exception, its SSP SA-9 boundary documentation, and ATO-renewal maintenance obligations.</w:t>
      </w:r>
    </w:p>
    <w:p>
      <w:pPr>
        <w:pStyle w:val="ListBullet"/>
      </w:pPr>
      <w:r>
        <w:rPr>
          <w:sz w:val="22"/>
        </w:rPr>
        <w:t>Diagnose asymmetric routing as a stateful-firewall session killer and explain why SD-WAN overlay eliminates it structurally.</w:t>
      </w:r>
    </w:p>
    <w:p>
      <w:pPr>
        <w:pStyle w:val="ListBullet"/>
      </w:pPr>
      <w:r>
        <w:rPr>
          <w:sz w:val="22"/>
        </w:rPr>
        <w:t>Plan Teams Phone Direct Routing (SBC selection, FedRAMP-authorized cloud SBC) and E911 compliance under Kari's Law and Ray Baum's Act.</w:t>
      </w:r>
    </w:p>
    <w:p>
      <w:pPr>
        <w:pStyle w:val="ListBullet"/>
      </w:pPr>
      <w:r>
        <w:rPr>
          <w:sz w:val="22"/>
        </w:rPr>
        <w:t>Size DSCP EF capacity for hybrid agents (max concurrent hybrid agents × 200 Kbps).</w:t>
      </w:r>
    </w:p>
    <w:p>
      <w:pPr>
        <w:pStyle w:val="Heading3"/>
      </w:pPr>
      <w:r>
        <w:rPr>
          <w:color w:val="0D1B2E"/>
        </w:rPr>
        <w:t>Key concepts</w:t>
      </w:r>
    </w:p>
    <w:p>
      <w:pPr>
        <w:pStyle w:val="ListBullet"/>
      </w:pPr>
      <w:r>
        <w:rPr>
          <w:sz w:val="22"/>
        </w:rPr>
        <w:t>MPLS hairpin vs. local breakout (DIA), with the Portland → Washington → AWS us-west-2 worked example.</w:t>
      </w:r>
    </w:p>
    <w:p>
      <w:pPr>
        <w:pStyle w:val="ListBullet"/>
      </w:pPr>
      <w:r>
        <w:rPr>
          <w:sz w:val="22"/>
        </w:rPr>
        <w:t xml:space="preserve">AWS </w:t>
      </w:r>
      <w:r>
        <w:rPr>
          <w:rFonts w:ascii="Consolas" w:hAnsi="Consolas"/>
          <w:sz w:val="22"/>
        </w:rPr>
        <w:t>.us</w:t>
      </w:r>
      <w:r>
        <w:rPr>
          <w:sz w:val="22"/>
        </w:rPr>
        <w:t xml:space="preserve"> vs. </w:t>
      </w:r>
      <w:r>
        <w:rPr>
          <w:rFonts w:ascii="Consolas" w:hAnsi="Consolas"/>
          <w:sz w:val="22"/>
        </w:rPr>
        <w:t>.com</w:t>
      </w:r>
      <w:r>
        <w:rPr>
          <w:sz w:val="22"/>
        </w:rPr>
        <w:t xml:space="preserve"> vs. GovCloud federal delivery models.</w:t>
      </w:r>
    </w:p>
    <w:p>
      <w:pPr>
        <w:pStyle w:val="ListBullet"/>
      </w:pPr>
      <w:r>
        <w:rPr>
          <w:sz w:val="22"/>
        </w:rPr>
        <w:t>WebRTC/RTP/SRTP requirements; DSCP EF (46) steering; FEC at ≥0.5% loss.</w:t>
      </w:r>
    </w:p>
    <w:p>
      <w:pPr>
        <w:pStyle w:val="ListBullet"/>
      </w:pPr>
      <w:r>
        <w:rPr>
          <w:sz w:val="22"/>
        </w:rPr>
        <w:t>Hybrid agent = two simultaneous DSCP EF streams (Connect + Teams Phone).</w:t>
      </w:r>
    </w:p>
    <w:p>
      <w:pPr>
        <w:pStyle w:val="ListBullet"/>
      </w:pPr>
      <w:r>
        <w:rPr>
          <w:sz w:val="22"/>
        </w:rPr>
        <w:t>"DIA enables; SASE achieves" — the pipe vs. the control stack.</w:t>
      </w:r>
    </w:p>
    <w:p>
      <w:pPr>
        <w:pStyle w:val="ListBullet"/>
      </w:pPr>
      <w:r>
        <w:rPr>
          <w:sz w:val="22"/>
        </w:rPr>
        <w:t>Direct Routing SBC options (on-prem vs. cloud) and E911 LIS/ELIN.</w:t>
      </w:r>
    </w:p>
    <w:p>
      <w:pPr>
        <w:pStyle w:val="Heading3"/>
      </w:pPr>
      <w:r>
        <w:rPr>
          <w:color w:val="0D1B2E"/>
        </w:rPr>
        <w:t>Implementation sequence</w:t>
      </w:r>
    </w:p>
    <w:p>
      <w:pPr>
        <w:pStyle w:val="ListNumber"/>
      </w:pPr>
      <w:r>
        <w:rPr>
          <w:sz w:val="22"/>
        </w:rPr>
        <w:t xml:space="preserve">Phase 1 (months 1–3): SD-WAN, local breakout, DSCP EF steering, FEC; measure and document G.114 compliance per location — </w:t>
      </w:r>
      <w:r>
        <w:rPr>
          <w:b/>
          <w:sz w:val="22"/>
        </w:rPr>
        <w:t>a hard gate before any migration</w:t>
      </w:r>
      <w:r>
        <w:rPr>
          <w:sz w:val="22"/>
        </w:rPr>
        <w:t>.</w:t>
      </w:r>
    </w:p>
    <w:p>
      <w:pPr>
        <w:pStyle w:val="ListNumber"/>
      </w:pPr>
      <w:r>
        <w:rPr>
          <w:sz w:val="22"/>
        </w:rPr>
        <w:t>Phase 2 (months 2–5): Amazon Connect — exception confirmation, contact flows, Entra ID federation, pilot with MOS measurement, S3 recording pipeline validation.</w:t>
      </w:r>
    </w:p>
    <w:p>
      <w:pPr>
        <w:pStyle w:val="ListNumber"/>
      </w:pPr>
      <w:r>
        <w:rPr>
          <w:sz w:val="22"/>
        </w:rPr>
        <w:t>Phase 3 (months 4–8): Teams Phone — SBC deployment, per-location E911 testing, PBX number inventory, geographic porting tranches with parallel PBX operation.</w:t>
      </w:r>
    </w:p>
    <w:p>
      <w:pPr>
        <w:pStyle w:val="ListNumber"/>
      </w:pPr>
      <w:r>
        <w:rPr>
          <w:sz w:val="22"/>
        </w:rPr>
        <w:t>Phase 4 (months 6+): continuous monitoring — MOS ≥4.0 SLA alerting, SIEM integration, ATO exception review, 20x KSI alignment.</w:t>
      </w:r>
    </w:p>
    <w:p>
      <w:pPr>
        <w:pStyle w:val="Heading3"/>
      </w:pPr>
      <w:r>
        <w:rPr>
          <w:color w:val="0D1B2E"/>
        </w:rPr>
        <w:t>Compliance hooks</w:t>
      </w:r>
    </w:p>
    <w:p>
      <w:pPr>
        <w:spacing w:before="80" w:after="80"/>
      </w:pPr>
      <w:r>
        <w:rPr>
          <w:sz w:val="22"/>
        </w:rPr>
        <w:t>AC-4, SC-7, SC-8, SI-3, SI-4, AU-12, CA-7, SA-9, AU-9, SC-28, IA-8. Also ITU-T G.114/G.107, RFC 3246/3550/4594, TIC 3.0 Use Case E, OMB M-22-09, CISA ZTMM v2.0, Kari's Law and Ray Baum's Act (47 CFR Part 9), Privacy Act.</w:t>
      </w:r>
    </w:p>
    <w:p>
      <w:pPr>
        <w:pStyle w:val="Heading3"/>
      </w:pPr>
      <w:r>
        <w:rPr>
          <w:color w:val="0D1B2E"/>
        </w:rPr>
        <w:t>Labs</w:t>
      </w:r>
    </w:p>
    <w:p>
      <w:pPr>
        <w:pStyle w:val="ListNumber"/>
      </w:pPr>
      <w:r>
        <w:rPr>
          <w:sz w:val="22"/>
        </w:rPr>
        <w:t>Measure one-way latency, jitter, and loss to AWS us-west-2 and Microsoft 365 endpoints; compute the G.114 verdict for hairpin vs. direct paths.</w:t>
      </w:r>
    </w:p>
    <w:p>
      <w:pPr>
        <w:pStyle w:val="ListNumber"/>
      </w:pPr>
      <w:r>
        <w:rPr>
          <w:sz w:val="22"/>
        </w:rPr>
        <w:t>SD-WAN policy lab: DSCP EF → lowest-latency path, HTTPS → highest-throughput path; verify EF markings are honored, not remarked.</w:t>
      </w:r>
    </w:p>
    <w:p>
      <w:pPr>
        <w:pStyle w:val="ListNumber"/>
      </w:pPr>
      <w:r>
        <w:rPr>
          <w:sz w:val="22"/>
        </w:rPr>
        <w:t>Configure and test a Teams emergency-calling policy with LIS dispatchable location, documenting the 911 test.</w:t>
      </w:r>
    </w:p>
    <w:p>
      <w:pPr>
        <w:pStyle w:val="Heading3"/>
      </w:pPr>
      <w:r>
        <w:rPr>
          <w:color w:val="0D1B2E"/>
        </w:rPr>
        <w:t>Pitfalls the book calls out</w:t>
      </w:r>
    </w:p>
    <w:p>
      <w:pPr>
        <w:pStyle w:val="ListBullet"/>
      </w:pPr>
      <w:r>
        <w:rPr>
          <w:sz w:val="22"/>
        </w:rPr>
        <w:t>Migrating any office before G.114 validation — post-migration voice failures cost dramatically more.</w:t>
      </w:r>
    </w:p>
    <w:p>
      <w:pPr>
        <w:pStyle w:val="ListBullet"/>
      </w:pPr>
      <w:r>
        <w:rPr>
          <w:sz w:val="22"/>
        </w:rPr>
        <w:t>Treating DIA alone as compliance: it fixes latency but satisfies zero NIST controls without the SASE stack.</w:t>
      </w:r>
    </w:p>
    <w:p>
      <w:pPr>
        <w:pStyle w:val="ListBullet"/>
      </w:pPr>
      <w:r>
        <w:rPr>
          <w:sz w:val="22"/>
        </w:rPr>
        <w:t>Asymmetric routing misdiagnosed as "SBC misconfiguration."</w:t>
      </w:r>
    </w:p>
    <w:p>
      <w:pPr>
        <w:pStyle w:val="ListBullet"/>
      </w:pPr>
      <w:r>
        <w:rPr>
          <w:sz w:val="22"/>
        </w:rPr>
        <w:t xml:space="preserve">Assuming the </w:t>
      </w:r>
      <w:r>
        <w:rPr>
          <w:rFonts w:ascii="Consolas" w:hAnsi="Consolas"/>
          <w:sz w:val="22"/>
        </w:rPr>
        <w:t>.com</w:t>
      </w:r>
      <w:r>
        <w:rPr>
          <w:sz w:val="22"/>
        </w:rPr>
        <w:t xml:space="preserve"> exception is permanent — it requires re-evaluation each cycle; cloud SBCs need their own FedRAMP authorization.</w:t>
      </w:r>
    </w:p>
    <w:p>
      <w:pPr>
        <w:pStyle w:val="Heading3"/>
      </w:pPr>
      <w:r>
        <w:rPr>
          <w:color w:val="0D1B2E"/>
        </w:rPr>
        <w:t>Vendor training</w:t>
      </w:r>
    </w:p>
    <w:p>
      <w:pPr>
        <w:spacing w:before="80" w:after="80"/>
      </w:pPr>
      <w:r>
        <w:rPr>
          <w:sz w:val="22"/>
        </w:rPr>
        <w:t>SC-300, AWS Skill Builder (Amazon Connect), Zscaler / Netskope.</w:t>
      </w:r>
    </w:p>
    <w:p>
      <w:pPr>
        <w:spacing w:before="80" w:after="80"/>
      </w:pPr>
      <w:r>
        <w:rPr>
          <w:b/>
          <w:sz w:val="22"/>
        </w:rPr>
        <w:t>Previous:</w:t>
      </w:r>
      <w:r>
        <w:rPr>
          <w:sz w:val="22"/>
        </w:rPr>
        <w:t xml:space="preserve"> Book 05 · </w:t>
      </w:r>
      <w:r>
        <w:rPr>
          <w:b/>
          <w:sz w:val="22"/>
        </w:rPr>
        <w:t>Next:</w:t>
      </w:r>
      <w:r>
        <w:rPr>
          <w:sz w:val="22"/>
        </w:rPr>
        <w:t xml:space="preserve"> Book 07 — SQL Server Authentication Modernization</w:t>
      </w:r>
    </w:p>
    <w:p>
      <w:r>
        <w:br w:type="page"/>
      </w:r>
    </w:p>
    <w:p>
      <w:pPr>
        <w:pStyle w:val="Heading1"/>
      </w:pPr>
      <w:r>
        <w:rPr>
          <w:color w:val="0D1B2E"/>
        </w:rPr>
        <w:t>Book 07 — SQL Server Authentication Modernization</w:t>
      </w:r>
    </w:p>
    <w:p>
      <w:r>
        <w:rPr>
          <w:i/>
          <w:color w:val="5A5A5A"/>
          <w:sz w:val="24"/>
        </w:rPr>
        <w:t>AAN module: replacing Kerberos/NTLM and SQL logins with Arc Managed Identity and Entra tokens</w:t>
      </w:r>
    </w:p>
    <w:p>
      <w:r>
        <w:rPr>
          <w:color w:val="1E8C8C"/>
          <w:sz w:val="18"/>
        </w:rPr>
        <w:t>Federal AAN Training Program — companion material for the federal AAN book series; not part of UIAO.</w:t>
      </w:r>
    </w:p>
    <w:p>
      <w:pPr>
        <w:spacing w:before="80" w:after="80"/>
      </w:pPr>
      <w:r>
        <w:rPr>
          <w:b/>
          <w:sz w:val="22"/>
        </w:rPr>
        <w:t>Source:</w:t>
      </w:r>
      <w:r>
        <w:rPr>
          <w:sz w:val="22"/>
        </w:rPr>
        <w:t xml:space="preserve"> Book_07 SQL Server Authentication Modernization &lt;https://github.com/WhalerMike/uiao/blob/main/inbox/Application%20Aware%20Networking/Book_07_FedAAN_SQL_Server_Authentication_Modernization.qmd&gt; · </w:t>
      </w:r>
      <w:r>
        <w:rPr>
          <w:b/>
          <w:sz w:val="22"/>
        </w:rPr>
        <w:t>Evidence slot:</w:t>
      </w:r>
      <w:r>
        <w:rPr>
          <w:sz w:val="22"/>
        </w:rPr>
        <w:t xml:space="preserve"> 1 — identity (KSI-IAM, IA-2 / AC-2) · </w:t>
      </w:r>
      <w:r>
        <w:rPr>
          <w:b/>
          <w:sz w:val="22"/>
        </w:rPr>
        <w:t>Track modules:</w:t>
      </w:r>
      <w:r>
        <w:rPr>
          <w:sz w:val="22"/>
        </w:rPr>
        <w:t xml:space="preserve"> A1, B4</w:t>
      </w:r>
    </w:p>
    <w:p>
      <w:pPr>
        <w:pStyle w:val="Heading3"/>
      </w:pPr>
      <w:r>
        <w:rPr>
          <w:color w:val="0D1B2E"/>
        </w:rPr>
        <w:t>Scope</w:t>
      </w:r>
    </w:p>
    <w:p>
      <w:pPr>
        <w:spacing w:before="80" w:after="80"/>
      </w:pPr>
      <w:r>
        <w:rPr>
          <w:sz w:val="22"/>
        </w:rPr>
        <w:t xml:space="preserve">The authentication layer that persists after network controls: replacing Kerberos/NTLM domain credentials and SQL logins across the federal SQL Server estate with Azure Arc Managed Identity, Entra ID token authentication, and Conditional Access. </w:t>
      </w:r>
      <w:r>
        <w:rPr>
          <w:b/>
          <w:sz w:val="22"/>
        </w:rPr>
        <w:t>NTLM elimination (BOD 25-01, OMB M-22-09) is the goal; Entra token authentication via Arc is the mechanism</w:t>
      </w:r>
      <w:r>
        <w:rPr>
          <w:sz w:val="22"/>
        </w:rPr>
        <w:t xml:space="preserve"> — and the only credential-free option.</w:t>
      </w:r>
    </w:p>
    <w:p>
      <w:pPr>
        <w:pStyle w:val="Heading3"/>
      </w:pPr>
      <w:r>
        <w:rPr>
          <w:color w:val="0D1B2E"/>
        </w:rPr>
        <w:t>Learning objectives</w:t>
      </w:r>
    </w:p>
    <w:p>
      <w:pPr>
        <w:pStyle w:val="ListBullet"/>
      </w:pPr>
      <w:r>
        <w:rPr>
          <w:sz w:val="22"/>
        </w:rPr>
        <w:t>Explain Kerberos's three requirements (reachable KDC, correct SPN, clock sync), why hybrid cloud breaks them, and the resulting silent NTLM fallback.</w:t>
      </w:r>
    </w:p>
    <w:p>
      <w:pPr>
        <w:pStyle w:val="ListBullet"/>
      </w:pPr>
      <w:r>
        <w:rPr>
          <w:sz w:val="22"/>
        </w:rPr>
        <w:t>Articulate NTLM's compliance gaps: audit opacity, pass-the-hash, Conditional Access bypass.</w:t>
      </w:r>
    </w:p>
    <w:p>
      <w:pPr>
        <w:pStyle w:val="ListBullet"/>
      </w:pPr>
      <w:r>
        <w:rPr>
          <w:sz w:val="22"/>
        </w:rPr>
        <w:t>Run estate discovery across four dimensions (version/EOL, auth methods, SPN registration, dependency mapping) and apply the consolidation gate.</w:t>
      </w:r>
    </w:p>
    <w:p>
      <w:pPr>
        <w:pStyle w:val="ListBullet"/>
      </w:pPr>
      <w:r>
        <w:rPr>
          <w:sz w:val="22"/>
        </w:rPr>
        <w:t>Distinguish Layer 1 (SQL Engine Entra auth on SQL Server 2022 + Arc) from Layer 2 (OS-level Entra login on Windows Server 2025, domain-unjoined).</w:t>
      </w:r>
    </w:p>
    <w:p>
      <w:pPr>
        <w:pStyle w:val="ListBullet"/>
      </w:pPr>
      <w:r>
        <w:rPr>
          <w:sz w:val="22"/>
        </w:rPr>
        <w:t>Justify Arc Managed Identity over gMSA, vault-managed service principals, and certificate-based authentication.</w:t>
      </w:r>
    </w:p>
    <w:p>
      <w:pPr>
        <w:pStyle w:val="ListBullet"/>
      </w:pPr>
      <w:r>
        <w:rPr>
          <w:sz w:val="22"/>
        </w:rPr>
        <w:t>Execute the four-phase parallel-run login migration (Create → Validate → Disable → Drop after 30-day observation).</w:t>
      </w:r>
    </w:p>
    <w:p>
      <w:pPr>
        <w:pStyle w:val="ListBullet"/>
      </w:pPr>
      <w:r>
        <w:rPr>
          <w:sz w:val="22"/>
        </w:rPr>
        <w:t>Classify applications into the four authentication classes and transform connection strings (</w:t>
      </w:r>
      <w:r>
        <w:rPr>
          <w:rFonts w:ascii="Consolas" w:hAnsi="Consolas"/>
          <w:sz w:val="22"/>
        </w:rPr>
        <w:t>Integrated Security=SSPI</w:t>
      </w:r>
      <w:r>
        <w:rPr>
          <w:sz w:val="22"/>
        </w:rPr>
        <w:t xml:space="preserve"> → </w:t>
      </w:r>
      <w:r>
        <w:rPr>
          <w:rFonts w:ascii="Consolas" w:hAnsi="Consolas"/>
          <w:sz w:val="22"/>
        </w:rPr>
        <w:t>Authentication=Active Directory Default</w:t>
      </w:r>
      <w:r>
        <w:rPr>
          <w:sz w:val="22"/>
        </w:rPr>
        <w:t>).</w:t>
      </w:r>
    </w:p>
    <w:p>
      <w:pPr>
        <w:pStyle w:val="Heading3"/>
      </w:pPr>
      <w:r>
        <w:rPr>
          <w:color w:val="0D1B2E"/>
        </w:rPr>
        <w:t>Key concepts</w:t>
      </w:r>
    </w:p>
    <w:p>
      <w:pPr>
        <w:pStyle w:val="ListBullet"/>
      </w:pPr>
      <w:r>
        <w:rPr>
          <w:sz w:val="22"/>
        </w:rPr>
        <w:t>Arc system-assigned Managed Identity: certificate-backed, auto-rotated every 90 days, no human-visible credential.</w:t>
      </w:r>
    </w:p>
    <w:p>
      <w:pPr>
        <w:pStyle w:val="ListBullet"/>
      </w:pPr>
      <w:r>
        <w:rPr>
          <w:sz w:val="22"/>
        </w:rPr>
        <w:t>Three-phase NTLM elimination (Discovery → Remediation → Domain-wide block) and the four NTLM-generating patterns (missing SPN, cross-site, linked-server passthrough, non-domain host).</w:t>
      </w:r>
    </w:p>
    <w:p>
      <w:pPr>
        <w:pStyle w:val="ListBullet"/>
      </w:pPr>
      <w:r>
        <w:rPr>
          <w:rFonts w:ascii="Consolas" w:hAnsi="Consolas"/>
          <w:sz w:val="22"/>
        </w:rPr>
        <w:t>CREATE LOGIN … FROM EXTERNAL PROVIDER</w:t>
      </w:r>
      <w:r>
        <w:rPr>
          <w:sz w:val="22"/>
        </w:rPr>
        <w:t xml:space="preserve">; </w:t>
      </w:r>
      <w:r>
        <w:rPr>
          <w:rFonts w:ascii="Consolas" w:hAnsi="Consolas"/>
          <w:sz w:val="22"/>
        </w:rPr>
        <w:t>sa</w:t>
      </w:r>
      <w:r>
        <w:rPr>
          <w:sz w:val="22"/>
        </w:rPr>
        <w:t xml:space="preserve"> disable-and-rename.</w:t>
      </w:r>
    </w:p>
    <w:p>
      <w:pPr>
        <w:pStyle w:val="ListBullet"/>
      </w:pPr>
      <w:r>
        <w:rPr>
          <w:sz w:val="22"/>
        </w:rPr>
        <w:t>Entra dynamic groups as HR-attribute-driven SQL authorization; Conditional Access as a perimeter SQL Server cannot express.</w:t>
      </w:r>
    </w:p>
    <w:p>
      <w:pPr>
        <w:pStyle w:val="ListBullet"/>
      </w:pPr>
      <w:r>
        <w:rPr>
          <w:sz w:val="22"/>
        </w:rPr>
        <w:t>Application classes: Class 3 OIDC/token (preferred) → Class 2 SAML → Class 1 App Proxy → Class 4 Domain Services (last resort).</w:t>
      </w:r>
    </w:p>
    <w:p>
      <w:pPr>
        <w:pStyle w:val="Heading3"/>
      </w:pPr>
      <w:r>
        <w:rPr>
          <w:color w:val="0D1B2E"/>
        </w:rPr>
        <w:t>Implementation sequence</w:t>
      </w:r>
    </w:p>
    <w:p>
      <w:pPr>
        <w:pStyle w:val="ListNumber"/>
      </w:pPr>
      <w:r>
        <w:rPr>
          <w:sz w:val="22"/>
        </w:rPr>
        <w:t>Estate discovery and consolidation gate (retain / consolidate / retire; zombie detection at 90 days idle).</w:t>
      </w:r>
    </w:p>
    <w:p>
      <w:pPr>
        <w:pStyle w:val="ListNumber"/>
      </w:pPr>
      <w:r>
        <w:rPr>
          <w:sz w:val="22"/>
        </w:rPr>
        <w:t>Arc enrollment and Layer 1 Entra authentication on retained instances.</w:t>
      </w:r>
    </w:p>
    <w:p>
      <w:pPr>
        <w:pStyle w:val="ListNumber"/>
      </w:pPr>
      <w:r>
        <w:rPr>
          <w:sz w:val="22"/>
        </w:rPr>
        <w:t>NTLM elimination Phases A–C, ending in a domain-wide block after a 30-day zero-NTLM observation window.</w:t>
      </w:r>
    </w:p>
    <w:p>
      <w:pPr>
        <w:pStyle w:val="ListNumber"/>
      </w:pPr>
      <w:r>
        <w:rPr>
          <w:sz w:val="22"/>
        </w:rPr>
        <w:t xml:space="preserve">Four-phase login migration per instance, including </w:t>
      </w:r>
      <w:r>
        <w:rPr>
          <w:rFonts w:ascii="Consolas" w:hAnsi="Consolas"/>
          <w:sz w:val="22"/>
        </w:rPr>
        <w:t>sa</w:t>
      </w:r>
      <w:r>
        <w:rPr>
          <w:sz w:val="22"/>
        </w:rPr>
        <w:t xml:space="preserve"> handling.</w:t>
      </w:r>
    </w:p>
    <w:p>
      <w:pPr>
        <w:pStyle w:val="ListNumber"/>
      </w:pPr>
      <w:r>
        <w:rPr>
          <w:sz w:val="22"/>
        </w:rPr>
        <w:t>Application chain migration (connection strings, linked servers, ODBC).</w:t>
      </w:r>
    </w:p>
    <w:p>
      <w:pPr>
        <w:pStyle w:val="ListNumber"/>
      </w:pPr>
      <w:r>
        <w:rPr>
          <w:sz w:val="22"/>
        </w:rPr>
        <w:t>Continuous-monitoring baseline and FedRAMP 20x KSI artifacts.</w:t>
      </w:r>
    </w:p>
    <w:p>
      <w:pPr>
        <w:pStyle w:val="Heading3"/>
      </w:pPr>
      <w:r>
        <w:rPr>
          <w:color w:val="0D1B2E"/>
        </w:rPr>
        <w:t>Compliance hooks</w:t>
      </w:r>
    </w:p>
    <w:p>
      <w:pPr>
        <w:spacing w:before="80" w:after="80"/>
      </w:pPr>
      <w:r>
        <w:rPr>
          <w:sz w:val="22"/>
        </w:rPr>
        <w:t xml:space="preserve">IA-2, IA-3, IA-5, IA-5(1), AC-2, AC-3, AC-17, AU-2, AU-12, CA-7, CM-2, CM-8, SC-8, SI-4. FedRAMP 20x KSIs: auth posture report, zero-NTLM count, Managed Identity coverage, Conditional Access compliance, </w:t>
      </w:r>
      <w:r>
        <w:rPr>
          <w:rFonts w:ascii="Consolas" w:hAnsi="Consolas"/>
          <w:sz w:val="22"/>
        </w:rPr>
        <w:t>sa</w:t>
      </w:r>
      <w:r>
        <w:rPr>
          <w:sz w:val="22"/>
        </w:rPr>
        <w:t xml:space="preserve"> status. BOD 25-01; OMB M-22-09.</w:t>
      </w:r>
    </w:p>
    <w:p>
      <w:pPr>
        <w:pStyle w:val="Heading3"/>
      </w:pPr>
      <w:r>
        <w:rPr>
          <w:color w:val="0D1B2E"/>
        </w:rPr>
        <w:t>Prerequisites</w:t>
      </w:r>
    </w:p>
    <w:p>
      <w:pPr>
        <w:spacing w:before="80" w:after="80"/>
      </w:pPr>
      <w:r>
        <w:rPr>
          <w:sz w:val="22"/>
        </w:rPr>
        <w:t>Book 01 (CA decisions for TLS migration), Books 05–06 (segmentation, SD-WAN traffic classes). AD, SQL Server administration, and Entra ID fundamentals.</w:t>
      </w:r>
    </w:p>
    <w:p>
      <w:pPr>
        <w:pStyle w:val="Heading3"/>
      </w:pPr>
      <w:r>
        <w:rPr>
          <w:color w:val="0D1B2E"/>
        </w:rPr>
        <w:t>Labs</w:t>
      </w:r>
    </w:p>
    <w:p>
      <w:pPr>
        <w:pStyle w:val="ListNumber"/>
      </w:pPr>
      <w:r>
        <w:rPr>
          <w:sz w:val="22"/>
        </w:rPr>
        <w:t xml:space="preserve">Audit a lab instance with Event IDs 4624/4625 and </w:t>
      </w:r>
      <w:r>
        <w:rPr>
          <w:rFonts w:ascii="Consolas" w:hAnsi="Consolas"/>
          <w:sz w:val="22"/>
        </w:rPr>
        <w:t>setspn</w:t>
      </w:r>
      <w:r>
        <w:rPr>
          <w:sz w:val="22"/>
        </w:rPr>
        <w:t xml:space="preserve">; classify NTLM sources into the four patterns; fix a missing SPN and verify Kerberos with </w:t>
      </w:r>
      <w:r>
        <w:rPr>
          <w:rFonts w:ascii="Consolas" w:hAnsi="Consolas"/>
          <w:sz w:val="22"/>
        </w:rPr>
        <w:t>klist</w:t>
      </w:r>
      <w:r>
        <w:rPr>
          <w:sz w:val="22"/>
        </w:rPr>
        <w:t>.</w:t>
      </w:r>
    </w:p>
    <w:p>
      <w:pPr>
        <w:pStyle w:val="ListNumber"/>
      </w:pPr>
      <w:r>
        <w:rPr>
          <w:sz w:val="22"/>
        </w:rPr>
        <w:t>Full parallel-run login migration on a test instance, including disable/re-enable rollback and the migration log.</w:t>
      </w:r>
    </w:p>
    <w:p>
      <w:pPr>
        <w:pStyle w:val="ListNumber"/>
      </w:pPr>
      <w:r>
        <w:rPr>
          <w:sz w:val="22"/>
        </w:rPr>
        <w:t>Configure an Entra dynamic group plus a Conditional Access MFA policy; demonstrate blocked access from a non-compliant device.</w:t>
      </w:r>
    </w:p>
    <w:p>
      <w:pPr>
        <w:pStyle w:val="Heading3"/>
      </w:pPr>
      <w:r>
        <w:rPr>
          <w:color w:val="0D1B2E"/>
        </w:rPr>
        <w:t>Pitfalls the book calls out</w:t>
      </w:r>
    </w:p>
    <w:p>
      <w:pPr>
        <w:pStyle w:val="ListBullet"/>
      </w:pPr>
      <w:r>
        <w:rPr>
          <w:sz w:val="22"/>
        </w:rPr>
        <w:t>Dropping a login before the 30-day observation — dependencies surface against production traffic, not documentation.</w:t>
      </w:r>
    </w:p>
    <w:p>
      <w:pPr>
        <w:pStyle w:val="ListBullet"/>
      </w:pPr>
      <w:r>
        <w:rPr>
          <w:sz w:val="22"/>
        </w:rPr>
        <w:t>gMSA or vault-managed service principals as "modernization" — both re-anchor to AD or preserve a bootstrap credential.</w:t>
      </w:r>
    </w:p>
    <w:p>
      <w:pPr>
        <w:pStyle w:val="ListBullet"/>
      </w:pPr>
      <w:r>
        <w:rPr>
          <w:sz w:val="22"/>
        </w:rPr>
        <w:t xml:space="preserve">Linked servers with </w:t>
      </w:r>
      <w:r>
        <w:rPr>
          <w:rFonts w:ascii="Consolas" w:hAnsi="Consolas"/>
          <w:sz w:val="22"/>
        </w:rPr>
        <w:t>SELF</w:t>
      </w:r>
      <w:r>
        <w:rPr>
          <w:sz w:val="22"/>
        </w:rPr>
        <w:t xml:space="preserve"> passthrough silently propagating NTLM.</w:t>
      </w:r>
    </w:p>
    <w:p>
      <w:pPr>
        <w:pStyle w:val="ListBullet"/>
      </w:pPr>
      <w:r>
        <w:rPr>
          <w:sz w:val="22"/>
        </w:rPr>
        <w:t xml:space="preserve">Leaving </w:t>
      </w:r>
      <w:r>
        <w:rPr>
          <w:rFonts w:ascii="Consolas" w:hAnsi="Consolas"/>
          <w:sz w:val="22"/>
        </w:rPr>
        <w:t>sa</w:t>
      </w:r>
      <w:r>
        <w:rPr>
          <w:sz w:val="22"/>
        </w:rPr>
        <w:t xml:space="preserve"> enabled, or assigning new applications to Class 4.</w:t>
      </w:r>
    </w:p>
    <w:p>
      <w:pPr>
        <w:pStyle w:val="Heading3"/>
      </w:pPr>
      <w:r>
        <w:rPr>
          <w:color w:val="0D1B2E"/>
        </w:rPr>
        <w:t>Vendor training</w:t>
      </w:r>
    </w:p>
    <w:p>
      <w:pPr>
        <w:spacing w:before="80" w:after="80"/>
      </w:pPr>
      <w:r>
        <w:rPr>
          <w:sz w:val="22"/>
        </w:rPr>
        <w:t>SC-300, DP-300.</w:t>
      </w:r>
    </w:p>
    <w:p>
      <w:pPr>
        <w:spacing w:before="80" w:after="80"/>
      </w:pPr>
      <w:r>
        <w:rPr>
          <w:b/>
          <w:sz w:val="22"/>
        </w:rPr>
        <w:t>Previous:</w:t>
      </w:r>
      <w:r>
        <w:rPr>
          <w:sz w:val="22"/>
        </w:rPr>
        <w:t xml:space="preserve"> Book 06 · </w:t>
      </w:r>
      <w:r>
        <w:rPr>
          <w:b/>
          <w:sz w:val="22"/>
        </w:rPr>
        <w:t>Next:</w:t>
      </w:r>
      <w:r>
        <w:rPr>
          <w:sz w:val="22"/>
        </w:rPr>
        <w:t xml:space="preserve"> Book 08 — SQL Server Implementation Guide</w:t>
      </w:r>
    </w:p>
    <w:p>
      <w:r>
        <w:br w:type="page"/>
      </w:r>
    </w:p>
    <w:p>
      <w:pPr>
        <w:pStyle w:val="Heading1"/>
      </w:pPr>
      <w:r>
        <w:rPr>
          <w:color w:val="0D1B2E"/>
        </w:rPr>
        <w:t>Book 08 — SQL Server Implementation Guide</w:t>
      </w:r>
    </w:p>
    <w:p>
      <w:r>
        <w:rPr>
          <w:i/>
          <w:color w:val="5A5A5A"/>
          <w:sz w:val="24"/>
        </w:rPr>
        <w:t>AAN module: the ten-runbook operational companion to Book 07</w:t>
      </w:r>
    </w:p>
    <w:p>
      <w:r>
        <w:rPr>
          <w:color w:val="1E8C8C"/>
          <w:sz w:val="18"/>
        </w:rPr>
        <w:t>Federal AAN Training Program — companion material for the federal AAN book series; not part of UIAO.</w:t>
      </w:r>
    </w:p>
    <w:p>
      <w:pPr>
        <w:spacing w:before="80" w:after="80"/>
      </w:pPr>
      <w:r>
        <w:rPr>
          <w:b/>
          <w:sz w:val="22"/>
        </w:rPr>
        <w:t>Source:</w:t>
      </w:r>
      <w:r>
        <w:rPr>
          <w:sz w:val="22"/>
        </w:rPr>
        <w:t xml:space="preserve"> Book_08 SQL Server Implementation Guide &lt;https://github.com/WhalerMike/uiao/blob/main/inbox/Application%20Aware%20Networking/Book_08_FedAAN_SQL_Server_Implementation_Guide.qmd&gt; · </w:t>
      </w:r>
      <w:r>
        <w:rPr>
          <w:b/>
          <w:sz w:val="22"/>
        </w:rPr>
        <w:t>Evidence slot:</w:t>
      </w:r>
      <w:r>
        <w:rPr>
          <w:sz w:val="22"/>
        </w:rPr>
        <w:t xml:space="preserve"> procedural evidence for slot 1 (Book 07) · </w:t>
      </w:r>
      <w:r>
        <w:rPr>
          <w:b/>
          <w:sz w:val="22"/>
        </w:rPr>
        <w:t>Track modules:</w:t>
      </w:r>
      <w:r>
        <w:rPr>
          <w:sz w:val="22"/>
        </w:rPr>
        <w:t xml:space="preserve"> A1, B4</w:t>
      </w:r>
    </w:p>
    <w:p>
      <w:pPr>
        <w:pStyle w:val="Heading3"/>
      </w:pPr>
      <w:r>
        <w:rPr>
          <w:color w:val="0D1B2E"/>
        </w:rPr>
        <w:t>Scope</w:t>
      </w:r>
    </w:p>
    <w:p>
      <w:pPr>
        <w:spacing w:before="80" w:after="80"/>
      </w:pPr>
      <w:r>
        <w:rPr>
          <w:sz w:val="22"/>
        </w:rPr>
        <w:t xml:space="preserve">The operational companion to Book 07: ten sequential runbooks with commands, T-SQL/PowerShell scripts, and configuration templates for Arc enrollment, login migration, NTLM elimination, Conditional Access, application chain updates, monitoring, and certificate discovery. Thesis: the migration is executable safely because </w:t>
      </w:r>
      <w:r>
        <w:rPr>
          <w:b/>
          <w:sz w:val="22"/>
        </w:rPr>
        <w:t>every destructive action has a documented undo path, gated by hard checkpoints</w:t>
      </w:r>
      <w:r>
        <w:rPr>
          <w:sz w:val="22"/>
        </w:rPr>
        <w:t xml:space="preserve"> — the first irreversible action (</w:t>
      </w:r>
      <w:r>
        <w:rPr>
          <w:rFonts w:ascii="Consolas" w:hAnsi="Consolas"/>
          <w:sz w:val="22"/>
        </w:rPr>
        <w:t>DROP LOGIN</w:t>
      </w:r>
      <w:r>
        <w:rPr>
          <w:sz w:val="22"/>
        </w:rPr>
        <w:t>) sits behind a 30-day observation gate.</w:t>
      </w:r>
    </w:p>
    <w:p>
      <w:pPr>
        <w:pStyle w:val="Heading3"/>
      </w:pPr>
      <w:r>
        <w:rPr>
          <w:color w:val="0D1B2E"/>
        </w:rPr>
        <w:t>Learning objectives</w:t>
      </w:r>
    </w:p>
    <w:p>
      <w:pPr>
        <w:pStyle w:val="ListBullet"/>
      </w:pPr>
      <w:r>
        <w:rPr>
          <w:sz w:val="22"/>
        </w:rPr>
        <w:t>Verify prerequisites: Azure endpoints, Arc onboarding role, toolchain (Azure CLI ≥2.50, SSMS 19+, sqlcmd, setspn), dedicated service accounts.</w:t>
      </w:r>
    </w:p>
    <w:p>
      <w:pPr>
        <w:pStyle w:val="ListBullet"/>
      </w:pPr>
      <w:r>
        <w:rPr>
          <w:sz w:val="22"/>
        </w:rPr>
        <w:t xml:space="preserve">Discover the estate via SPN inventory, audit auth schemes with </w:t>
      </w:r>
      <w:r>
        <w:rPr>
          <w:rFonts w:ascii="Consolas" w:hAnsi="Consolas"/>
          <w:sz w:val="22"/>
        </w:rPr>
        <w:t>sys.dm_exec_sessions</w:t>
      </w:r>
      <w:r>
        <w:rPr>
          <w:sz w:val="22"/>
        </w:rPr>
        <w:t>, and assign retain/consolidate/retire dispositions.</w:t>
      </w:r>
    </w:p>
    <w:p>
      <w:pPr>
        <w:pStyle w:val="ListBullet"/>
      </w:pPr>
      <w:r>
        <w:rPr>
          <w:sz w:val="22"/>
        </w:rPr>
        <w:t xml:space="preserve">Enroll a server in Arc, install the </w:t>
      </w:r>
      <w:r>
        <w:rPr>
          <w:rFonts w:ascii="Consolas" w:hAnsi="Consolas"/>
          <w:sz w:val="22"/>
        </w:rPr>
        <w:t>WindowsAgent.SqlServer</w:t>
      </w:r>
      <w:r>
        <w:rPr>
          <w:sz w:val="22"/>
        </w:rPr>
        <w:t xml:space="preserve"> extension, validate the Managed Identity token endpoint (localhost:40342), and enable the external authentication provider.</w:t>
      </w:r>
    </w:p>
    <w:p>
      <w:pPr>
        <w:pStyle w:val="ListBullet"/>
      </w:pPr>
      <w:r>
        <w:rPr>
          <w:sz w:val="22"/>
        </w:rPr>
        <w:t>Execute the four-phase login migration in T-SQL with a tracking table and satisfy the five closure conditions of the authentication audit.</w:t>
      </w:r>
    </w:p>
    <w:p>
      <w:pPr>
        <w:pStyle w:val="ListBullet"/>
      </w:pPr>
      <w:r>
        <w:rPr>
          <w:sz w:val="22"/>
        </w:rPr>
        <w:t xml:space="preserve">Remediate NTLM: register all four SPN variants, fix </w:t>
      </w:r>
      <w:r>
        <w:rPr>
          <w:rFonts w:ascii="Consolas" w:hAnsi="Consolas"/>
          <w:sz w:val="22"/>
        </w:rPr>
        <w:t>uses_self_credential</w:t>
      </w:r>
      <w:r>
        <w:rPr>
          <w:sz w:val="22"/>
        </w:rPr>
        <w:t xml:space="preserve"> linked servers, set </w:t>
      </w:r>
      <w:r>
        <w:rPr>
          <w:rFonts w:ascii="Consolas" w:hAnsi="Consolas"/>
          <w:sz w:val="22"/>
        </w:rPr>
        <w:t>LmCompatibilityLevel = 5</w:t>
      </w:r>
      <w:r>
        <w:rPr>
          <w:sz w:val="22"/>
        </w:rPr>
        <w:t>.</w:t>
      </w:r>
    </w:p>
    <w:p>
      <w:pPr>
        <w:pStyle w:val="ListBullet"/>
      </w:pPr>
      <w:r>
        <w:rPr>
          <w:sz w:val="22"/>
        </w:rPr>
        <w:t>Build the Entra group naming convention, dynamic membership rules, and the two Conditional Access policies (compliant device; admin MFA).</w:t>
      </w:r>
    </w:p>
    <w:p>
      <w:pPr>
        <w:pStyle w:val="ListBullet"/>
      </w:pPr>
      <w:r>
        <w:rPr>
          <w:sz w:val="22"/>
        </w:rPr>
        <w:t>Schedule drift-detection queries and produce the daily JSON compliance record.</w:t>
      </w:r>
    </w:p>
    <w:p>
      <w:pPr>
        <w:pStyle w:val="Heading3"/>
      </w:pPr>
      <w:r>
        <w:rPr>
          <w:color w:val="0D1B2E"/>
        </w:rPr>
        <w:t>Key concepts</w:t>
      </w:r>
    </w:p>
    <w:p>
      <w:pPr>
        <w:pStyle w:val="ListBullet"/>
      </w:pPr>
      <w:r>
        <w:rPr>
          <w:sz w:val="22"/>
        </w:rPr>
        <w:t xml:space="preserve">Ten-runbook run order with the consolidation gate as a </w:t>
      </w:r>
      <w:r>
        <w:rPr>
          <w:b/>
          <w:sz w:val="22"/>
        </w:rPr>
        <w:t>real gate</w:t>
      </w:r>
      <w:r>
        <w:rPr>
          <w:sz w:val="22"/>
        </w:rPr>
        <w:t>.</w:t>
      </w:r>
    </w:p>
    <w:p>
      <w:pPr>
        <w:pStyle w:val="ListBullet"/>
      </w:pPr>
      <w:r>
        <w:rPr>
          <w:sz w:val="22"/>
        </w:rPr>
        <w:t xml:space="preserve">Safety model: everything before </w:t>
      </w:r>
      <w:r>
        <w:rPr>
          <w:rFonts w:ascii="Consolas" w:hAnsi="Consolas"/>
          <w:sz w:val="22"/>
        </w:rPr>
        <w:t>DROP LOGIN</w:t>
      </w:r>
      <w:r>
        <w:rPr>
          <w:sz w:val="22"/>
        </w:rPr>
        <w:t xml:space="preserve"> is reversible.</w:t>
      </w:r>
    </w:p>
    <w:p>
      <w:pPr>
        <w:pStyle w:val="ListBullet"/>
      </w:pPr>
      <w:r>
        <w:rPr>
          <w:sz w:val="22"/>
        </w:rPr>
        <w:t>Arc enrollment is per-server, not per-instance; SQL 2019 ESU free via Arc; SQL 2022 as target.</w:t>
      </w:r>
    </w:p>
    <w:p>
      <w:pPr>
        <w:pStyle w:val="ListBullet"/>
      </w:pPr>
      <w:r>
        <w:rPr>
          <w:sz w:val="22"/>
        </w:rPr>
        <w:t>Group naming convention (</w:t>
      </w:r>
      <w:r>
        <w:rPr>
          <w:rFonts w:ascii="Consolas" w:hAnsi="Consolas"/>
          <w:sz w:val="22"/>
        </w:rPr>
        <w:t>SQL-{database}-ReadWrite</w:t>
      </w:r>
      <w:r>
        <w:rPr>
          <w:sz w:val="22"/>
        </w:rPr>
        <w:t xml:space="preserve">, </w:t>
      </w:r>
      <w:r>
        <w:rPr>
          <w:rFonts w:ascii="Consolas" w:hAnsi="Consolas"/>
          <w:sz w:val="22"/>
        </w:rPr>
        <w:t>SQL-SVC-{application}</w:t>
      </w:r>
      <w:r>
        <w:rPr>
          <w:sz w:val="22"/>
        </w:rPr>
        <w:t>); Azure SQL App ID for Conditional Access targeting.</w:t>
      </w:r>
    </w:p>
    <w:p>
      <w:pPr>
        <w:pStyle w:val="ListBullet"/>
      </w:pPr>
      <w:r>
        <w:rPr>
          <w:sz w:val="22"/>
        </w:rPr>
        <w:t xml:space="preserve">Certificate discovery (TLS thumbprint, ADCS-issuer detection, pinning search) </w:t>
      </w:r>
      <w:r>
        <w:rPr>
          <w:b/>
          <w:sz w:val="22"/>
        </w:rPr>
        <w:t>before</w:t>
      </w:r>
      <w:r>
        <w:rPr>
          <w:sz w:val="22"/>
        </w:rPr>
        <w:t xml:space="preserve"> any domain unjoin.</w:t>
      </w:r>
    </w:p>
    <w:p>
      <w:pPr>
        <w:pStyle w:val="Heading3"/>
      </w:pPr>
      <w:r>
        <w:rPr>
          <w:color w:val="0D1B2E"/>
        </w:rPr>
        <w:t>Implementation sequence (the run order)</w:t>
      </w:r>
    </w:p>
    <w:p>
      <w:pPr>
        <w:pStyle w:val="ListNumber"/>
      </w:pPr>
      <w:r>
        <w:rPr>
          <w:sz w:val="22"/>
        </w:rPr>
        <w:t>Runbook 01: prerequisites, toolchain, service-account baseline.</w:t>
      </w:r>
    </w:p>
    <w:p>
      <w:pPr>
        <w:pStyle w:val="ListNumber"/>
      </w:pPr>
      <w:r>
        <w:rPr>
          <w:sz w:val="22"/>
        </w:rPr>
        <w:t>Runbook 02: estate discovery and consolidation gate.</w:t>
      </w:r>
    </w:p>
    <w:p>
      <w:pPr>
        <w:pStyle w:val="ListNumber"/>
      </w:pPr>
      <w:r>
        <w:rPr>
          <w:sz w:val="22"/>
        </w:rPr>
        <w:t>Runbook 03: authentication audit — inventories, NTLM event export, five closure conditions.</w:t>
      </w:r>
    </w:p>
    <w:p>
      <w:pPr>
        <w:pStyle w:val="ListNumber"/>
      </w:pPr>
      <w:r>
        <w:rPr>
          <w:sz w:val="22"/>
        </w:rPr>
        <w:t>Runbook 04: Arc enrollment, SQL extension, Managed Identity validation.</w:t>
      </w:r>
    </w:p>
    <w:p>
      <w:pPr>
        <w:pStyle w:val="ListNumber"/>
      </w:pPr>
      <w:r>
        <w:rPr>
          <w:sz w:val="22"/>
        </w:rPr>
        <w:t xml:space="preserve">Runbook 05: login migration parallel run and </w:t>
      </w:r>
      <w:r>
        <w:rPr>
          <w:rFonts w:ascii="Consolas" w:hAnsi="Consolas"/>
          <w:sz w:val="22"/>
        </w:rPr>
        <w:t>sa</w:t>
      </w:r>
      <w:r>
        <w:rPr>
          <w:sz w:val="22"/>
        </w:rPr>
        <w:t xml:space="preserve"> handling.</w:t>
      </w:r>
    </w:p>
    <w:p>
      <w:pPr>
        <w:pStyle w:val="ListNumber"/>
      </w:pPr>
      <w:r>
        <w:rPr>
          <w:sz w:val="22"/>
        </w:rPr>
        <w:t>Runbook 06: SPN fixes, linked-server remediation, NTLMv1 block.</w:t>
      </w:r>
    </w:p>
    <w:p>
      <w:pPr>
        <w:pStyle w:val="ListNumber"/>
      </w:pPr>
      <w:r>
        <w:rPr>
          <w:sz w:val="22"/>
        </w:rPr>
        <w:t>Runbooks 07–08: Entra groups / Conditional Access; connection strings and ODBC.</w:t>
      </w:r>
    </w:p>
    <w:p>
      <w:pPr>
        <w:pStyle w:val="ListNumber"/>
      </w:pPr>
      <w:r>
        <w:rPr>
          <w:sz w:val="22"/>
        </w:rPr>
        <w:t>Runbooks 09–10: monitoring queries and JSON compliance export; TLS certificate and ADCS/pinning inventory.</w:t>
      </w:r>
    </w:p>
    <w:p>
      <w:pPr>
        <w:pStyle w:val="Heading3"/>
      </w:pPr>
      <w:r>
        <w:rPr>
          <w:color w:val="0D1B2E"/>
        </w:rPr>
        <w:t>Compliance hooks</w:t>
      </w:r>
    </w:p>
    <w:p>
      <w:pPr>
        <w:spacing w:before="80" w:after="80"/>
      </w:pPr>
      <w:r>
        <w:rPr>
          <w:sz w:val="22"/>
        </w:rPr>
        <w:t>Inherits Book 07's framework (IA-2, IA-5, AU-2, AU-12, CA-7, CM-8 KSIs under FedRAMP 20x); the runbook-12 compliance record and checklist are the operational evidence stream.</w:t>
      </w:r>
    </w:p>
    <w:p>
      <w:pPr>
        <w:pStyle w:val="Heading3"/>
      </w:pPr>
      <w:r>
        <w:rPr>
          <w:color w:val="0D1B2E"/>
        </w:rPr>
        <w:t>Prerequisites</w:t>
      </w:r>
    </w:p>
    <w:p>
      <w:pPr>
        <w:spacing w:before="80" w:after="80"/>
      </w:pPr>
      <w:r>
        <w:rPr>
          <w:sz w:val="22"/>
        </w:rPr>
        <w:t>Book 07 first, for the conceptual framework. An Arc-enrolled SQL Server 2022 test environment (2019 + Entra extension acceptable only for runbooks 03–04).</w:t>
      </w:r>
    </w:p>
    <w:p>
      <w:pPr>
        <w:pStyle w:val="Heading3"/>
      </w:pPr>
      <w:r>
        <w:rPr>
          <w:color w:val="0D1B2E"/>
        </w:rPr>
        <w:t>Labs</w:t>
      </w:r>
    </w:p>
    <w:p>
      <w:pPr>
        <w:pStyle w:val="ListNumber"/>
      </w:pPr>
      <w:r>
        <w:rPr>
          <w:sz w:val="22"/>
        </w:rPr>
        <w:t>Run runbooks 02–03 end-to-end in a lab domain: SPN-based instance discovery, auth-scheme audit, NTLM event export.</w:t>
      </w:r>
    </w:p>
    <w:p>
      <w:pPr>
        <w:pStyle w:val="ListNumber"/>
      </w:pPr>
      <w:r>
        <w:rPr>
          <w:sz w:val="22"/>
        </w:rPr>
        <w:t>Arc-enroll a test server, install the SQL extension, validate the token endpoint, create the first Entra admin login.</w:t>
      </w:r>
    </w:p>
    <w:p>
      <w:pPr>
        <w:pStyle w:val="ListNumber"/>
      </w:pPr>
      <w:r>
        <w:rPr>
          <w:sz w:val="22"/>
        </w:rPr>
        <w:t>Implement the monitoring queries and daily JSON compliance export; trigger an alert by creating a rogue SQL login.</w:t>
      </w:r>
    </w:p>
    <w:p>
      <w:pPr>
        <w:pStyle w:val="Heading3"/>
      </w:pPr>
      <w:r>
        <w:rPr>
          <w:color w:val="0D1B2E"/>
        </w:rPr>
        <w:t>Pitfalls the book calls out</w:t>
      </w:r>
    </w:p>
    <w:p>
      <w:pPr>
        <w:pStyle w:val="ListBullet"/>
      </w:pPr>
      <w:r>
        <w:rPr>
          <w:sz w:val="22"/>
        </w:rPr>
        <w:t>Running runbooks out of order — later ones depend on earlier state; the consolidation gate must not be skipped.</w:t>
      </w:r>
    </w:p>
    <w:p>
      <w:pPr>
        <w:pStyle w:val="ListBullet"/>
      </w:pPr>
      <w:r>
        <w:rPr>
          <w:sz w:val="22"/>
        </w:rPr>
        <w:t>Executing against production without test-environment validation.</w:t>
      </w:r>
    </w:p>
    <w:p>
      <w:pPr>
        <w:pStyle w:val="ListBullet"/>
      </w:pPr>
      <w:r>
        <w:rPr>
          <w:sz w:val="22"/>
        </w:rPr>
        <w:t xml:space="preserve">SQL services running as </w:t>
      </w:r>
      <w:r>
        <w:rPr>
          <w:rFonts w:ascii="Consolas" w:hAnsi="Consolas"/>
          <w:sz w:val="22"/>
        </w:rPr>
        <w:t>NETWORK SERVICE</w:t>
      </w:r>
      <w:r>
        <w:rPr>
          <w:sz w:val="22"/>
        </w:rPr>
        <w:t>/</w:t>
      </w:r>
      <w:r>
        <w:rPr>
          <w:rFonts w:ascii="Consolas" w:hAnsi="Consolas"/>
          <w:sz w:val="22"/>
        </w:rPr>
        <w:t>LOCAL SYSTEM</w:t>
      </w:r>
      <w:r>
        <w:rPr>
          <w:sz w:val="22"/>
        </w:rPr>
        <w:t xml:space="preserve"> — blocks SPN registration and Arc work until dedicated accounts exist.</w:t>
      </w:r>
    </w:p>
    <w:p>
      <w:pPr>
        <w:pStyle w:val="ListBullet"/>
      </w:pPr>
      <w:r>
        <w:rPr>
          <w:sz w:val="22"/>
        </w:rPr>
        <w:t>Domain-unjoining before ADCS certificate replacement and pin-clearing.</w:t>
      </w:r>
    </w:p>
    <w:p>
      <w:pPr>
        <w:pStyle w:val="Heading3"/>
      </w:pPr>
      <w:r>
        <w:rPr>
          <w:color w:val="0D1B2E"/>
        </w:rPr>
        <w:t>Vendor training</w:t>
      </w:r>
    </w:p>
    <w:p>
      <w:pPr>
        <w:spacing w:before="80" w:after="80"/>
      </w:pPr>
      <w:r>
        <w:rPr>
          <w:sz w:val="22"/>
        </w:rPr>
        <w:t>DP-300.</w:t>
      </w:r>
    </w:p>
    <w:p>
      <w:pPr>
        <w:spacing w:before="80" w:after="80"/>
      </w:pPr>
      <w:r>
        <w:rPr>
          <w:b/>
          <w:sz w:val="22"/>
        </w:rPr>
        <w:t>Previous:</w:t>
      </w:r>
      <w:r>
        <w:rPr>
          <w:sz w:val="22"/>
        </w:rPr>
        <w:t xml:space="preserve"> Book 07 · </w:t>
      </w:r>
      <w:r>
        <w:rPr>
          <w:b/>
          <w:sz w:val="22"/>
        </w:rPr>
        <w:t>Next:</w:t>
      </w:r>
      <w:r>
        <w:rPr>
          <w:sz w:val="22"/>
        </w:rPr>
        <w:t xml:space="preserve"> Book 09 — Database Consolidation &amp; Network Physics</w:t>
      </w:r>
    </w:p>
    <w:p>
      <w:r>
        <w:br w:type="page"/>
      </w:r>
    </w:p>
    <w:p>
      <w:pPr>
        <w:pStyle w:val="Heading1"/>
      </w:pPr>
      <w:r>
        <w:rPr>
          <w:color w:val="0D1B2E"/>
        </w:rPr>
        <w:t>Book 09 — Database Consolidation &amp; Network Physics</w:t>
      </w:r>
    </w:p>
    <w:p>
      <w:r>
        <w:rPr>
          <w:i/>
          <w:color w:val="5A5A5A"/>
          <w:sz w:val="24"/>
        </w:rPr>
        <w:t>AAN module: logical vs. physical centralization under the speed-of-light constraint</w:t>
      </w:r>
    </w:p>
    <w:p>
      <w:r>
        <w:rPr>
          <w:color w:val="1E8C8C"/>
          <w:sz w:val="18"/>
        </w:rPr>
        <w:t>Federal AAN Training Program — companion material for the federal AAN book series; not part of UIAO.</w:t>
      </w:r>
    </w:p>
    <w:p>
      <w:pPr>
        <w:spacing w:before="80" w:after="80"/>
      </w:pPr>
      <w:r>
        <w:rPr>
          <w:b/>
          <w:sz w:val="22"/>
        </w:rPr>
        <w:t>Source:</w:t>
      </w:r>
      <w:r>
        <w:rPr>
          <w:sz w:val="22"/>
        </w:rPr>
        <w:t xml:space="preserve"> Book_09 Database Consolidation &amp; Network Physics &lt;https://github.com/WhalerMike/uiao/blob/main/inbox/Application%20Aware%20Networking/Book_09_FedAAN_Database_Consolidation_Network_Physics.qmd&gt; · </w:t>
      </w:r>
      <w:r>
        <w:rPr>
          <w:b/>
          <w:sz w:val="22"/>
        </w:rPr>
        <w:t>Evidence slot:</w:t>
      </w:r>
      <w:r>
        <w:rPr>
          <w:sz w:val="22"/>
        </w:rPr>
        <w:t xml:space="preserve"> 3 — network (KSI-CNA, SC-8 / CA-7) · </w:t>
      </w:r>
      <w:r>
        <w:rPr>
          <w:b/>
          <w:sz w:val="22"/>
        </w:rPr>
        <w:t>Track modules:</w:t>
      </w:r>
      <w:r>
        <w:rPr>
          <w:sz w:val="22"/>
        </w:rPr>
        <w:t xml:space="preserve"> A3, B4</w:t>
      </w:r>
    </w:p>
    <w:p>
      <w:pPr>
        <w:pStyle w:val="Heading3"/>
      </w:pPr>
      <w:r>
        <w:rPr>
          <w:color w:val="0D1B2E"/>
        </w:rPr>
        <w:t>Scope</w:t>
      </w:r>
    </w:p>
    <w:p>
      <w:pPr>
        <w:spacing w:before="80" w:after="80"/>
      </w:pPr>
      <w:r>
        <w:rPr>
          <w:sz w:val="22"/>
        </w:rPr>
        <w:t xml:space="preserve">Where federal databases should live after the identity modernization of Books 07–08. </w:t>
      </w:r>
      <w:r>
        <w:rPr>
          <w:b/>
          <w:sz w:val="22"/>
        </w:rPr>
        <w:t>Logical centralization (one authoritative source per fact) is almost always correct; physical centralization is constrained by the speed-of-light propagation floor.</w:t>
      </w:r>
      <w:r>
        <w:rPr>
          <w:sz w:val="22"/>
        </w:rPr>
        <w:t xml:space="preserve"> Match each workload's consistency class to a network transport class, use SD-WAN to close the addressable latency gap, and use token-based security to consolidate without perimeter-driven fragmentation.</w:t>
      </w:r>
    </w:p>
    <w:p>
      <w:pPr>
        <w:pStyle w:val="Heading3"/>
      </w:pPr>
      <w:r>
        <w:rPr>
          <w:color w:val="0D1B2E"/>
        </w:rPr>
        <w:t>Learning objectives</w:t>
      </w:r>
    </w:p>
    <w:p>
      <w:pPr>
        <w:pStyle w:val="ListBullet"/>
      </w:pPr>
      <w:r>
        <w:rPr>
          <w:sz w:val="22"/>
        </w:rPr>
        <w:t>Distinguish logical from physical centralization and explain why conflating them causes unnecessary cost or fragmentation.</w:t>
      </w:r>
    </w:p>
    <w:p>
      <w:pPr>
        <w:pStyle w:val="ListBullet"/>
      </w:pPr>
      <w:r>
        <w:rPr>
          <w:sz w:val="22"/>
        </w:rPr>
        <w:t>Compute the physics floor for a fiber route (~200,000 km/s) and separate it from the addressable gap SD-WAN can attack.</w:t>
      </w:r>
    </w:p>
    <w:p>
      <w:pPr>
        <w:pStyle w:val="ListBullet"/>
      </w:pPr>
      <w:r>
        <w:rPr>
          <w:sz w:val="22"/>
        </w:rPr>
        <w:t>Classify workloads into the six consistency classes (strong/serializable, synchronous, async, bounded staleness, causal/CRDT, eventual) and pick a matching transport class.</w:t>
      </w:r>
    </w:p>
    <w:p>
      <w:pPr>
        <w:pStyle w:val="ListBullet"/>
      </w:pPr>
      <w:r>
        <w:rPr>
          <w:sz w:val="22"/>
        </w:rPr>
        <w:t>Design lean/fat traffic separation for database clusters (consensus heartbeats vs. backups/replication) with SD-WAN classification and DSCP marking.</w:t>
      </w:r>
    </w:p>
    <w:p>
      <w:pPr>
        <w:pStyle w:val="ListBullet"/>
      </w:pPr>
      <w:r>
        <w:rPr>
          <w:sz w:val="22"/>
        </w:rPr>
        <w:t>Explain how Entra token scope replaces the network perimeter as the primary database access control, enabling consolidation across segments.</w:t>
      </w:r>
    </w:p>
    <w:p>
      <w:pPr>
        <w:pStyle w:val="ListBullet"/>
      </w:pPr>
      <w:r>
        <w:rPr>
          <w:sz w:val="22"/>
        </w:rPr>
        <w:t>Design an SSOT architecture with one canonical source and multiple consistency-class projections.</w:t>
      </w:r>
    </w:p>
    <w:p>
      <w:pPr>
        <w:pStyle w:val="Heading3"/>
      </w:pPr>
      <w:r>
        <w:rPr>
          <w:color w:val="0D1B2E"/>
        </w:rPr>
        <w:t>Key concepts</w:t>
      </w:r>
    </w:p>
    <w:p>
      <w:pPr>
        <w:pStyle w:val="ListBullet"/>
      </w:pPr>
      <w:r>
        <w:rPr>
          <w:sz w:val="22"/>
        </w:rPr>
        <w:t>The speed-of-light tax: physics floor vs. addressable gap (e.g., DC–LA 27 ms floor vs. 65–90 ms observed).</w:t>
      </w:r>
    </w:p>
    <w:p>
      <w:pPr>
        <w:pStyle w:val="ListBullet"/>
      </w:pPr>
      <w:r>
        <w:rPr>
          <w:sz w:val="22"/>
        </w:rPr>
        <w:t>SD-WAN near-geodesic routing, FEC/packet duplication, traffic-class separation.</w:t>
      </w:r>
    </w:p>
    <w:p>
      <w:pPr>
        <w:pStyle w:val="ListBullet"/>
      </w:pPr>
      <w:r>
        <w:rPr>
          <w:sz w:val="22"/>
        </w:rPr>
        <w:t>The lean/fat design rule for replication topology.</w:t>
      </w:r>
    </w:p>
    <w:p>
      <w:pPr>
        <w:pStyle w:val="ListBullet"/>
      </w:pPr>
      <w:r>
        <w:rPr>
          <w:sz w:val="22"/>
        </w:rPr>
        <w:t>Six consistency classes mapped to transport classes; the federal workload classification table.</w:t>
      </w:r>
    </w:p>
    <w:p>
      <w:pPr>
        <w:pStyle w:val="ListBullet"/>
      </w:pPr>
      <w:r>
        <w:rPr>
          <w:sz w:val="22"/>
        </w:rPr>
        <w:t>"Physics Constrains, Token Liberates" and the other Federal Data Architecture Principles.</w:t>
      </w:r>
    </w:p>
    <w:p>
      <w:pPr>
        <w:pStyle w:val="ListBullet"/>
      </w:pPr>
      <w:r>
        <w:rPr>
          <w:sz w:val="22"/>
        </w:rPr>
        <w:t>SSOT: one truth, many projections.</w:t>
      </w:r>
    </w:p>
    <w:p>
      <w:pPr>
        <w:pStyle w:val="Heading3"/>
      </w:pPr>
      <w:r>
        <w:rPr>
          <w:color w:val="0D1B2E"/>
        </w:rPr>
        <w:t>Reading sequence</w:t>
      </w:r>
    </w:p>
    <w:p>
      <w:pPr>
        <w:spacing w:before="80" w:after="80"/>
      </w:pPr>
      <w:r>
        <w:rPr>
          <w:sz w:val="22"/>
        </w:rPr>
        <w:t>Architecture/principles-shaped: consolidation premise → logical vs. physical distinction → speed-of-light constraints → SD-WAN as the database's network ally → token-based security as consolidation enabler → consistency-to-transport matching → the five principles → NIST closure.</w:t>
      </w:r>
    </w:p>
    <w:p>
      <w:pPr>
        <w:pStyle w:val="Heading3"/>
      </w:pPr>
      <w:r>
        <w:rPr>
          <w:color w:val="0D1B2E"/>
        </w:rPr>
        <w:t>Compliance hooks</w:t>
      </w:r>
    </w:p>
    <w:p>
      <w:pPr>
        <w:spacing w:before="80" w:after="80"/>
      </w:pPr>
      <w:r>
        <w:rPr>
          <w:sz w:val="22"/>
        </w:rPr>
        <w:t>SC-28 (TDE), SC-8 (TLS + Arc certificate), SC-5 (SD-WAN QoS / lean-fat), SI-12 (SSOT retention), CA-3 (token-scoped exchange), SA-8, AU-9 (geo-replicated audit logs), CP-9, CP-10.</w:t>
      </w:r>
    </w:p>
    <w:p>
      <w:pPr>
        <w:pStyle w:val="Heading3"/>
      </w:pPr>
      <w:r>
        <w:rPr>
          <w:color w:val="0D1B2E"/>
        </w:rPr>
        <w:t>Prerequisites</w:t>
      </w:r>
    </w:p>
    <w:p>
      <w:pPr>
        <w:spacing w:before="80" w:after="80"/>
      </w:pPr>
      <w:r>
        <w:rPr>
          <w:sz w:val="22"/>
        </w:rPr>
        <w:t>Books 01–06 (IPAM/DDI/PKI, SD-WAN/SASE) and Books 07–08 (SQL identity migration, Entra tokens, Managed Identity).</w:t>
      </w:r>
    </w:p>
    <w:p>
      <w:pPr>
        <w:pStyle w:val="Heading3"/>
      </w:pPr>
      <w:r>
        <w:rPr>
          <w:color w:val="0D1B2E"/>
        </w:rPr>
        <w:t>Labs</w:t>
      </w:r>
    </w:p>
    <w:p>
      <w:pPr>
        <w:pStyle w:val="ListNumber"/>
      </w:pPr>
      <w:r>
        <w:rPr>
          <w:sz w:val="22"/>
        </w:rPr>
        <w:t>Measure RTT across simulated WAN links; compute physics floor vs. addressable gap; demonstrate the latency cost of strong-consistency reads over a high-latency link vs. bounded-staleness replica reads.</w:t>
      </w:r>
    </w:p>
    <w:p>
      <w:pPr>
        <w:pStyle w:val="ListNumber"/>
      </w:pPr>
      <w:r>
        <w:rPr>
          <w:sz w:val="22"/>
        </w:rPr>
        <w:t>Configure DSCP marking to separate a bulk backup transfer from consensus/heartbeat traffic and show quorum stability under load.</w:t>
      </w:r>
    </w:p>
    <w:p>
      <w:pPr>
        <w:pStyle w:val="ListNumber"/>
      </w:pPr>
      <w:r>
        <w:rPr>
          <w:sz w:val="22"/>
        </w:rPr>
        <w:t>Build a replication-lag monitor that redirects reads to the primary when a replica exceeds its staleness bound.</w:t>
      </w:r>
    </w:p>
    <w:p>
      <w:pPr>
        <w:pStyle w:val="Heading3"/>
      </w:pPr>
      <w:r>
        <w:rPr>
          <w:color w:val="0D1B2E"/>
        </w:rPr>
        <w:t>Pitfalls the book calls out</w:t>
      </w:r>
    </w:p>
    <w:p>
      <w:pPr>
        <w:pStyle w:val="ListBullet"/>
      </w:pPr>
      <w:r>
        <w:rPr>
          <w:sz w:val="22"/>
        </w:rPr>
        <w:t>Globally distributed databases with strong consistency for all reads — the source of "mysteriously" high read latency.</w:t>
      </w:r>
    </w:p>
    <w:p>
      <w:pPr>
        <w:pStyle w:val="ListBullet"/>
      </w:pPr>
      <w:r>
        <w:rPr>
          <w:sz w:val="22"/>
        </w:rPr>
        <w:t>Operating without explicit consistency-class assignment (implicit strong-consistency-everywhere).</w:t>
      </w:r>
    </w:p>
    <w:p>
      <w:pPr>
        <w:pStyle w:val="ListBullet"/>
      </w:pPr>
      <w:r>
        <w:rPr>
          <w:sz w:val="22"/>
        </w:rPr>
        <w:t>Running lean and fat traffic on one path — backups delay quorum heartbeats and cause failover flapping.</w:t>
      </w:r>
    </w:p>
    <w:p>
      <w:pPr>
        <w:pStyle w:val="ListBullet"/>
      </w:pPr>
      <w:r>
        <w:rPr>
          <w:sz w:val="22"/>
        </w:rPr>
        <w:t>Maintaining the same fact independently in multiple systems instead of one canonical source with derived projections.</w:t>
      </w:r>
    </w:p>
    <w:p>
      <w:pPr>
        <w:pStyle w:val="Heading3"/>
      </w:pPr>
      <w:r>
        <w:rPr>
          <w:color w:val="0D1B2E"/>
        </w:rPr>
        <w:t>Vendor training</w:t>
      </w:r>
    </w:p>
    <w:p>
      <w:pPr>
        <w:spacing w:before="80" w:after="80"/>
      </w:pPr>
      <w:r>
        <w:rPr>
          <w:sz w:val="22"/>
        </w:rPr>
        <w:t>DP-300, AZ-700.</w:t>
      </w:r>
    </w:p>
    <w:p>
      <w:pPr>
        <w:spacing w:before="80" w:after="80"/>
      </w:pPr>
      <w:r>
        <w:rPr>
          <w:b/>
          <w:sz w:val="22"/>
        </w:rPr>
        <w:t>Previous:</w:t>
      </w:r>
      <w:r>
        <w:rPr>
          <w:sz w:val="22"/>
        </w:rPr>
        <w:t xml:space="preserve"> Book 08 · </w:t>
      </w:r>
      <w:r>
        <w:rPr>
          <w:b/>
          <w:sz w:val="22"/>
        </w:rPr>
        <w:t>Next:</w:t>
      </w:r>
      <w:r>
        <w:rPr>
          <w:sz w:val="22"/>
        </w:rPr>
        <w:t xml:space="preserve"> Book 10 — Privileged Access Management</w:t>
      </w:r>
    </w:p>
    <w:p>
      <w:r>
        <w:br w:type="page"/>
      </w:r>
    </w:p>
    <w:p>
      <w:pPr>
        <w:pStyle w:val="Heading1"/>
      </w:pPr>
      <w:r>
        <w:rPr>
          <w:color w:val="0D1B2E"/>
        </w:rPr>
        <w:t>Book 10 — Privileged Access Management</w:t>
      </w:r>
    </w:p>
    <w:p>
      <w:r>
        <w:rPr>
          <w:i/>
          <w:color w:val="5A5A5A"/>
          <w:sz w:val="24"/>
        </w:rPr>
        <w:t>AAN module: eliminating standing privilege with PIM, Arc JIT, PAWs, and break-glass design</w:t>
      </w:r>
    </w:p>
    <w:p>
      <w:r>
        <w:rPr>
          <w:color w:val="1E8C8C"/>
          <w:sz w:val="18"/>
        </w:rPr>
        <w:t>Federal AAN Training Program — companion material for the federal AAN book series; not part of UIAO.</w:t>
      </w:r>
    </w:p>
    <w:p>
      <w:pPr>
        <w:spacing w:before="80" w:after="80"/>
      </w:pPr>
      <w:r>
        <w:rPr>
          <w:b/>
          <w:sz w:val="22"/>
        </w:rPr>
        <w:t>Source:</w:t>
      </w:r>
      <w:r>
        <w:rPr>
          <w:sz w:val="22"/>
        </w:rPr>
        <w:t xml:space="preserve"> Book_10 Privileged Access Management &lt;https://github.com/WhalerMike/uiao/blob/main/inbox/Application%20Aware%20Networking/Book_10_FedAAN_Privileged_Access_Management.qmd&gt; · </w:t>
      </w:r>
      <w:r>
        <w:rPr>
          <w:b/>
          <w:sz w:val="22"/>
        </w:rPr>
        <w:t>Evidence slots:</w:t>
      </w:r>
      <w:r>
        <w:rPr>
          <w:sz w:val="22"/>
        </w:rPr>
        <w:t xml:space="preserve"> 1 — identity (KSI-IAM); 5 — endpoint (KSI-PIY) · </w:t>
      </w:r>
      <w:r>
        <w:rPr>
          <w:b/>
          <w:sz w:val="22"/>
        </w:rPr>
        <w:t>Track modules:</w:t>
      </w:r>
      <w:r>
        <w:rPr>
          <w:sz w:val="22"/>
        </w:rPr>
        <w:t xml:space="preserve"> A1, A5, B5</w:t>
      </w:r>
    </w:p>
    <w:p>
      <w:pPr>
        <w:pStyle w:val="Heading3"/>
      </w:pPr>
      <w:r>
        <w:rPr>
          <w:color w:val="0D1B2E"/>
        </w:rPr>
        <w:t>Scope</w:t>
      </w:r>
    </w:p>
    <w:p>
      <w:pPr>
        <w:spacing w:before="80" w:after="80"/>
      </w:pPr>
      <w:r>
        <w:rPr>
          <w:sz w:val="22"/>
        </w:rPr>
        <w:t xml:space="preserve">Closes the residual attack surface left after Books 01–09: </w:t>
      </w:r>
      <w:r>
        <w:rPr>
          <w:b/>
          <w:sz w:val="22"/>
        </w:rPr>
        <w:t>standing administrative privilege</w:t>
      </w:r>
      <w:r>
        <w:rPr>
          <w:sz w:val="22"/>
        </w:rPr>
        <w:t>. Even with token-based authentication everywhere, a standing Global Administrator is a strongly-authenticated standing target. The book implements Entra PIM just-in-time activation, Arc JIT server access, privileged access workstations (PAW), break-glass accounts, and session policy controls — reducing admin exposure from continuous to bounded and auditable.</w:t>
      </w:r>
    </w:p>
    <w:p>
      <w:pPr>
        <w:pStyle w:val="Heading3"/>
      </w:pPr>
      <w:r>
        <w:rPr>
          <w:color w:val="0D1B2E"/>
        </w:rPr>
        <w:t>Learning objectives</w:t>
      </w:r>
    </w:p>
    <w:p>
      <w:pPr>
        <w:pStyle w:val="ListBullet"/>
      </w:pPr>
      <w:r>
        <w:rPr>
          <w:sz w:val="22"/>
        </w:rPr>
        <w:t>Explain the distinction between authentication quality (Books 01–09) and authorization scope, and why Entra migration alone does not reduce standing privilege.</w:t>
      </w:r>
    </w:p>
    <w:p>
      <w:pPr>
        <w:pStyle w:val="ListBullet"/>
      </w:pPr>
      <w:r>
        <w:rPr>
          <w:sz w:val="22"/>
        </w:rPr>
        <w:t>Differentiate PIM eligible vs. active assignments and describe the five-stage activation flow (request, MFA, approval, time-limited activation, automatic deactivation).</w:t>
      </w:r>
    </w:p>
    <w:p>
      <w:pPr>
        <w:pStyle w:val="ListBullet"/>
      </w:pPr>
      <w:r>
        <w:rPr>
          <w:sz w:val="22"/>
        </w:rPr>
        <w:t>Enumerate standing role assignments via Microsoft Graph PowerShell and convert human accounts to eligible-only.</w:t>
      </w:r>
    </w:p>
    <w:p>
      <w:pPr>
        <w:pStyle w:val="ListBullet"/>
      </w:pPr>
      <w:r>
        <w:rPr>
          <w:sz w:val="22"/>
        </w:rPr>
        <w:t>Configure Arc JIT SSH/RDP (Virtual Machine Administrator Login role, no public ports) and disable local Administrator via Arc Run Command.</w:t>
      </w:r>
    </w:p>
    <w:p>
      <w:pPr>
        <w:pStyle w:val="ListBullet"/>
      </w:pPr>
      <w:r>
        <w:rPr>
          <w:sz w:val="22"/>
        </w:rPr>
        <w:t>Build a PAW baseline: Entra-joined dedicated hardware, Intune compliance policy (BitLocker, Secure Boot, TPM 2.0, WDAC, Credential Guard), and Conditional Access gating PIM activation on device compliance.</w:t>
      </w:r>
    </w:p>
    <w:p>
      <w:pPr>
        <w:pStyle w:val="ListBullet"/>
      </w:pPr>
      <w:r>
        <w:rPr>
          <w:sz w:val="22"/>
        </w:rPr>
        <w:t>Design break-glass accounts (two cloud-only standing Global Admins, FIDO2 keys, physical safe, CA exclusion, Sentinel alerting, quarterly testing).</w:t>
      </w:r>
    </w:p>
    <w:p>
      <w:pPr>
        <w:pStyle w:val="ListBullet"/>
      </w:pPr>
      <w:r>
        <w:rPr>
          <w:sz w:val="22"/>
        </w:rPr>
        <w:t>Implement AC-11/AC-12/IA-11 session controls: 15-minute lock, sign-in frequency, Authentication Context step-up MFA.</w:t>
      </w:r>
    </w:p>
    <w:p>
      <w:pPr>
        <w:pStyle w:val="Heading3"/>
      </w:pPr>
      <w:r>
        <w:rPr>
          <w:color w:val="0D1B2E"/>
        </w:rPr>
        <w:t>Key concepts</w:t>
      </w:r>
    </w:p>
    <w:p>
      <w:pPr>
        <w:pStyle w:val="ListBullet"/>
      </w:pPr>
      <w:r>
        <w:rPr>
          <w:sz w:val="22"/>
        </w:rPr>
        <w:t>The standing-privilege problem (with the Scattered Spider AA23-278A and Storm-0558 case studies).</w:t>
      </w:r>
    </w:p>
    <w:p>
      <w:pPr>
        <w:pStyle w:val="ListBullet"/>
      </w:pPr>
      <w:r>
        <w:rPr>
          <w:sz w:val="22"/>
        </w:rPr>
        <w:t>Role protection table: Global Admin, Privileged Role Admin, Security Admin, Exchange/SharePoint/Intune Admin, Azure Owner/Contributor.</w:t>
      </w:r>
    </w:p>
    <w:p>
      <w:pPr>
        <w:pStyle w:val="ListBullet"/>
      </w:pPr>
      <w:r>
        <w:rPr>
          <w:sz w:val="22"/>
        </w:rPr>
        <w:t>Arc JIT SSH/RDP through the Arc connectivity layer (</w:t>
      </w:r>
      <w:r>
        <w:rPr>
          <w:rFonts w:ascii="Consolas" w:hAnsi="Consolas"/>
          <w:sz w:val="22"/>
        </w:rPr>
        <w:t>az ssh arc</w:t>
      </w:r>
      <w:r>
        <w:rPr>
          <w:sz w:val="22"/>
        </w:rPr>
        <w:t>).</w:t>
      </w:r>
    </w:p>
    <w:p>
      <w:pPr>
        <w:pStyle w:val="ListBullet"/>
      </w:pPr>
      <w:r>
        <w:rPr>
          <w:sz w:val="22"/>
        </w:rPr>
        <w:t>PAW trust model — device identity as an authentication factor; WDAC allowlisting.</w:t>
      </w:r>
    </w:p>
    <w:p>
      <w:pPr>
        <w:pStyle w:val="ListBullet"/>
      </w:pPr>
      <w:r>
        <w:rPr>
          <w:sz w:val="22"/>
        </w:rPr>
        <w:t>Entra Authentication Context (</w:t>
      </w:r>
      <w:r>
        <w:rPr>
          <w:rFonts w:ascii="Consolas" w:hAnsi="Consolas"/>
          <w:sz w:val="22"/>
        </w:rPr>
        <w:t>c1</w:t>
      </w:r>
      <w:r>
        <w:rPr>
          <w:sz w:val="22"/>
        </w:rPr>
        <w:t>) for IA-11 step-up MFA.</w:t>
      </w:r>
    </w:p>
    <w:p>
      <w:pPr>
        <w:pStyle w:val="Heading3"/>
      </w:pPr>
      <w:r>
        <w:rPr>
          <w:color w:val="0D1B2E"/>
        </w:rPr>
        <w:t>Implementation sequence</w:t>
      </w:r>
    </w:p>
    <w:p>
      <w:pPr>
        <w:pStyle w:val="ListNumber"/>
      </w:pPr>
      <w:r>
        <w:rPr>
          <w:b/>
          <w:sz w:val="22"/>
        </w:rPr>
        <w:t>Create break-glass accounts first</w:t>
      </w:r>
      <w:r>
        <w:rPr>
          <w:sz w:val="22"/>
        </w:rPr>
        <w:t xml:space="preserve"> (before removing standing access); FIDO2 keys, CA exclusion, Sentinel sign-in alert.</w:t>
      </w:r>
    </w:p>
    <w:p>
      <w:pPr>
        <w:pStyle w:val="ListNumber"/>
      </w:pPr>
      <w:r>
        <w:rPr>
          <w:sz w:val="22"/>
        </w:rPr>
        <w:t>Enumerate standing active assignments for privileged roles via Graph.</w:t>
      </w:r>
    </w:p>
    <w:p>
      <w:pPr>
        <w:pStyle w:val="ListNumber"/>
      </w:pPr>
      <w:r>
        <w:rPr>
          <w:sz w:val="22"/>
        </w:rPr>
        <w:t>Convert human accounts to PIM eligible; per-role policies (4-hour max for Global Admin, MFA, justification, approver).</w:t>
      </w:r>
    </w:p>
    <w:p>
      <w:pPr>
        <w:pStyle w:val="ListNumber"/>
      </w:pPr>
      <w:r>
        <w:rPr>
          <w:sz w:val="22"/>
        </w:rPr>
        <w:t>Configure Arc JIT server access; disable local Administrator accounts.</w:t>
      </w:r>
    </w:p>
    <w:p>
      <w:pPr>
        <w:pStyle w:val="ListNumber"/>
      </w:pPr>
      <w:r>
        <w:rPr>
          <w:sz w:val="22"/>
        </w:rPr>
        <w:t>Deploy PAW hardware, Intune compliance policy, WDAC.</w:t>
      </w:r>
    </w:p>
    <w:p>
      <w:pPr>
        <w:pStyle w:val="ListNumber"/>
      </w:pPr>
      <w:r>
        <w:rPr>
          <w:sz w:val="22"/>
        </w:rPr>
        <w:t>Deploy Conditional Access policies in report-only mode for 14+ days, then enforce.</w:t>
      </w:r>
    </w:p>
    <w:p>
      <w:pPr>
        <w:pStyle w:val="ListNumber"/>
      </w:pPr>
      <w:r>
        <w:rPr>
          <w:sz w:val="22"/>
        </w:rPr>
        <w:t>Bind Authentication Context to PIM activation; quarterly break-glass tests.</w:t>
      </w:r>
    </w:p>
    <w:p>
      <w:pPr>
        <w:pStyle w:val="Heading3"/>
      </w:pPr>
      <w:r>
        <w:rPr>
          <w:color w:val="0D1B2E"/>
        </w:rPr>
        <w:t>Compliance hooks</w:t>
      </w:r>
    </w:p>
    <w:p>
      <w:pPr>
        <w:spacing w:before="80" w:after="80"/>
      </w:pPr>
      <w:r>
        <w:rPr>
          <w:sz w:val="22"/>
        </w:rPr>
        <w:t>AC-5, AC-6, AC-6(1)(2)(5)(9)(10), AC-11, AC-12, IA-11 (full before/after closure table). FedRAMP 20x: KSI-IAM-02, KSI-IAM-03 (phishing-resistant MFA), KSI-EDR-01. OMB M-22-09, NIST SP 800-207, CMMC 2.0 Level 2.</w:t>
      </w:r>
    </w:p>
    <w:p>
      <w:pPr>
        <w:pStyle w:val="Heading3"/>
      </w:pPr>
      <w:r>
        <w:rPr>
          <w:color w:val="0D1B2E"/>
        </w:rPr>
        <w:t>Prerequisites</w:t>
      </w:r>
    </w:p>
    <w:p>
      <w:pPr>
        <w:spacing w:before="80" w:after="80"/>
      </w:pPr>
      <w:r>
        <w:rPr>
          <w:sz w:val="22"/>
        </w:rPr>
        <w:t>Books 01–09, specifically Arc as identity bridge (Books 07–08) and Entra/Conditional Access foundations (Books 01–06). PowerShell/Graph skills.</w:t>
      </w:r>
    </w:p>
    <w:p>
      <w:pPr>
        <w:pStyle w:val="Heading3"/>
      </w:pPr>
      <w:r>
        <w:rPr>
          <w:color w:val="0D1B2E"/>
        </w:rPr>
        <w:t>Labs</w:t>
      </w:r>
    </w:p>
    <w:p>
      <w:pPr>
        <w:pStyle w:val="ListNumber"/>
      </w:pPr>
      <w:r>
        <w:rPr>
          <w:sz w:val="22"/>
        </w:rPr>
        <w:t>Enumerate standing admin assignments in a test tenant, convert one to PIM eligible, walk the full activation ceremony, inspect the PIM audit log.</w:t>
      </w:r>
    </w:p>
    <w:p>
      <w:pPr>
        <w:pStyle w:val="ListNumber"/>
      </w:pPr>
      <w:r>
        <w:rPr>
          <w:sz w:val="22"/>
        </w:rPr>
        <w:t>Configure Arc JIT SSH to a test server; disable local Administrator via Run Command; verify no inbound 22/3389.</w:t>
      </w:r>
    </w:p>
    <w:p>
      <w:pPr>
        <w:pStyle w:val="ListNumber"/>
      </w:pPr>
      <w:r>
        <w:rPr>
          <w:sz w:val="22"/>
        </w:rPr>
        <w:t>Create a break-glass account with a Sentinel alert rule; validate the alert fires within 5 minutes of a test sign-in.</w:t>
      </w:r>
    </w:p>
    <w:p>
      <w:pPr>
        <w:pStyle w:val="Heading3"/>
      </w:pPr>
      <w:r>
        <w:rPr>
          <w:color w:val="0D1B2E"/>
        </w:rPr>
        <w:t>Pitfalls the book calls out</w:t>
      </w:r>
    </w:p>
    <w:p>
      <w:pPr>
        <w:pStyle w:val="ListBullet"/>
      </w:pPr>
      <w:r>
        <w:rPr>
          <w:sz w:val="22"/>
        </w:rPr>
        <w:t>Treating credential migration as the security outcome — stronger authentication with unchanged standing authorization scope.</w:t>
      </w:r>
    </w:p>
    <w:p>
      <w:pPr>
        <w:pStyle w:val="ListBullet"/>
      </w:pPr>
      <w:r>
        <w:rPr>
          <w:sz w:val="22"/>
        </w:rPr>
        <w:t>Enforcing PAW Conditional Access immediately instead of 14+ days report-only (admin lockout risk).</w:t>
      </w:r>
    </w:p>
    <w:p>
      <w:pPr>
        <w:pStyle w:val="ListBullet"/>
      </w:pPr>
      <w:r>
        <w:rPr>
          <w:sz w:val="22"/>
        </w:rPr>
        <w:t>Building a PAW as a VM on a shared hypervisor.</w:t>
      </w:r>
    </w:p>
    <w:p>
      <w:pPr>
        <w:pStyle w:val="ListBullet"/>
      </w:pPr>
      <w:r>
        <w:rPr>
          <w:sz w:val="22"/>
        </w:rPr>
        <w:t>Removing standing access without break-glass accounts, or leaving break-glass untested.</w:t>
      </w:r>
    </w:p>
    <w:p>
      <w:pPr>
        <w:pStyle w:val="Heading3"/>
      </w:pPr>
      <w:r>
        <w:rPr>
          <w:color w:val="0D1B2E"/>
        </w:rPr>
        <w:t>Vendor training</w:t>
      </w:r>
    </w:p>
    <w:p>
      <w:pPr>
        <w:spacing w:before="80" w:after="80"/>
      </w:pPr>
      <w:r>
        <w:rPr>
          <w:sz w:val="22"/>
        </w:rPr>
        <w:t>SC-300, AZ-500, SANS.</w:t>
      </w:r>
    </w:p>
    <w:p>
      <w:pPr>
        <w:spacing w:before="80" w:after="80"/>
      </w:pPr>
      <w:r>
        <w:rPr>
          <w:b/>
          <w:sz w:val="22"/>
        </w:rPr>
        <w:t>Previous:</w:t>
      </w:r>
      <w:r>
        <w:rPr>
          <w:sz w:val="22"/>
        </w:rPr>
        <w:t xml:space="preserve"> Book 09 · </w:t>
      </w:r>
      <w:r>
        <w:rPr>
          <w:b/>
          <w:sz w:val="22"/>
        </w:rPr>
        <w:t>Next:</w:t>
      </w:r>
      <w:r>
        <w:rPr>
          <w:sz w:val="22"/>
        </w:rPr>
        <w:t xml:space="preserve"> Book 11 — Vulnerability Management</w:t>
      </w:r>
    </w:p>
    <w:p>
      <w:r>
        <w:br w:type="page"/>
      </w:r>
    </w:p>
    <w:p>
      <w:pPr>
        <w:pStyle w:val="Heading1"/>
      </w:pPr>
      <w:r>
        <w:rPr>
          <w:color w:val="0D1B2E"/>
        </w:rPr>
        <w:t>Book 11 — Vulnerability Management</w:t>
      </w:r>
    </w:p>
    <w:p>
      <w:r>
        <w:rPr>
          <w:i/>
          <w:color w:val="5A5A5A"/>
          <w:sz w:val="24"/>
        </w:rPr>
        <w:t>AAN module: Defender VM scanning, KEV-driven prioritization, and the daily machine-readable evidence stream</w:t>
      </w:r>
    </w:p>
    <w:p>
      <w:r>
        <w:rPr>
          <w:color w:val="1E8C8C"/>
          <w:sz w:val="18"/>
        </w:rPr>
        <w:t>Federal AAN Training Program — companion material for the federal AAN book series; not part of UIAO.</w:t>
      </w:r>
    </w:p>
    <w:p>
      <w:pPr>
        <w:spacing w:before="80" w:after="80"/>
      </w:pPr>
      <w:r>
        <w:rPr>
          <w:b/>
          <w:sz w:val="22"/>
        </w:rPr>
        <w:t>Source:</w:t>
      </w:r>
      <w:r>
        <w:rPr>
          <w:sz w:val="22"/>
        </w:rPr>
        <w:t xml:space="preserve"> Book_11 Vulnerability Management &lt;https://github.com/WhalerMike/uiao/blob/main/inbox/Application%20Aware%20Networking/Book_11_FedAAN_Vulnerability_Management.qmd&gt; · </w:t>
      </w:r>
      <w:r>
        <w:rPr>
          <w:b/>
          <w:sz w:val="22"/>
        </w:rPr>
        <w:t>Evidence slots:</w:t>
      </w:r>
      <w:r>
        <w:rPr>
          <w:sz w:val="22"/>
        </w:rPr>
        <w:t xml:space="preserve"> 4 — telemetry (KSI-MLA); 5 — endpoint (KSI-PIY); 6 — security (KSI-CMT) · </w:t>
      </w:r>
      <w:r>
        <w:rPr>
          <w:b/>
          <w:sz w:val="22"/>
        </w:rPr>
        <w:t>Track modules:</w:t>
      </w:r>
      <w:r>
        <w:rPr>
          <w:sz w:val="22"/>
        </w:rPr>
        <w:t xml:space="preserve"> A4, A5, A6, B6</w:t>
      </w:r>
    </w:p>
    <w:p>
      <w:pPr>
        <w:pStyle w:val="Heading3"/>
      </w:pPr>
      <w:r>
        <w:rPr>
          <w:color w:val="0D1B2E"/>
        </w:rPr>
        <w:t>Scope</w:t>
      </w:r>
    </w:p>
    <w:p>
      <w:pPr>
        <w:spacing w:before="80" w:after="80"/>
      </w:pPr>
      <w:r>
        <w:rPr>
          <w:sz w:val="22"/>
        </w:rPr>
        <w:t xml:space="preserve">Turns the Arc-enrolled asset inventory into continuous vulnerability posture management: Microsoft Defender Vulnerability Management (MDVM) scanning over the existing Azure Monitor Agent channel, daily CISA KEV catalog cross-reference, BOD 22-01 SLA-prioritized patch queues, Intune Windows Update for Business rings, and a daily machine-readable compliance record. Thesis: federal vulnerability management fails at </w:t>
      </w:r>
      <w:r>
        <w:rPr>
          <w:b/>
          <w:sz w:val="22"/>
        </w:rPr>
        <w:t>enumeration, prioritization, and evidence</w:t>
      </w:r>
      <w:r>
        <w:rPr>
          <w:sz w:val="22"/>
        </w:rPr>
        <w:t xml:space="preserve"> — earlier books fixed enumeration; this book fixes prioritization (KEV, not just CVSS) and evidence (continuous RA-5 KSI artifacts).</w:t>
      </w:r>
    </w:p>
    <w:p>
      <w:pPr>
        <w:pStyle w:val="Heading3"/>
      </w:pPr>
      <w:r>
        <w:rPr>
          <w:color w:val="0D1B2E"/>
        </w:rPr>
        <w:t>Learning objectives</w:t>
      </w:r>
    </w:p>
    <w:p>
      <w:pPr>
        <w:pStyle w:val="ListBullet"/>
      </w:pPr>
      <w:r>
        <w:rPr>
          <w:sz w:val="22"/>
        </w:rPr>
        <w:t>Explain the three FedRAMP assessor probes (scanner existence, documented SLA, machine-readable proof of SLA adherence per CVE/machine) and why evidence is the usual failure.</w:t>
      </w:r>
    </w:p>
    <w:p>
      <w:pPr>
        <w:pStyle w:val="ListBullet"/>
      </w:pPr>
      <w:r>
        <w:rPr>
          <w:sz w:val="22"/>
        </w:rPr>
        <w:t>Apply BOD 22-01 timelines (KEV internet-facing 14 days, internal 28 days) and explain why CVSS-only prioritization under-prioritizes exploited vulnerabilities.</w:t>
      </w:r>
    </w:p>
    <w:p>
      <w:pPr>
        <w:pStyle w:val="ListBullet"/>
      </w:pPr>
      <w:r>
        <w:rPr>
          <w:sz w:val="22"/>
        </w:rPr>
        <w:t>Describe how MDVM piggybacks on the Arc AMA channel so scan scope always equals inventory — no new agents.</w:t>
      </w:r>
    </w:p>
    <w:p>
      <w:pPr>
        <w:pStyle w:val="ListBullet"/>
      </w:pPr>
      <w:r>
        <w:rPr>
          <w:sz w:val="22"/>
        </w:rPr>
        <w:t>Script the daily KEV JSON pull, Defender VM API cross-reference, and P0–P5 SLA-assigned patch queue.</w:t>
      </w:r>
    </w:p>
    <w:p>
      <w:pPr>
        <w:pStyle w:val="ListBullet"/>
      </w:pPr>
      <w:r>
        <w:rPr>
          <w:sz w:val="22"/>
        </w:rPr>
        <w:t>Configure Intune WUfB rings (pilot/broad/production) with a KEV expedited-update bypass and a patch-currency compliance policy tied to Conditional Access.</w:t>
      </w:r>
    </w:p>
    <w:p>
      <w:pPr>
        <w:pStyle w:val="ListBullet"/>
      </w:pPr>
      <w:r>
        <w:rPr>
          <w:sz w:val="22"/>
        </w:rPr>
        <w:t>Produce and archive the daily compliance-summary JSON as the RA-5/SI-2 evidence stream (Blob Storage, 90-day trend, Log Analytics workbook).</w:t>
      </w:r>
    </w:p>
    <w:p>
      <w:pPr>
        <w:pStyle w:val="Heading3"/>
      </w:pPr>
      <w:r>
        <w:rPr>
          <w:color w:val="0D1B2E"/>
        </w:rPr>
        <w:t>Key concepts</w:t>
      </w:r>
    </w:p>
    <w:p>
      <w:pPr>
        <w:pStyle w:val="ListBullet"/>
      </w:pPr>
      <w:r>
        <w:rPr>
          <w:sz w:val="22"/>
        </w:rPr>
        <w:t>CISA KEV catalog JSON feed; BOD 22-01 mandatory timelines.</w:t>
      </w:r>
    </w:p>
    <w:p>
      <w:pPr>
        <w:pStyle w:val="ListBullet"/>
      </w:pPr>
      <w:r>
        <w:rPr>
          <w:sz w:val="22"/>
        </w:rPr>
        <w:t>P0–P5 patch SLA tier table (BOD 22-01, NIST SP 800-40 Rev 4).</w:t>
      </w:r>
    </w:p>
    <w:p>
      <w:pPr>
        <w:pStyle w:val="ListBullet"/>
      </w:pPr>
      <w:r>
        <w:rPr>
          <w:sz w:val="22"/>
        </w:rPr>
        <w:t>MDVM over Arc AMA; MMA fallback for Windows Server 2012 R2 (ESU via Arc).</w:t>
      </w:r>
    </w:p>
    <w:p>
      <w:pPr>
        <w:pStyle w:val="ListBullet"/>
      </w:pPr>
      <w:r>
        <w:rPr>
          <w:sz w:val="22"/>
        </w:rPr>
        <w:t>WUfB ring model plus expedited updates; WSUS coexistence.</w:t>
      </w:r>
    </w:p>
    <w:p>
      <w:pPr>
        <w:pStyle w:val="ListBullet"/>
      </w:pPr>
      <w:r>
        <w:rPr>
          <w:sz w:val="22"/>
        </w:rPr>
        <w:t xml:space="preserve">SQL Server CU vs. GDR lifecycle; Arc </w:t>
      </w:r>
      <w:r>
        <w:rPr>
          <w:rFonts w:ascii="Consolas" w:hAnsi="Consolas"/>
          <w:sz w:val="22"/>
        </w:rPr>
        <w:t>WindowsAgent.SqlServer</w:t>
      </w:r>
      <w:r>
        <w:rPr>
          <w:sz w:val="22"/>
        </w:rPr>
        <w:t xml:space="preserve"> auto-patching in maintenance windows.</w:t>
      </w:r>
    </w:p>
    <w:p>
      <w:pPr>
        <w:pStyle w:val="ListBullet"/>
      </w:pPr>
      <w:r>
        <w:rPr>
          <w:sz w:val="22"/>
        </w:rPr>
        <w:t xml:space="preserve">Daily compliance JSON: </w:t>
      </w:r>
      <w:r>
        <w:rPr>
          <w:rFonts w:ascii="Consolas" w:hAnsi="Consolas"/>
          <w:sz w:val="22"/>
        </w:rPr>
        <w:t>SLABreachedKEV</w:t>
      </w:r>
      <w:r>
        <w:rPr>
          <w:sz w:val="22"/>
        </w:rPr>
        <w:t xml:space="preserve"> must be zero; </w:t>
      </w:r>
      <w:r>
        <w:rPr>
          <w:rFonts w:ascii="Consolas" w:hAnsi="Consolas"/>
          <w:sz w:val="22"/>
        </w:rPr>
        <w:t>PatchComplianceRate</w:t>
      </w:r>
      <w:r>
        <w:rPr>
          <w:sz w:val="22"/>
        </w:rPr>
        <w:t xml:space="preserve"> ≥ 95%.</w:t>
      </w:r>
    </w:p>
    <w:p>
      <w:pPr>
        <w:pStyle w:val="Heading3"/>
      </w:pPr>
      <w:r>
        <w:rPr>
          <w:color w:val="0D1B2E"/>
        </w:rPr>
        <w:t>Implementation sequence</w:t>
      </w:r>
    </w:p>
    <w:p>
      <w:pPr>
        <w:pStyle w:val="ListNumber"/>
      </w:pPr>
      <w:r>
        <w:rPr>
          <w:sz w:val="22"/>
        </w:rPr>
        <w:t>Verify MDE onboarding for all Arc-enrolled machines (allow 24–48 hours after enrollment).</w:t>
      </w:r>
    </w:p>
    <w:p>
      <w:pPr>
        <w:pStyle w:val="ListNumber"/>
      </w:pPr>
      <w:r>
        <w:rPr>
          <w:sz w:val="22"/>
        </w:rPr>
        <w:t>Stand up the daily KEV pull + Defender VM cross-reference producing the prioritized patch queue and compliance summary.</w:t>
      </w:r>
    </w:p>
    <w:p>
      <w:pPr>
        <w:pStyle w:val="ListNumber"/>
      </w:pPr>
      <w:r>
        <w:rPr>
          <w:sz w:val="22"/>
        </w:rPr>
        <w:t>Configure three WUfB rings via Graph; define the KEV expedited path.</w:t>
      </w:r>
    </w:p>
    <w:p>
      <w:pPr>
        <w:pStyle w:val="ListNumber"/>
      </w:pPr>
      <w:r>
        <w:rPr>
          <w:sz w:val="22"/>
        </w:rPr>
        <w:t>Deploy the patch-currency compliance policy linked to Conditional Access (30-day grace period).</w:t>
      </w:r>
    </w:p>
    <w:p>
      <w:pPr>
        <w:pStyle w:val="ListNumber"/>
      </w:pPr>
      <w:r>
        <w:rPr>
          <w:sz w:val="22"/>
        </w:rPr>
        <w:t>Inventory SQL Server versions/CUs; enable Arc auto-patching.</w:t>
      </w:r>
    </w:p>
    <w:p>
      <w:pPr>
        <w:pStyle w:val="ListNumber"/>
      </w:pPr>
      <w:r>
        <w:rPr>
          <w:sz w:val="22"/>
        </w:rPr>
        <w:t>Archive daily summaries to Blob Storage; 90-day trends; Log Analytics workbook.</w:t>
      </w:r>
    </w:p>
    <w:p>
      <w:pPr>
        <w:pStyle w:val="Heading3"/>
      </w:pPr>
      <w:r>
        <w:rPr>
          <w:color w:val="0D1B2E"/>
        </w:rPr>
        <w:t>Compliance hooks</w:t>
      </w:r>
    </w:p>
    <w:p>
      <w:pPr>
        <w:spacing w:before="80" w:after="80"/>
      </w:pPr>
      <w:r>
        <w:rPr>
          <w:sz w:val="22"/>
        </w:rPr>
        <w:t>RA-5, RA-5(2), RA-5(5), SI-2, SI-2(2), SI-5, CM-7, CM-7(1). CISA BOD 22-01; NIST SP 800-40 Rev 4. FedRAMP 20x KSIs: scan currency (24-hour scan, 72-hour coverage-gap alert), patch SLA compliance ≥95%, KEV remediation timeliness.</w:t>
      </w:r>
    </w:p>
    <w:p>
      <w:pPr>
        <w:pStyle w:val="Heading3"/>
      </w:pPr>
      <w:r>
        <w:rPr>
          <w:color w:val="0D1B2E"/>
        </w:rPr>
        <w:t>Prerequisites</w:t>
      </w:r>
    </w:p>
    <w:p>
      <w:pPr>
        <w:spacing w:before="80" w:after="80"/>
      </w:pPr>
      <w:r>
        <w:rPr>
          <w:sz w:val="22"/>
        </w:rPr>
        <w:t>Book 01 (IPAM inventory), Books 06–08 (Arc enrollment/AMA, SQL inventory), Book 10's Sentinel/Log Analytics context. PowerShell, Graph API, Azure Automation.</w:t>
      </w:r>
    </w:p>
    <w:p>
      <w:pPr>
        <w:pStyle w:val="Heading3"/>
      </w:pPr>
      <w:r>
        <w:rPr>
          <w:color w:val="0D1B2E"/>
        </w:rPr>
        <w:t>Labs</w:t>
      </w:r>
    </w:p>
    <w:p>
      <w:pPr>
        <w:pStyle w:val="ListNumber"/>
      </w:pPr>
      <w:r>
        <w:rPr>
          <w:sz w:val="22"/>
        </w:rPr>
        <w:t>Download the live KEV JSON feed; cross-reference against a sample finding set; assign P0–P5 priorities; verify a CVSS 7.5 KEV outranks a CVSS 9.0 non-KEV.</w:t>
      </w:r>
    </w:p>
    <w:p>
      <w:pPr>
        <w:pStyle w:val="ListNumber"/>
      </w:pPr>
      <w:r>
        <w:rPr>
          <w:sz w:val="22"/>
        </w:rPr>
        <w:t>Build the three WUfB rings in a test Intune tenant; simulate an expedited KEV update bypassing the ring schedule.</w:t>
      </w:r>
    </w:p>
    <w:p>
      <w:pPr>
        <w:pStyle w:val="ListNumber"/>
      </w:pPr>
      <w:r>
        <w:rPr>
          <w:sz w:val="22"/>
        </w:rPr>
        <w:t>Run the SQL version-inventory script; flag behind-CU and end-of-support instances.</w:t>
      </w:r>
    </w:p>
    <w:p>
      <w:pPr>
        <w:pStyle w:val="Heading3"/>
      </w:pPr>
      <w:r>
        <w:rPr>
          <w:color w:val="0D1B2E"/>
        </w:rPr>
        <w:t>Pitfalls the book calls out</w:t>
      </w:r>
    </w:p>
    <w:p>
      <w:pPr>
        <w:pStyle w:val="ListBullet"/>
      </w:pPr>
      <w:r>
        <w:rPr>
          <w:sz w:val="22"/>
        </w:rPr>
        <w:t>Assuming scanners flag KEV status automatically — NVD/CVSS and KEV are unlinked; the cross-reference must be explicit.</w:t>
      </w:r>
    </w:p>
    <w:p>
      <w:pPr>
        <w:pStyle w:val="ListBullet"/>
      </w:pPr>
      <w:r>
        <w:rPr>
          <w:sz w:val="22"/>
        </w:rPr>
        <w:t>Prioritizing solely by CVSS.</w:t>
      </w:r>
    </w:p>
    <w:p>
      <w:pPr>
        <w:pStyle w:val="ListBullet"/>
      </w:pPr>
      <w:r>
        <w:rPr>
          <w:sz w:val="22"/>
        </w:rPr>
        <w:t>Enabling the Conditional Access non-compliance block on day one against accumulated patch debt.</w:t>
      </w:r>
    </w:p>
    <w:p>
      <w:pPr>
        <w:pStyle w:val="ListBullet"/>
      </w:pPr>
      <w:r>
        <w:rPr>
          <w:sz w:val="22"/>
        </w:rPr>
        <w:t>Declaring Arc enrollment complete without verifying MDE onboarding 48 hours later.</w:t>
      </w:r>
    </w:p>
    <w:p>
      <w:pPr>
        <w:pStyle w:val="Heading3"/>
      </w:pPr>
      <w:r>
        <w:rPr>
          <w:color w:val="0D1B2E"/>
        </w:rPr>
        <w:t>Vendor training</w:t>
      </w:r>
    </w:p>
    <w:p>
      <w:pPr>
        <w:spacing w:before="80" w:after="80"/>
      </w:pPr>
      <w:r>
        <w:rPr>
          <w:sz w:val="22"/>
        </w:rPr>
        <w:t>SC-200, Tenable / Qualys (alternative stacks), CISA training.</w:t>
      </w:r>
    </w:p>
    <w:p>
      <w:pPr>
        <w:spacing w:before="80" w:after="80"/>
      </w:pPr>
      <w:r>
        <w:rPr>
          <w:b/>
          <w:sz w:val="22"/>
        </w:rPr>
        <w:t>Previous:</w:t>
      </w:r>
      <w:r>
        <w:rPr>
          <w:sz w:val="22"/>
        </w:rPr>
        <w:t xml:space="preserve"> Book 10 · </w:t>
      </w:r>
      <w:r>
        <w:rPr>
          <w:b/>
          <w:sz w:val="22"/>
        </w:rPr>
        <w:t>Next:</w:t>
      </w:r>
      <w:r>
        <w:rPr>
          <w:sz w:val="22"/>
        </w:rPr>
        <w:t xml:space="preserve"> Book 12 — Data Protection (Purview)</w:t>
      </w:r>
    </w:p>
    <w:p>
      <w:r>
        <w:br w:type="page"/>
      </w:r>
    </w:p>
    <w:p>
      <w:pPr>
        <w:pStyle w:val="Heading1"/>
      </w:pPr>
      <w:r>
        <w:rPr>
          <w:color w:val="0D1B2E"/>
        </w:rPr>
        <w:t>Book 12 — Data Protection (Purview)</w:t>
      </w:r>
    </w:p>
    <w:p>
      <w:r>
        <w:rPr>
          <w:i/>
          <w:color w:val="5A5A5A"/>
          <w:sz w:val="24"/>
        </w:rPr>
        <w:t>AAN module: closing the payload gap — CUI labeling, three-surface DLP, and agency-controlled keys</w:t>
      </w:r>
    </w:p>
    <w:p>
      <w:r>
        <w:rPr>
          <w:color w:val="1E8C8C"/>
          <w:sz w:val="18"/>
        </w:rPr>
        <w:t>Federal AAN Training Program — companion material for the federal AAN book series; not part of UIAO.</w:t>
      </w:r>
    </w:p>
    <w:p>
      <w:pPr>
        <w:spacing w:before="80" w:after="80"/>
      </w:pPr>
      <w:r>
        <w:rPr>
          <w:b/>
          <w:sz w:val="22"/>
        </w:rPr>
        <w:t>Source:</w:t>
      </w:r>
      <w:r>
        <w:rPr>
          <w:sz w:val="22"/>
        </w:rPr>
        <w:t xml:space="preserve"> Book_12 Data Protection Purview &lt;https://github.com/WhalerMike/uiao/blob/main/inbox/Application%20Aware%20Networking/Book_12_FedAAN_Data_Protection_Purview.qmd&gt; · </w:t>
      </w:r>
      <w:r>
        <w:rPr>
          <w:b/>
          <w:sz w:val="22"/>
        </w:rPr>
        <w:t>Evidence slot:</w:t>
      </w:r>
      <w:r>
        <w:rPr>
          <w:sz w:val="22"/>
        </w:rPr>
        <w:t xml:space="preserve"> 4 — telemetry (KSI-MLA, CA-7 / SI-4) · </w:t>
      </w:r>
      <w:r>
        <w:rPr>
          <w:b/>
          <w:sz w:val="22"/>
        </w:rPr>
        <w:t>Track modules:</w:t>
      </w:r>
      <w:r>
        <w:rPr>
          <w:sz w:val="22"/>
        </w:rPr>
        <w:t xml:space="preserve"> A4, B6</w:t>
      </w:r>
    </w:p>
    <w:p>
      <w:pPr>
        <w:pStyle w:val="Heading3"/>
      </w:pPr>
      <w:r>
        <w:rPr>
          <w:color w:val="0D1B2E"/>
        </w:rPr>
        <w:t>Scope</w:t>
      </w:r>
    </w:p>
    <w:p>
      <w:pPr>
        <w:spacing w:before="80" w:after="80"/>
      </w:pPr>
      <w:r>
        <w:rPr>
          <w:sz w:val="22"/>
        </w:rPr>
        <w:t xml:space="preserve">Closes the "payload gap" left after network/identity hardening: the pipe is regulated but the content is opaque. A federal CUI classification taxonomy enforced via Purview sensitivity labels, DLP across three enforcement surfaces, and agency-controlled cryptographic key management in Azure Key Vault. </w:t>
      </w:r>
      <w:r>
        <w:rPr>
          <w:b/>
          <w:sz w:val="22"/>
        </w:rPr>
        <w:t>Both pipe and payload controls are required for FedRAMP Moderate.</w:t>
      </w:r>
    </w:p>
    <w:p>
      <w:pPr>
        <w:pStyle w:val="Heading3"/>
      </w:pPr>
      <w:r>
        <w:rPr>
          <w:color w:val="0D1B2E"/>
        </w:rPr>
        <w:t>Learning objectives</w:t>
      </w:r>
    </w:p>
    <w:p>
      <w:pPr>
        <w:pStyle w:val="ListBullet"/>
      </w:pPr>
      <w:r>
        <w:rPr>
          <w:sz w:val="22"/>
        </w:rPr>
        <w:t>Explain why CASB/network controls alone cannot prevent exfiltration of unclassified-but-sensitive content.</w:t>
      </w:r>
    </w:p>
    <w:p>
      <w:pPr>
        <w:pStyle w:val="ListBullet"/>
      </w:pPr>
      <w:r>
        <w:rPr>
          <w:sz w:val="22"/>
        </w:rPr>
        <w:t>Map the federal CUI framework (EO 13556, NARA CUI Registry) — Public, Internal, CUI-Basic, CUI-Specified — to a parent/child Purview label taxonomy created via Security &amp; Compliance PowerShell.</w:t>
      </w:r>
    </w:p>
    <w:p>
      <w:pPr>
        <w:pStyle w:val="ListBullet"/>
      </w:pPr>
      <w:r>
        <w:rPr>
          <w:sz w:val="22"/>
        </w:rPr>
        <w:t>Build automatic labeling with pre-built and custom Sensitive Information Types and trainable classifiers, deployed in simulation mode first.</w:t>
      </w:r>
    </w:p>
    <w:p>
      <w:pPr>
        <w:pStyle w:val="ListBullet"/>
      </w:pPr>
      <w:r>
        <w:rPr>
          <w:sz w:val="22"/>
        </w:rPr>
        <w:t>Implement the DLP baseline across service-layer (SharePoint/OneDrive/Exchange/Teams), Endpoint DLP (print/USB/clipboard/ upload), and CASB network-layer surfaces.</w:t>
      </w:r>
    </w:p>
    <w:p>
      <w:pPr>
        <w:pStyle w:val="ListBullet"/>
      </w:pPr>
      <w:r>
        <w:rPr>
          <w:sz w:val="22"/>
        </w:rPr>
        <w:t>Deploy Key Vault Premium (HSM, FIPS 140-2 Level 2) with CMK for SQL TDE and SharePoint BYOK, Managed Identity RBAC, and a 12-month rotation policy.</w:t>
      </w:r>
    </w:p>
    <w:p>
      <w:pPr>
        <w:pStyle w:val="ListBullet"/>
      </w:pPr>
      <w:r>
        <w:rPr>
          <w:sz w:val="22"/>
        </w:rPr>
        <w:t>Distinguish AU-12 (audit generation) from AU-10 (non-repudiation) and configure Purview Audit Premium tiered retention.</w:t>
      </w:r>
    </w:p>
    <w:p>
      <w:pPr>
        <w:pStyle w:val="ListBullet"/>
      </w:pPr>
      <w:r>
        <w:rPr>
          <w:sz w:val="22"/>
        </w:rPr>
        <w:t>Structure a Certificate Practice Statement per RFC 3647 (SC-17).</w:t>
      </w:r>
    </w:p>
    <w:p>
      <w:pPr>
        <w:pStyle w:val="Heading3"/>
      </w:pPr>
      <w:r>
        <w:rPr>
          <w:color w:val="0D1B2E"/>
        </w:rPr>
        <w:t>Key concepts</w:t>
      </w:r>
    </w:p>
    <w:p>
      <w:pPr>
        <w:pStyle w:val="ListBullet"/>
      </w:pPr>
      <w:r>
        <w:rPr>
          <w:sz w:val="22"/>
        </w:rPr>
        <w:t>Four-tier CUI label taxonomy with escalating protections.</w:t>
      </w:r>
    </w:p>
    <w:p>
      <w:pPr>
        <w:pStyle w:val="ListBullet"/>
      </w:pPr>
      <w:r>
        <w:rPr>
          <w:sz w:val="22"/>
        </w:rPr>
        <w:t>The Purview-labels-feed-the-CASB integration pattern (payload signal for network enforcement).</w:t>
      </w:r>
    </w:p>
    <w:p>
      <w:pPr>
        <w:pStyle w:val="ListBullet"/>
      </w:pPr>
      <w:r>
        <w:rPr>
          <w:sz w:val="22"/>
        </w:rPr>
        <w:t>Three DLP enforcement surfaces; custom SITs; trainable classifiers (50–500 samples).</w:t>
      </w:r>
    </w:p>
    <w:p>
      <w:pPr>
        <w:pStyle w:val="ListBullet"/>
      </w:pPr>
      <w:r>
        <w:rPr>
          <w:sz w:val="22"/>
        </w:rPr>
        <w:t>Four-level key hierarchy: offline root CA HSM → issuing CA in Key Vault → CMK → wrapped DEKs.</w:t>
      </w:r>
    </w:p>
    <w:p>
      <w:pPr>
        <w:pStyle w:val="ListBullet"/>
      </w:pPr>
      <w:r>
        <w:rPr>
          <w:sz w:val="22"/>
        </w:rPr>
        <w:t>Audit Premium events: MailItemsAccessed, SearchQueryInitiated, SensitivityLabel* (downgrade detection).</w:t>
      </w:r>
    </w:p>
    <w:p>
      <w:pPr>
        <w:pStyle w:val="ListBullet"/>
      </w:pPr>
      <w:r>
        <w:rPr>
          <w:sz w:val="22"/>
        </w:rPr>
        <w:t>Infoblox IPAM/DNS underpinning CRL/OCSP reliability.</w:t>
      </w:r>
    </w:p>
    <w:p>
      <w:pPr>
        <w:pStyle w:val="Heading3"/>
      </w:pPr>
      <w:r>
        <w:rPr>
          <w:color w:val="0D1B2E"/>
        </w:rPr>
        <w:t>Implementation sequence</w:t>
      </w:r>
    </w:p>
    <w:p>
      <w:pPr>
        <w:pStyle w:val="ListNumber"/>
      </w:pPr>
      <w:r>
        <w:rPr>
          <w:sz w:val="22"/>
        </w:rPr>
        <w:t>Create and publish the four-tier label taxonomy to all locations.</w:t>
      </w:r>
    </w:p>
    <w:p>
      <w:pPr>
        <w:pStyle w:val="ListNumber"/>
      </w:pPr>
      <w:r>
        <w:rPr>
          <w:sz w:val="22"/>
        </w:rPr>
        <w:t>Build custom SITs and trainable classifiers; auto-labeling in simulation → review → enforce.</w:t>
      </w:r>
    </w:p>
    <w:p>
      <w:pPr>
        <w:pStyle w:val="ListNumber"/>
      </w:pPr>
      <w:r>
        <w:rPr>
          <w:sz w:val="22"/>
        </w:rPr>
        <w:t>Deploy service-layer DLP baseline (block external share/send of CUI).</w:t>
      </w:r>
    </w:p>
    <w:p>
      <w:pPr>
        <w:pStyle w:val="ListNumber"/>
      </w:pPr>
      <w:r>
        <w:rPr>
          <w:sz w:val="22"/>
        </w:rPr>
        <w:t>Verify Defender for Endpoint onboarding, then deploy Endpoint DLP.</w:t>
      </w:r>
    </w:p>
    <w:p>
      <w:pPr>
        <w:pStyle w:val="ListNumber"/>
      </w:pPr>
      <w:r>
        <w:rPr>
          <w:sz w:val="22"/>
        </w:rPr>
        <w:t>Create Key Vault Premium (soft-delete, purge protection, RBAC); mint HSM CMKs.</w:t>
      </w:r>
    </w:p>
    <w:p>
      <w:pPr>
        <w:pStyle w:val="ListNumber"/>
      </w:pPr>
      <w:r>
        <w:rPr>
          <w:sz w:val="22"/>
        </w:rPr>
        <w:t>Migrate SQL TDE protector to CMK; automatic rotation (P12M).</w:t>
      </w:r>
    </w:p>
    <w:p>
      <w:pPr>
        <w:pStyle w:val="ListNumber"/>
      </w:pPr>
      <w:r>
        <w:rPr>
          <w:sz w:val="22"/>
        </w:rPr>
        <w:t>Enable Audit Premium with tiered retention (10-year privileged / 1-year default).</w:t>
      </w:r>
    </w:p>
    <w:p>
      <w:pPr>
        <w:pStyle w:val="ListNumber"/>
      </w:pPr>
      <w:r>
        <w:rPr>
          <w:sz w:val="22"/>
        </w:rPr>
        <w:t>Author the CPS per RFC 3647; verify CRL/OCSP reachability.</w:t>
      </w:r>
    </w:p>
    <w:p>
      <w:pPr>
        <w:pStyle w:val="Heading3"/>
      </w:pPr>
      <w:r>
        <w:rPr>
          <w:color w:val="0D1B2E"/>
        </w:rPr>
        <w:t>Compliance hooks</w:t>
      </w:r>
    </w:p>
    <w:p>
      <w:pPr>
        <w:spacing w:before="80" w:after="80"/>
      </w:pPr>
      <w:r>
        <w:rPr>
          <w:sz w:val="22"/>
        </w:rPr>
        <w:t>AC-4, AU-10, MP-2, MP-3, MP-4, MP-5, SC-12, SC-12(1), SC-13, SC-17, SC-28. NIST SP 800-171, SP 800-57 Part 1, FIPS 140-2 Level 2, NARA CUI Marking Handbook, RFC 3647. FedRAMP 20x KSIs: data protection, key management, non-repudiation, boundary protection.</w:t>
      </w:r>
    </w:p>
    <w:p>
      <w:pPr>
        <w:pStyle w:val="Heading3"/>
      </w:pPr>
      <w:r>
        <w:rPr>
          <w:color w:val="0D1B2E"/>
        </w:rPr>
        <w:t>Prerequisites</w:t>
      </w:r>
    </w:p>
    <w:p>
      <w:pPr>
        <w:spacing w:before="80" w:after="80"/>
      </w:pPr>
      <w:r>
        <w:rPr>
          <w:sz w:val="22"/>
        </w:rPr>
        <w:t>Books 01–11: PKI (01), SASE/CASB (02), Conditional Access (01–03), SQL TDE (04–05), PAM (07), SIEM context (08/10). Security &amp; Compliance PowerShell and Az modules.</w:t>
      </w:r>
    </w:p>
    <w:p>
      <w:pPr>
        <w:pStyle w:val="Heading3"/>
      </w:pPr>
      <w:r>
        <w:rPr>
          <w:color w:val="0D1B2E"/>
        </w:rPr>
        <w:t>Labs</w:t>
      </w:r>
    </w:p>
    <w:p>
      <w:pPr>
        <w:pStyle w:val="ListNumber"/>
      </w:pPr>
      <w:r>
        <w:rPr>
          <w:sz w:val="22"/>
        </w:rPr>
        <w:t>Build the label taxonomy and an auto-labeling policy in simulation mode; seed SharePoint with SSN-containing test docs; review the simulation report for false positives before enforcing.</w:t>
      </w:r>
    </w:p>
    <w:p>
      <w:pPr>
        <w:pStyle w:val="ListNumber"/>
      </w:pPr>
      <w:r>
        <w:rPr>
          <w:sz w:val="22"/>
        </w:rPr>
        <w:t>Create a custom SIT with keyword corroboration and a DLP rule blocking external email of matching content; verify the policy tip.</w:t>
      </w:r>
    </w:p>
    <w:p>
      <w:pPr>
        <w:pStyle w:val="ListNumber"/>
      </w:pPr>
      <w:r>
        <w:rPr>
          <w:sz w:val="22"/>
        </w:rPr>
        <w:t>Stand up Key Vault Premium, migrate an Azure SQL TDE protector to CMK, apply a rotation policy, and confirm key operations in Log Analytics.</w:t>
      </w:r>
    </w:p>
    <w:p>
      <w:pPr>
        <w:pStyle w:val="Heading3"/>
      </w:pPr>
      <w:r>
        <w:rPr>
          <w:color w:val="0D1B2E"/>
        </w:rPr>
        <w:t>Pitfalls the book calls out</w:t>
      </w:r>
    </w:p>
    <w:p>
      <w:pPr>
        <w:pStyle w:val="ListBullet"/>
      </w:pPr>
      <w:r>
        <w:rPr>
          <w:sz w:val="22"/>
        </w:rPr>
        <w:t>Publishing labels to only one location causes inconsistent classification — publish everywhere from day one.</w:t>
      </w:r>
    </w:p>
    <w:p>
      <w:pPr>
        <w:pStyle w:val="ListBullet"/>
      </w:pPr>
      <w:r>
        <w:rPr>
          <w:sz w:val="22"/>
        </w:rPr>
        <w:t>Enforcing auto-labeling without a simulation review can mislabel at scale and flood the help desk.</w:t>
      </w:r>
    </w:p>
    <w:p>
      <w:pPr>
        <w:pStyle w:val="ListBullet"/>
      </w:pPr>
      <w:r>
        <w:rPr>
          <w:sz w:val="22"/>
        </w:rPr>
        <w:t>Trainable classifiers trained on unrepresentative samples underperform (budget 3–4 weeks).</w:t>
      </w:r>
    </w:p>
    <w:p>
      <w:pPr>
        <w:pStyle w:val="ListBullet"/>
      </w:pPr>
      <w:r>
        <w:rPr>
          <w:sz w:val="22"/>
        </w:rPr>
        <w:t>Endpoint DLP silently misses devices not onboarded to Defender for Endpoint; never delete a compromised key version until data is re-encrypted.</w:t>
      </w:r>
    </w:p>
    <w:p>
      <w:pPr>
        <w:pStyle w:val="Heading3"/>
      </w:pPr>
      <w:r>
        <w:rPr>
          <w:color w:val="0D1B2E"/>
        </w:rPr>
        <w:t>Vendor training</w:t>
      </w:r>
    </w:p>
    <w:p>
      <w:pPr>
        <w:spacing w:before="80" w:after="80"/>
      </w:pPr>
      <w:r>
        <w:rPr>
          <w:sz w:val="22"/>
        </w:rPr>
        <w:t>SC-401, AZ-500.</w:t>
      </w:r>
    </w:p>
    <w:p>
      <w:pPr>
        <w:spacing w:before="80" w:after="80"/>
      </w:pPr>
      <w:r>
        <w:rPr>
          <w:b/>
          <w:sz w:val="22"/>
        </w:rPr>
        <w:t>Previous:</w:t>
      </w:r>
      <w:r>
        <w:rPr>
          <w:sz w:val="22"/>
        </w:rPr>
        <w:t xml:space="preserve"> Book 11 · </w:t>
      </w:r>
      <w:r>
        <w:rPr>
          <w:b/>
          <w:sz w:val="22"/>
        </w:rPr>
        <w:t>Next:</w:t>
      </w:r>
      <w:r>
        <w:rPr>
          <w:sz w:val="22"/>
        </w:rPr>
        <w:t xml:space="preserve"> Book 13 — SIEM / XDR Detection</w:t>
      </w:r>
    </w:p>
    <w:p>
      <w:r>
        <w:br w:type="page"/>
      </w:r>
    </w:p>
    <w:p>
      <w:pPr>
        <w:pStyle w:val="Heading1"/>
      </w:pPr>
      <w:r>
        <w:rPr>
          <w:color w:val="0D1B2E"/>
        </w:rPr>
        <w:t>Book 13 — SIEM / XDR Detection</w:t>
      </w:r>
    </w:p>
    <w:p>
      <w:r>
        <w:rPr>
          <w:i/>
          <w:color w:val="5A5A5A"/>
          <w:sz w:val="24"/>
        </w:rPr>
        <w:t>AAN module: Sentinel detection engineering — from log warehouse to firing rules</w:t>
      </w:r>
    </w:p>
    <w:p>
      <w:r>
        <w:rPr>
          <w:color w:val="1E8C8C"/>
          <w:sz w:val="18"/>
        </w:rPr>
        <w:t>Federal AAN Training Program — companion material for the federal AAN book series; not part of UIAO.</w:t>
      </w:r>
    </w:p>
    <w:p>
      <w:pPr>
        <w:spacing w:before="80" w:after="80"/>
      </w:pPr>
      <w:r>
        <w:rPr>
          <w:b/>
          <w:sz w:val="22"/>
        </w:rPr>
        <w:t>Source:</w:t>
      </w:r>
      <w:r>
        <w:rPr>
          <w:sz w:val="22"/>
        </w:rPr>
        <w:t xml:space="preserve"> Book_13 SIEM XDR Detection &lt;https://github.com/WhalerMike/uiao/blob/main/inbox/Application%20Aware%20Networking/Book_13_FedAAN_SIEM_XDR_Detection.qmd&gt; · </w:t>
      </w:r>
      <w:r>
        <w:rPr>
          <w:b/>
          <w:sz w:val="22"/>
        </w:rPr>
        <w:t>Evidence slots:</w:t>
      </w:r>
      <w:r>
        <w:rPr>
          <w:sz w:val="22"/>
        </w:rPr>
        <w:t xml:space="preserve"> 4 — telemetry (KSI-MLA); 6 — security (KSI-CMT) · </w:t>
      </w:r>
      <w:r>
        <w:rPr>
          <w:b/>
          <w:sz w:val="22"/>
        </w:rPr>
        <w:t>Track modules:</w:t>
      </w:r>
      <w:r>
        <w:rPr>
          <w:sz w:val="22"/>
        </w:rPr>
        <w:t xml:space="preserve"> A4, A6, B6</w:t>
      </w:r>
    </w:p>
    <w:p>
      <w:pPr>
        <w:pStyle w:val="Heading3"/>
      </w:pPr>
      <w:r>
        <w:rPr>
          <w:color w:val="0D1B2E"/>
        </w:rPr>
        <w:t>Scope</w:t>
      </w:r>
    </w:p>
    <w:p>
      <w:pPr>
        <w:spacing w:before="80" w:after="80"/>
      </w:pPr>
      <w:r>
        <w:rPr>
          <w:sz w:val="22"/>
        </w:rPr>
        <w:t xml:space="preserve">Converts the deep log pipeline built in Books 01–12 into an active detection and response capability. Thesis: </w:t>
      </w:r>
      <w:r>
        <w:rPr>
          <w:b/>
          <w:sz w:val="22"/>
        </w:rPr>
        <w:t>a log warehouse with no firing rules fails AU-6</w:t>
      </w:r>
      <w:r>
        <w:rPr>
          <w:sz w:val="22"/>
        </w:rPr>
        <w:t xml:space="preserve"> — "a SIEM with zero configured analytics rules does not pass." Covers Sentinel connectors, a 20-rule KQL detection library, UEBA, automation playbooks, the IR-8 documentation set, and three-tier AU-11 retention.</w:t>
      </w:r>
    </w:p>
    <w:p>
      <w:pPr>
        <w:pStyle w:val="Heading3"/>
      </w:pPr>
      <w:r>
        <w:rPr>
          <w:color w:val="0D1B2E"/>
        </w:rPr>
        <w:t>Learning objectives</w:t>
      </w:r>
    </w:p>
    <w:p>
      <w:pPr>
        <w:pStyle w:val="ListBullet"/>
      </w:pPr>
      <w:r>
        <w:rPr>
          <w:sz w:val="22"/>
        </w:rPr>
        <w:t>Articulate the FedRAMP AU-6 evidence standard (fired alert → incident ticket → response documentation → closure) and the log-aggregator-vs-SIEM distinction.</w:t>
      </w:r>
    </w:p>
    <w:p>
      <w:pPr>
        <w:pStyle w:val="ListBullet"/>
      </w:pPr>
      <w:r>
        <w:rPr>
          <w:sz w:val="22"/>
        </w:rPr>
        <w:t>Connect Infoblox NIOS (CEF/syslog), Entra ID, Microsoft 365 Defender, Zscaler/Netskope SASE, SQL/Defender for SQL, and Infoblox TIDE TAXII threat intel to Sentinel, with EPS sizing.</w:t>
      </w:r>
    </w:p>
    <w:p>
      <w:pPr>
        <w:pStyle w:val="ListBullet"/>
      </w:pPr>
      <w:r>
        <w:rPr>
          <w:sz w:val="22"/>
        </w:rPr>
        <w:t>Author and tune KQL analytics rules (DNS C2 beaconing, impossible travel, off-hours PIM activation, MFA fatigue, post-block NTLM) through the four-phase detection lifecycle.</w:t>
      </w:r>
    </w:p>
    <w:p>
      <w:pPr>
        <w:pStyle w:val="ListBullet"/>
      </w:pPr>
      <w:r>
        <w:rPr>
          <w:sz w:val="22"/>
        </w:rPr>
        <w:t>Explain Sentinel UEBA: investigation priority scores, peer-group deviation, entity pages, Identity Protection integration.</w:t>
      </w:r>
    </w:p>
    <w:p>
      <w:pPr>
        <w:pStyle w:val="ListBullet"/>
      </w:pPr>
      <w:r>
        <w:rPr>
          <w:sz w:val="22"/>
        </w:rPr>
        <w:t>Build automation rules and Logic App playbooks for suppression, enrichment, KEV-triggered device isolation, and compound-signal account disable.</w:t>
      </w:r>
    </w:p>
    <w:p>
      <w:pPr>
        <w:pStyle w:val="ListBullet"/>
      </w:pPr>
      <w:r>
        <w:rPr>
          <w:sz w:val="22"/>
        </w:rPr>
        <w:t>Assemble the seven IR artifacts assessors require and map Sentinel workflow to NIST SP 800-61 Rev 2 phases.</w:t>
      </w:r>
    </w:p>
    <w:p>
      <w:pPr>
        <w:pStyle w:val="ListBullet"/>
      </w:pPr>
      <w:r>
        <w:rPr>
          <w:sz w:val="22"/>
        </w:rPr>
        <w:t>Configure three-tier retention (90-day hot, archive to 3 years, WORM blob with legal hold) and reason about commitment-tier pricing.</w:t>
      </w:r>
    </w:p>
    <w:p>
      <w:pPr>
        <w:pStyle w:val="Heading3"/>
      </w:pPr>
      <w:r>
        <w:rPr>
          <w:color w:val="0D1B2E"/>
        </w:rPr>
        <w:t>Key concepts</w:t>
      </w:r>
    </w:p>
    <w:p>
      <w:pPr>
        <w:pStyle w:val="ListBullet"/>
      </w:pPr>
      <w:r>
        <w:rPr>
          <w:sz w:val="22"/>
        </w:rPr>
        <w:t>Log warehouse vs. detection engine; the MTTD comparison (days-to-never → minutes).</w:t>
      </w:r>
    </w:p>
    <w:p>
      <w:pPr>
        <w:pStyle w:val="ListBullet"/>
      </w:pPr>
      <w:r>
        <w:rPr>
          <w:sz w:val="22"/>
        </w:rPr>
        <w:t xml:space="preserve">Detection lifecycle: author → historical test → deploy with </w:t>
      </w:r>
      <w:r>
        <w:rPr>
          <w:rFonts w:ascii="Consolas" w:hAnsi="Consolas"/>
          <w:sz w:val="22"/>
        </w:rPr>
        <w:t>createIncident:false</w:t>
      </w:r>
      <w:r>
        <w:rPr>
          <w:sz w:val="22"/>
        </w:rPr>
        <w:t xml:space="preserve"> tuning window → steady-state review.</w:t>
      </w:r>
    </w:p>
    <w:p>
      <w:pPr>
        <w:pStyle w:val="ListBullet"/>
      </w:pPr>
      <w:r>
        <w:rPr>
          <w:sz w:val="22"/>
        </w:rPr>
        <w:t>The 20-rule priority detection library keyed to series log sources.</w:t>
      </w:r>
    </w:p>
    <w:p>
      <w:pPr>
        <w:pStyle w:val="ListBullet"/>
      </w:pPr>
      <w:r>
        <w:rPr>
          <w:sz w:val="22"/>
        </w:rPr>
        <w:t>UEBA investigation priority score; Defender for Identity during hybrid AD transition.</w:t>
      </w:r>
    </w:p>
    <w:p>
      <w:pPr>
        <w:pStyle w:val="ListBullet"/>
      </w:pPr>
      <w:r>
        <w:rPr>
          <w:sz w:val="22"/>
        </w:rPr>
        <w:t>Two-level automation: Sentinel automation rules + Logic App playbooks (enrich → notify → contain).</w:t>
      </w:r>
    </w:p>
    <w:p>
      <w:pPr>
        <w:pStyle w:val="ListBullet"/>
      </w:pPr>
      <w:r>
        <w:rPr>
          <w:sz w:val="22"/>
        </w:rPr>
        <w:t>TIDE TAXII IOC auto-correlation every 15 minutes; NARA GRS 3.2 three-year floor; OMB M-20-04 1-hour US-CERT reporting.</w:t>
      </w:r>
    </w:p>
    <w:p>
      <w:pPr>
        <w:pStyle w:val="Heading3"/>
      </w:pPr>
      <w:r>
        <w:rPr>
          <w:color w:val="0D1B2E"/>
        </w:rPr>
        <w:t>Implementation sequence</w:t>
      </w:r>
    </w:p>
    <w:p>
      <w:pPr>
        <w:pStyle w:val="ListNumber"/>
      </w:pPr>
      <w:r>
        <w:rPr>
          <w:sz w:val="22"/>
        </w:rPr>
        <w:t>Deploy Sentinel connectors for all Books 01–12 sources; verify ingestion health per table.</w:t>
      </w:r>
    </w:p>
    <w:p>
      <w:pPr>
        <w:pStyle w:val="ListNumber"/>
      </w:pPr>
      <w:r>
        <w:rPr>
          <w:sz w:val="22"/>
        </w:rPr>
        <w:t>Configure per-table retention plus WORM blob export.</w:t>
      </w:r>
    </w:p>
    <w:p>
      <w:pPr>
        <w:pStyle w:val="ListNumber"/>
      </w:pPr>
      <w:r>
        <w:rPr>
          <w:sz w:val="22"/>
        </w:rPr>
        <w:t>Deploy the KQL-included priority rules in tuning mode; promote after two weeks of false-positive review.</w:t>
      </w:r>
    </w:p>
    <w:p>
      <w:pPr>
        <w:pStyle w:val="ListNumber"/>
      </w:pPr>
      <w:r>
        <w:rPr>
          <w:sz w:val="22"/>
        </w:rPr>
        <w:t>Roll out the remaining detections once the first set is stable.</w:t>
      </w:r>
    </w:p>
    <w:p>
      <w:pPr>
        <w:pStyle w:val="ListNumber"/>
      </w:pPr>
      <w:r>
        <w:rPr>
          <w:sz w:val="22"/>
        </w:rPr>
        <w:t>Enable UEBA (plus Defender for Identity if hybrid AD remains) and TIDE TAXII intel.</w:t>
      </w:r>
    </w:p>
    <w:p>
      <w:pPr>
        <w:pStyle w:val="ListNumber"/>
      </w:pPr>
      <w:r>
        <w:rPr>
          <w:sz w:val="22"/>
        </w:rPr>
        <w:t>Build automation: suppression watchlists, enrichment playbook, ServiceNow/Teams notification, gated isolation and account-disable playbooks.</w:t>
      </w:r>
    </w:p>
    <w:p>
      <w:pPr>
        <w:pStyle w:val="ListNumber"/>
      </w:pPr>
      <w:r>
        <w:rPr>
          <w:sz w:val="22"/>
        </w:rPr>
        <w:t>Author the IR plan and seven artifacts; run the annual tabletop.</w:t>
      </w:r>
    </w:p>
    <w:p>
      <w:pPr>
        <w:pStyle w:val="Heading3"/>
      </w:pPr>
      <w:r>
        <w:rPr>
          <w:color w:val="0D1B2E"/>
        </w:rPr>
        <w:t>Compliance hooks</w:t>
      </w:r>
    </w:p>
    <w:p>
      <w:pPr>
        <w:spacing w:before="80" w:after="80"/>
      </w:pPr>
      <w:r>
        <w:rPr>
          <w:sz w:val="22"/>
        </w:rPr>
        <w:t>AU-6, AU-6(1), AU-6(4), AU-7, AU-8, AU-11, SI-4, SI-4(2)(4)(7), IR-4, IR-6, IR-8. NIST SP 800-61 Rev 2; NARA GRS 3.2; OMB M-20-04. FedRAMP 20x KSI families: KSI-AU, KSI-SI, KSI-IR.</w:t>
      </w:r>
    </w:p>
    <w:p>
      <w:pPr>
        <w:pStyle w:val="Heading3"/>
      </w:pPr>
      <w:r>
        <w:rPr>
          <w:color w:val="0D1B2E"/>
        </w:rPr>
        <w:t>Prerequisites</w:t>
      </w:r>
    </w:p>
    <w:p>
      <w:pPr>
        <w:spacing w:before="80" w:after="80"/>
      </w:pPr>
      <w:r>
        <w:rPr>
          <w:sz w:val="22"/>
        </w:rPr>
        <w:t>The full log pipeline from Books 01–12 (Infoblox syslog/RPZ/DNSSEC, SASE flow telemetry, Entra sign-in/audit, SQL continuous audit, Defender for Endpoint, PAM, vulnerability posture). Working KQL and Logic Apps knowledge.</w:t>
      </w:r>
    </w:p>
    <w:p>
      <w:pPr>
        <w:pStyle w:val="Heading3"/>
      </w:pPr>
      <w:r>
        <w:rPr>
          <w:color w:val="0D1B2E"/>
        </w:rPr>
        <w:t>Labs</w:t>
      </w:r>
    </w:p>
    <w:p>
      <w:pPr>
        <w:pStyle w:val="ListNumber"/>
      </w:pPr>
      <w:r>
        <w:rPr>
          <w:sz w:val="22"/>
        </w:rPr>
        <w:t xml:space="preserve">Build the CEF forwarder path for Infoblox, validate </w:t>
      </w:r>
      <w:r>
        <w:rPr>
          <w:rFonts w:ascii="Consolas" w:hAnsi="Consolas"/>
          <w:sz w:val="22"/>
        </w:rPr>
        <w:t>CommonSecurityLog</w:t>
      </w:r>
      <w:r>
        <w:rPr>
          <w:sz w:val="22"/>
        </w:rPr>
        <w:t xml:space="preserve"> ingestion, deploy the DNS C2 beacon rule, and tune its threshold against a simulated beaconing script.</w:t>
      </w:r>
    </w:p>
    <w:p>
      <w:pPr>
        <w:pStyle w:val="ListNumber"/>
      </w:pPr>
      <w:r>
        <w:rPr>
          <w:sz w:val="22"/>
        </w:rPr>
        <w:t>Implement the MFA-fatigue KQL rule and an enrichment playbook that appends Entra risk level and device compliance as incident comments.</w:t>
      </w:r>
    </w:p>
    <w:p>
      <w:pPr>
        <w:pStyle w:val="ListNumber"/>
      </w:pPr>
      <w:r>
        <w:rPr>
          <w:sz w:val="22"/>
        </w:rPr>
        <w:t>Configure the three-tier retention architecture including a WORM container with a 1,095-day immutability policy; produce the AU-11 evidence export.</w:t>
      </w:r>
    </w:p>
    <w:p>
      <w:pPr>
        <w:pStyle w:val="Heading3"/>
      </w:pPr>
      <w:r>
        <w:rPr>
          <w:color w:val="0D1B2E"/>
        </w:rPr>
        <w:t>Pitfalls the book calls out</w:t>
      </w:r>
    </w:p>
    <w:p>
      <w:pPr>
        <w:pStyle w:val="ListBullet"/>
      </w:pPr>
      <w:r>
        <w:rPr>
          <w:sz w:val="22"/>
        </w:rPr>
        <w:t xml:space="preserve">Trusting every incident immediately (SOC overload) or ignoring the tuning window — use the two-week </w:t>
      </w:r>
      <w:r>
        <w:rPr>
          <w:rFonts w:ascii="Consolas" w:hAnsi="Consolas"/>
          <w:sz w:val="22"/>
        </w:rPr>
        <w:t>createIncident:false</w:t>
      </w:r>
      <w:r>
        <w:rPr>
          <w:sz w:val="22"/>
        </w:rPr>
        <w:t xml:space="preserve"> pattern.</w:t>
      </w:r>
    </w:p>
    <w:p>
      <w:pPr>
        <w:pStyle w:val="ListBullet"/>
      </w:pPr>
      <w:r>
        <w:rPr>
          <w:sz w:val="22"/>
        </w:rPr>
        <w:t>Triggering automated isolation on vulnerability presence rather than confirmed exploit status; gate non-workstation classes behind approval.</w:t>
      </w:r>
    </w:p>
    <w:p>
      <w:pPr>
        <w:pStyle w:val="ListBullet"/>
      </w:pPr>
      <w:r>
        <w:rPr>
          <w:sz w:val="22"/>
        </w:rPr>
        <w:t>A SIEM where every rule is disabled "pending tuning" is still an AU-6 finding.</w:t>
      </w:r>
    </w:p>
    <w:p>
      <w:pPr>
        <w:pStyle w:val="ListBullet"/>
      </w:pPr>
      <w:r>
        <w:rPr>
          <w:sz w:val="22"/>
        </w:rPr>
        <w:t>Ignoring commitment-tier pricing past 100 GB/day leaves 15–65% savings on the table.</w:t>
      </w:r>
    </w:p>
    <w:p>
      <w:pPr>
        <w:pStyle w:val="Heading3"/>
      </w:pPr>
      <w:r>
        <w:rPr>
          <w:color w:val="0D1B2E"/>
        </w:rPr>
        <w:t>Vendor training</w:t>
      </w:r>
    </w:p>
    <w:p>
      <w:pPr>
        <w:spacing w:before="80" w:after="80"/>
      </w:pPr>
      <w:r>
        <w:rPr>
          <w:sz w:val="22"/>
        </w:rPr>
        <w:t>SC-200, Splunk / Elastic, SANS, CISA Learning, ServiceNow University.</w:t>
      </w:r>
    </w:p>
    <w:p>
      <w:pPr>
        <w:spacing w:before="80" w:after="80"/>
      </w:pPr>
      <w:r>
        <w:rPr>
          <w:b/>
          <w:sz w:val="22"/>
        </w:rPr>
        <w:t>Previous:</w:t>
      </w:r>
      <w:r>
        <w:rPr>
          <w:sz w:val="22"/>
        </w:rPr>
        <w:t xml:space="preserve"> Book 12 · </w:t>
      </w:r>
      <w:r>
        <w:rPr>
          <w:b/>
          <w:sz w:val="22"/>
        </w:rPr>
        <w:t>Next:</w:t>
      </w:r>
      <w:r>
        <w:rPr>
          <w:sz w:val="22"/>
        </w:rPr>
        <w:t xml:space="preserve"> Book 14 — Business Continuity</w:t>
      </w:r>
    </w:p>
    <w:p>
      <w:r>
        <w:br w:type="page"/>
      </w:r>
    </w:p>
    <w:p>
      <w:pPr>
        <w:pStyle w:val="Heading1"/>
      </w:pPr>
      <w:r>
        <w:rPr>
          <w:color w:val="0D1B2E"/>
        </w:rPr>
        <w:t>Book 14 — Business Continuity</w:t>
      </w:r>
    </w:p>
    <w:p>
      <w:r>
        <w:rPr>
          <w:i/>
          <w:color w:val="5A5A5A"/>
          <w:sz w:val="24"/>
        </w:rPr>
        <w:t>AAN module: the CP-2 contingency plan as artifact — BIA, recovery phases, and tested failover</w:t>
      </w:r>
    </w:p>
    <w:p>
      <w:r>
        <w:rPr>
          <w:color w:val="1E8C8C"/>
          <w:sz w:val="18"/>
        </w:rPr>
        <w:t>Federal AAN Training Program — companion material for the federal AAN book series; not part of UIAO.</w:t>
      </w:r>
    </w:p>
    <w:p>
      <w:pPr>
        <w:spacing w:before="80" w:after="80"/>
      </w:pPr>
      <w:r>
        <w:rPr>
          <w:b/>
          <w:sz w:val="22"/>
        </w:rPr>
        <w:t>Source:</w:t>
      </w:r>
      <w:r>
        <w:rPr>
          <w:sz w:val="22"/>
        </w:rPr>
        <w:t xml:space="preserve"> Book_14 Business Continuity &lt;https://github.com/WhalerMike/uiao/blob/main/inbox/Application%20Aware%20Networking/Book_14_FedAAN_Business_Continuity.qmd&gt; · </w:t>
      </w:r>
      <w:r>
        <w:rPr>
          <w:b/>
          <w:sz w:val="22"/>
        </w:rPr>
        <w:t>Evidence slot:</w:t>
      </w:r>
      <w:r>
        <w:rPr>
          <w:sz w:val="22"/>
        </w:rPr>
        <w:t xml:space="preserve"> 7 — continuity (KSI-RPL, CP-2 / CP-4) · </w:t>
      </w:r>
      <w:r>
        <w:rPr>
          <w:b/>
          <w:sz w:val="22"/>
        </w:rPr>
        <w:t>Track modules:</w:t>
      </w:r>
      <w:r>
        <w:rPr>
          <w:sz w:val="22"/>
        </w:rPr>
        <w:t xml:space="preserve"> A7, B7</w:t>
      </w:r>
    </w:p>
    <w:p>
      <w:pPr>
        <w:pStyle w:val="Heading3"/>
      </w:pPr>
      <w:r>
        <w:rPr>
          <w:color w:val="0D1B2E"/>
        </w:rPr>
        <w:t>Scope</w:t>
      </w:r>
    </w:p>
    <w:p>
      <w:pPr>
        <w:spacing w:before="80" w:after="80"/>
      </w:pPr>
      <w:r>
        <w:rPr>
          <w:sz w:val="22"/>
        </w:rPr>
        <w:t xml:space="preserve">Capable DR infrastructure (Books 01–13) does not satisfy CP-2 — </w:t>
      </w:r>
      <w:r>
        <w:rPr>
          <w:b/>
          <w:sz w:val="22"/>
        </w:rPr>
        <w:t>only a signed, distributed, tested Contingency Plan document does</w:t>
      </w:r>
      <w:r>
        <w:rPr>
          <w:sz w:val="22"/>
        </w:rPr>
        <w:t>. The book assembles the series' technical capabilities into a NIST SP 800-34 Rev 1 seven-section plan, anchored by a Business Impact Analysis, and closes the full CP family (CP-2 through CP-10) with testing and after-action artifacts.</w:t>
      </w:r>
    </w:p>
    <w:p>
      <w:pPr>
        <w:pStyle w:val="Heading3"/>
      </w:pPr>
      <w:r>
        <w:rPr>
          <w:color w:val="0D1B2E"/>
        </w:rPr>
        <w:t>Learning objectives</w:t>
      </w:r>
    </w:p>
    <w:p>
      <w:pPr>
        <w:pStyle w:val="ListBullet"/>
      </w:pPr>
      <w:r>
        <w:rPr>
          <w:sz w:val="22"/>
        </w:rPr>
        <w:t>Distinguish a DR runbook (the middle of a response) from a CP-2 Contingency Plan (activation, notification, sequencing, reconstitution) and explain why assessors write High findings absent the document.</w:t>
      </w:r>
    </w:p>
    <w:p>
      <w:pPr>
        <w:pStyle w:val="ListBullet"/>
      </w:pPr>
      <w:r>
        <w:rPr>
          <w:sz w:val="22"/>
        </w:rPr>
        <w:t>Conduct a BIA producing MTD, RTO, RPO, and WRT per system via mission-owner interviews, transaction-rate analysis, and dependency mapping.</w:t>
      </w:r>
    </w:p>
    <w:p>
      <w:pPr>
        <w:pStyle w:val="ListBullet"/>
      </w:pPr>
      <w:r>
        <w:rPr>
          <w:sz w:val="22"/>
        </w:rPr>
        <w:t>Author all seven NIST SP 800-34 sections, including activation thresholds, a timed notification procedure, recovery priority ordering, and reconstitution/failback.</w:t>
      </w:r>
    </w:p>
    <w:p>
      <w:pPr>
        <w:pStyle w:val="ListBullet"/>
      </w:pPr>
      <w:r>
        <w:rPr>
          <w:sz w:val="22"/>
        </w:rPr>
        <w:t>Document CP-6 alternate storage across structured data (SQL AG async replica), unstructured data (M365 multi-geo), application binaries, and IaC/policy baselines.</w:t>
      </w:r>
    </w:p>
    <w:p>
      <w:pPr>
        <w:pStyle w:val="ListBullet"/>
      </w:pPr>
      <w:r>
        <w:rPr>
          <w:sz w:val="22"/>
        </w:rPr>
        <w:t>Document CP-7 alternate processing (secondary cloud region, tested-not-designed RTOs) and CP-8 telecom redundancy (SD-WAN MPLS + DIA dual underlay).</w:t>
      </w:r>
    </w:p>
    <w:p>
      <w:pPr>
        <w:pStyle w:val="ListBullet"/>
      </w:pPr>
      <w:r>
        <w:rPr>
          <w:sz w:val="22"/>
        </w:rPr>
        <w:t>Plan and facilitate a CP-4 tabletop exercise with injects, metrics, and a signed After-Action Report.</w:t>
      </w:r>
    </w:p>
    <w:p>
      <w:pPr>
        <w:pStyle w:val="Heading3"/>
      </w:pPr>
      <w:r>
        <w:rPr>
          <w:color w:val="0D1B2E"/>
        </w:rPr>
        <w:t>Key concepts</w:t>
      </w:r>
    </w:p>
    <w:p>
      <w:pPr>
        <w:pStyle w:val="ListBullet"/>
      </w:pPr>
      <w:r>
        <w:rPr>
          <w:sz w:val="22"/>
        </w:rPr>
        <w:t>"Technology without a plan fails CP-2" — the plan as artifact, not capability.</w:t>
      </w:r>
    </w:p>
    <w:p>
      <w:pPr>
        <w:pStyle w:val="ListBullet"/>
      </w:pPr>
      <w:r>
        <w:rPr>
          <w:sz w:val="22"/>
        </w:rPr>
        <w:t>BIA quartet: MTD &gt; RTO; RTO + WRT &lt; MTD; RPO as concrete transaction loss at peak.</w:t>
      </w:r>
    </w:p>
    <w:p>
      <w:pPr>
        <w:pStyle w:val="ListBullet"/>
      </w:pPr>
      <w:r>
        <w:rPr>
          <w:sz w:val="22"/>
        </w:rPr>
        <w:t>Five recovery phases: Activation → Notification → Recovery → Validation → Reconstitution.</w:t>
      </w:r>
    </w:p>
    <w:p>
      <w:pPr>
        <w:pStyle w:val="ListBullet"/>
      </w:pPr>
      <w:r>
        <w:rPr>
          <w:sz w:val="22"/>
        </w:rPr>
        <w:t>Contingency Plan Coordinator (CPC) authority model with named alternate.</w:t>
      </w:r>
    </w:p>
    <w:p>
      <w:pPr>
        <w:pStyle w:val="ListBullet"/>
      </w:pPr>
      <w:r>
        <w:rPr>
          <w:sz w:val="22"/>
        </w:rPr>
        <w:t>Dependency-driven recovery priority: network/DDI first, identity second, mission apps next.</w:t>
      </w:r>
    </w:p>
    <w:p>
      <w:pPr>
        <w:pStyle w:val="ListBullet"/>
      </w:pPr>
      <w:r>
        <w:rPr>
          <w:sz w:val="22"/>
        </w:rPr>
        <w:t>CP-6(1)/CP-7(1) geographic separation: different region, not just availability zone.</w:t>
      </w:r>
    </w:p>
    <w:p>
      <w:pPr>
        <w:pStyle w:val="ListBullet"/>
      </w:pPr>
      <w:r>
        <w:rPr>
          <w:sz w:val="22"/>
        </w:rPr>
        <w:t>Three-year test cycle: tabletop → functional failover → full recovery test.</w:t>
      </w:r>
    </w:p>
    <w:p>
      <w:pPr>
        <w:pStyle w:val="Heading3"/>
      </w:pPr>
      <w:r>
        <w:rPr>
          <w:color w:val="0D1B2E"/>
        </w:rPr>
        <w:t>Implementation sequence</w:t>
      </w:r>
    </w:p>
    <w:p>
      <w:pPr>
        <w:pStyle w:val="ListNumber"/>
      </w:pPr>
      <w:r>
        <w:rPr>
          <w:sz w:val="22"/>
        </w:rPr>
        <w:t>Inventory systems from the Book 08 SQL estate and Book 01 DDI dependency maps; scope the BIA.</w:t>
      </w:r>
    </w:p>
    <w:p>
      <w:pPr>
        <w:pStyle w:val="ListNumber"/>
      </w:pPr>
      <w:r>
        <w:rPr>
          <w:sz w:val="22"/>
        </w:rPr>
        <w:t>Run stakeholder interviews and transaction analysis; compile the BIA table with mission-owner sign-off.</w:t>
      </w:r>
    </w:p>
    <w:p>
      <w:pPr>
        <w:pStyle w:val="ListNumber"/>
      </w:pPr>
      <w:r>
        <w:rPr>
          <w:sz w:val="22"/>
        </w:rPr>
        <w:t>Author the seven-section plan, referencing Books 01–13 runbooks as appendices rather than duplicating them.</w:t>
      </w:r>
    </w:p>
    <w:p>
      <w:pPr>
        <w:pStyle w:val="ListNumber"/>
      </w:pPr>
      <w:r>
        <w:rPr>
          <w:sz w:val="22"/>
        </w:rPr>
        <w:t>Document and validate CP-6 alternate storage (annual restore test) and CP-7 alternate processing (tested failover RTOs).</w:t>
      </w:r>
    </w:p>
    <w:p>
      <w:pPr>
        <w:pStyle w:val="ListNumber"/>
      </w:pPr>
      <w:r>
        <w:rPr>
          <w:sz w:val="22"/>
        </w:rPr>
        <w:t>Document CP-8 circuit inventory, failover thresholds, priority-of-service provisions.</w:t>
      </w:r>
    </w:p>
    <w:p>
      <w:pPr>
        <w:pStyle w:val="ListNumber"/>
      </w:pPr>
      <w:r>
        <w:rPr>
          <w:sz w:val="22"/>
        </w:rPr>
        <w:t>Execute the tabletop with deliberate injects; record metrics.</w:t>
      </w:r>
    </w:p>
    <w:p>
      <w:pPr>
        <w:pStyle w:val="ListNumber"/>
      </w:pPr>
      <w:r>
        <w:rPr>
          <w:sz w:val="22"/>
        </w:rPr>
        <w:t>Produce the signed AAR; plan updates within 30 days; annual cycle.</w:t>
      </w:r>
    </w:p>
    <w:p>
      <w:pPr>
        <w:pStyle w:val="Heading3"/>
      </w:pPr>
      <w:r>
        <w:rPr>
          <w:color w:val="0D1B2E"/>
        </w:rPr>
        <w:t>Compliance hooks</w:t>
      </w:r>
    </w:p>
    <w:p>
      <w:pPr>
        <w:spacing w:before="80" w:after="80"/>
      </w:pPr>
      <w:r>
        <w:rPr>
          <w:sz w:val="22"/>
        </w:rPr>
        <w:t>CP-2, CP-2(1), CP-2(8), CP-3, CP-4, CP-4(1), CP-6, CP-6(1), CP-7, CP-7(1), CP-7(3), CP-8, CP-8(1), CP-9, CP-10; AU-9 and IR-4 by cross-reference. NIST SP 800-34 Rev 1; FISMA; OMB A-130. FedRAMP 20x KSIs: backup and recovery; incident response and continuity.</w:t>
      </w:r>
    </w:p>
    <w:p>
      <w:pPr>
        <w:pStyle w:val="Heading3"/>
      </w:pPr>
      <w:r>
        <w:rPr>
          <w:color w:val="0D1B2E"/>
        </w:rPr>
        <w:t>Prerequisites</w:t>
      </w:r>
    </w:p>
    <w:p>
      <w:pPr>
        <w:spacing w:before="80" w:after="80"/>
      </w:pPr>
      <w:r>
        <w:rPr>
          <w:sz w:val="22"/>
        </w:rPr>
        <w:t>Explicitly the whole series: DDI Grid replication (01), SD-WAN dual underlay (02), break-glass identity (03, 07), SQL AG replicas (05–06), config backups (08), compliance exports (09), geo-redundant Sentinel logging (10). Facilitation and technical-writing skills matter as much as engineering here.</w:t>
      </w:r>
    </w:p>
    <w:p>
      <w:pPr>
        <w:pStyle w:val="Heading3"/>
      </w:pPr>
      <w:r>
        <w:rPr>
          <w:color w:val="0D1B2E"/>
        </w:rPr>
        <w:t>Labs</w:t>
      </w:r>
    </w:p>
    <w:p>
      <w:pPr>
        <w:pStyle w:val="ListNumber"/>
      </w:pPr>
      <w:r>
        <w:rPr>
          <w:sz w:val="22"/>
        </w:rPr>
        <w:t>Conduct a mock BIA interview; produce a signed BIA row (MTD/RTO/RPO/WRT plus dependencies) for a sample system.</w:t>
      </w:r>
    </w:p>
    <w:p>
      <w:pPr>
        <w:pStyle w:val="ListNumber"/>
      </w:pPr>
      <w:r>
        <w:rPr>
          <w:sz w:val="22"/>
        </w:rPr>
        <w:t>Run the book's 2-hour ransomware tabletop with its injects (absent CPC, wrong roster number, sync replica also compromised); complete the metrics table and AAR.</w:t>
      </w:r>
    </w:p>
    <w:p>
      <w:pPr>
        <w:pStyle w:val="ListNumber"/>
      </w:pPr>
      <w:r>
        <w:rPr>
          <w:sz w:val="22"/>
        </w:rPr>
        <w:t>Script the quarterly device-policy export to a secondary-region vault and perform the annual CP-6 restore-and-integrity test.</w:t>
      </w:r>
    </w:p>
    <w:p>
      <w:pPr>
        <w:pStyle w:val="Heading3"/>
      </w:pPr>
      <w:r>
        <w:rPr>
          <w:color w:val="0D1B2E"/>
        </w:rPr>
        <w:t>Pitfalls the book calls out</w:t>
      </w:r>
    </w:p>
    <w:p>
      <w:pPr>
        <w:pStyle w:val="ListBullet"/>
      </w:pPr>
      <w:r>
        <w:rPr>
          <w:sz w:val="22"/>
        </w:rPr>
        <w:t>Adjusting the MTD downward to match a convenient technical RTO — the MTD is a mission decision requiring mission-owner signature.</w:t>
      </w:r>
    </w:p>
    <w:p>
      <w:pPr>
        <w:pStyle w:val="ListBullet"/>
      </w:pPr>
      <w:r>
        <w:rPr>
          <w:sz w:val="22"/>
        </w:rPr>
        <w:t>Treating a wiki of runbooks as a Contingency Plan.</w:t>
      </w:r>
    </w:p>
    <w:p>
      <w:pPr>
        <w:pStyle w:val="ListBullet"/>
      </w:pPr>
      <w:r>
        <w:rPr>
          <w:sz w:val="22"/>
        </w:rPr>
        <w:t>A replica in the same region (AZ-only separation) fails CP-6(1)/CP-7(1) geographic separation.</w:t>
      </w:r>
    </w:p>
    <w:p>
      <w:pPr>
        <w:pStyle w:val="ListBullet"/>
      </w:pPr>
      <w:r>
        <w:rPr>
          <w:sz w:val="22"/>
        </w:rPr>
        <w:t>Clean test results are a red flag — a zero-finding tabletop signals an inadequate scenario. Keep personal phone numbers out of the plan body.</w:t>
      </w:r>
    </w:p>
    <w:p>
      <w:pPr>
        <w:pStyle w:val="Heading3"/>
      </w:pPr>
      <w:r>
        <w:rPr>
          <w:color w:val="0D1B2E"/>
        </w:rPr>
        <w:t>Vendor training</w:t>
      </w:r>
    </w:p>
    <w:p>
      <w:pPr>
        <w:spacing w:before="80" w:after="80"/>
      </w:pPr>
      <w:r>
        <w:rPr>
          <w:sz w:val="22"/>
        </w:rPr>
        <w:t>CISA Learning.</w:t>
      </w:r>
    </w:p>
    <w:p>
      <w:pPr>
        <w:spacing w:before="80" w:after="80"/>
      </w:pPr>
      <w:r>
        <w:rPr>
          <w:b/>
          <w:sz w:val="22"/>
        </w:rPr>
        <w:t>Previous:</w:t>
      </w:r>
      <w:r>
        <w:rPr>
          <w:sz w:val="22"/>
        </w:rPr>
        <w:t xml:space="preserve"> Book 13 · </w:t>
      </w:r>
      <w:r>
        <w:rPr>
          <w:b/>
          <w:sz w:val="22"/>
        </w:rPr>
        <w:t>Next:</w:t>
      </w:r>
      <w:r>
        <w:rPr>
          <w:sz w:val="22"/>
        </w:rPr>
        <w:t xml:space="preserve"> Book 15 — Supply Chain Risk Management</w:t>
      </w:r>
    </w:p>
    <w:p>
      <w:r>
        <w:br w:type="page"/>
      </w:r>
    </w:p>
    <w:p>
      <w:pPr>
        <w:pStyle w:val="Heading1"/>
      </w:pPr>
      <w:r>
        <w:rPr>
          <w:color w:val="0D1B2E"/>
        </w:rPr>
        <w:t>Book 15 — Supply Chain Risk Management</w:t>
      </w:r>
    </w:p>
    <w:p>
      <w:r>
        <w:rPr>
          <w:i/>
          <w:color w:val="5A5A5A"/>
          <w:sz w:val="24"/>
        </w:rPr>
        <w:t>AAN module: the SBOM / VDR / VEX pipeline for the BOD 26-04 gate</w:t>
      </w:r>
    </w:p>
    <w:p>
      <w:r>
        <w:rPr>
          <w:color w:val="1E8C8C"/>
          <w:sz w:val="18"/>
        </w:rPr>
        <w:t>Federal AAN Training Program — companion material for the federal AAN book series; not part of UIAO.</w:t>
      </w:r>
    </w:p>
    <w:p>
      <w:pPr>
        <w:spacing w:before="80" w:after="80"/>
      </w:pPr>
      <w:r>
        <w:rPr>
          <w:b/>
          <w:sz w:val="22"/>
        </w:rPr>
        <w:t>Source:</w:t>
      </w:r>
      <w:r>
        <w:rPr>
          <w:sz w:val="22"/>
        </w:rPr>
        <w:t xml:space="preserve"> Book_15 Supply Chain Risk Management &lt;https://github.com/WhalerMike/uiao/blob/main/inbox/Application%20Aware%20Networking/Book_15_FedAAN_Supply_Chain_Risk_Management.qmd&gt; · </w:t>
      </w:r>
      <w:r>
        <w:rPr>
          <w:b/>
          <w:sz w:val="22"/>
        </w:rPr>
        <w:t>Evidence slot:</w:t>
      </w:r>
      <w:r>
        <w:rPr>
          <w:sz w:val="22"/>
        </w:rPr>
        <w:t xml:space="preserve"> 6 — security (KSI-CMT, CM-2 / AC-4) · </w:t>
      </w:r>
      <w:r>
        <w:rPr>
          <w:b/>
          <w:sz w:val="22"/>
        </w:rPr>
        <w:t>Track modules:</w:t>
      </w:r>
      <w:r>
        <w:rPr>
          <w:sz w:val="22"/>
        </w:rPr>
        <w:t xml:space="preserve"> A6, B7</w:t>
      </w:r>
    </w:p>
    <w:p>
      <w:pPr>
        <w:pStyle w:val="Heading3"/>
      </w:pPr>
      <w:r>
        <w:rPr>
          <w:color w:val="0D1B2E"/>
        </w:rPr>
        <w:t>Scope</w:t>
      </w:r>
    </w:p>
    <w:p>
      <w:pPr>
        <w:spacing w:before="80" w:after="80"/>
      </w:pPr>
      <w:r>
        <w:rPr>
          <w:sz w:val="22"/>
        </w:rPr>
        <w:t xml:space="preserve">The technical architecture, CI/CD pipeline, and governance process for CISA BOD 26-04's </w:t>
      </w:r>
      <w:r>
        <w:rPr>
          <w:b/>
          <w:sz w:val="22"/>
        </w:rPr>
        <w:t>December 7, 2026</w:t>
      </w:r>
      <w:r>
        <w:rPr>
          <w:sz w:val="22"/>
        </w:rPr>
        <w:t xml:space="preserve"> SBOM/VDR/VER deadline under FedRAMP 20x. Thesis: a single automated </w:t>
      </w:r>
      <w:r>
        <w:rPr>
          <w:b/>
          <w:sz w:val="22"/>
        </w:rPr>
        <w:t>Syft → Grype → OpenVEX</w:t>
      </w:r>
      <w:r>
        <w:rPr>
          <w:sz w:val="22"/>
        </w:rPr>
        <w:t xml:space="preserve"> pipeline can simultaneously satisfy BOD 26-04's three tiers, close eight NIST SR-family controls, and provide the VER evidence contract that upgrades KSI-011–014 from scaffold to evaluable.</w:t>
      </w:r>
    </w:p>
    <w:p>
      <w:pPr>
        <w:pStyle w:val="Heading3"/>
      </w:pPr>
      <w:r>
        <w:rPr>
          <w:color w:val="0D1B2E"/>
        </w:rPr>
        <w:t>Learning objectives</w:t>
      </w:r>
    </w:p>
    <w:p>
      <w:pPr>
        <w:pStyle w:val="ListBullet"/>
      </w:pPr>
      <w:r>
        <w:rPr>
          <w:sz w:val="22"/>
        </w:rPr>
        <w:t>Explain BOD 26-04's three compliance tiers (SBOM, VDR, VEX) and their shared deadline.</w:t>
      </w:r>
    </w:p>
    <w:p>
      <w:pPr>
        <w:pStyle w:val="ListBullet"/>
      </w:pPr>
      <w:r>
        <w:rPr>
          <w:sz w:val="22"/>
        </w:rPr>
        <w:t>Build a GitHub Actions workflow that generates a CycloneDX 1.6 SBOM with Syft and a VDR with Grype on every push and release.</w:t>
      </w:r>
    </w:p>
    <w:p>
      <w:pPr>
        <w:pStyle w:val="ListBullet"/>
      </w:pPr>
      <w:r>
        <w:rPr>
          <w:sz w:val="22"/>
        </w:rPr>
        <w:t>Verify an SBOM against the NTIA minimum elements using CycloneDX fields (supplier, name, version, PURL, dependencies, author, timestamp).</w:t>
      </w:r>
    </w:p>
    <w:p>
      <w:pPr>
        <w:pStyle w:val="ListBullet"/>
      </w:pPr>
      <w:r>
        <w:rPr>
          <w:sz w:val="22"/>
        </w:rPr>
        <w:t>Author an OpenVEX statement with correct status, justification, impact statement, and action statement for a given CVE and deployment context.</w:t>
      </w:r>
    </w:p>
    <w:p>
      <w:pPr>
        <w:pStyle w:val="ListBullet"/>
      </w:pPr>
      <w:r>
        <w:rPr>
          <w:sz w:val="22"/>
        </w:rPr>
        <w:t>Implement KEV-catalog triage that escalates matching CVEs to P0 with the 14-day BOD 22-01 SLA.</w:t>
      </w:r>
    </w:p>
    <w:p>
      <w:pPr>
        <w:pStyle w:val="ListBullet"/>
      </w:pPr>
      <w:r>
        <w:rPr>
          <w:sz w:val="22"/>
        </w:rPr>
        <w:t>Map pipeline artifacts to SR-1 through SR-11 evidence and to KSI-011–014.</w:t>
      </w:r>
    </w:p>
    <w:p>
      <w:pPr>
        <w:pStyle w:val="ListBullet"/>
      </w:pPr>
      <w:r>
        <w:rPr>
          <w:sz w:val="22"/>
        </w:rPr>
        <w:t>Describe the SLSA Level 1→3 progression and what is implemented at each level.</w:t>
      </w:r>
    </w:p>
    <w:p>
      <w:pPr>
        <w:pStyle w:val="Heading3"/>
      </w:pPr>
      <w:r>
        <w:rPr>
          <w:color w:val="0D1B2E"/>
        </w:rPr>
        <w:t>Key concepts</w:t>
      </w:r>
    </w:p>
    <w:p>
      <w:pPr>
        <w:pStyle w:val="ListBullet"/>
      </w:pPr>
      <w:r>
        <w:rPr>
          <w:sz w:val="22"/>
        </w:rPr>
        <w:t>Six-stage pipeline: source → Syft → Grype → VEX → immutable archive → CISA VEX Portal / Sentinel.</w:t>
      </w:r>
    </w:p>
    <w:p>
      <w:pPr>
        <w:pStyle w:val="ListBullet"/>
      </w:pPr>
      <w:r>
        <w:rPr>
          <w:sz w:val="22"/>
        </w:rPr>
        <w:t>CycloneDX 1.6 XML as the CISA-preferred format; OpenVEX v0.2.0 JSON.</w:t>
      </w:r>
    </w:p>
    <w:p>
      <w:pPr>
        <w:pStyle w:val="ListBullet"/>
      </w:pPr>
      <w:r>
        <w:rPr>
          <w:sz w:val="22"/>
        </w:rPr>
        <w:t>Four VEX status values (not_affected / affected / fixed / under_investigation; 7-day analysis window).</w:t>
      </w:r>
    </w:p>
    <w:p>
      <w:pPr>
        <w:pStyle w:val="ListBullet"/>
      </w:pPr>
      <w:r>
        <w:rPr>
          <w:sz w:val="22"/>
        </w:rPr>
        <w:t>Vendor disclosure matrix as SR-6 evidence.</w:t>
      </w:r>
    </w:p>
    <w:p>
      <w:pPr>
        <w:pStyle w:val="ListBullet"/>
      </w:pPr>
      <w:r>
        <w:rPr>
          <w:sz w:val="22"/>
        </w:rPr>
        <w:t>SLSA Level 2 target with Cosign/sigstore signing and GPG-signed manifests.</w:t>
      </w:r>
    </w:p>
    <w:p>
      <w:pPr>
        <w:pStyle w:val="ListBullet"/>
      </w:pPr>
      <w:r>
        <w:rPr>
          <w:sz w:val="22"/>
        </w:rPr>
        <w:t>Azure Blob immutable-tier storage, 7-year NARA retention; Sentinel KQL rule for KEV-overdue breaches.</w:t>
      </w:r>
    </w:p>
    <w:p>
      <w:pPr>
        <w:pStyle w:val="Heading3"/>
      </w:pPr>
      <w:r>
        <w:rPr>
          <w:color w:val="0D1B2E"/>
        </w:rPr>
        <w:t>Implementation sequence</w:t>
      </w:r>
    </w:p>
    <w:p>
      <w:pPr>
        <w:pStyle w:val="ListNumber"/>
      </w:pPr>
      <w:r>
        <w:rPr>
          <w:sz w:val="22"/>
        </w:rPr>
        <w:t>Immediate (July 2026): install Syft/Grype in CI; generate initial SBOMs; register with vendor disclosure portals (MSRC, PSIRT, Infoblox).</w:t>
      </w:r>
    </w:p>
    <w:p>
      <w:pPr>
        <w:pStyle w:val="ListNumber"/>
      </w:pPr>
      <w:r>
        <w:rPr>
          <w:sz w:val="22"/>
        </w:rPr>
        <w:t>Phase 1 (Aug–Sep 2026): author initial VEX for critical/high CVEs; test CISA VEX Portal submission; require supplier SBOMs in acquisition policy.</w:t>
      </w:r>
    </w:p>
    <w:p>
      <w:pPr>
        <w:pStyle w:val="ListNumber"/>
      </w:pPr>
      <w:r>
        <w:rPr>
          <w:sz w:val="22"/>
        </w:rPr>
        <w:t>Phase 2 (Oct 2026): achieve SLSA Level 2 on release workflows.</w:t>
      </w:r>
    </w:p>
    <w:p>
      <w:pPr>
        <w:pStyle w:val="ListNumber"/>
      </w:pPr>
      <w:r>
        <w:rPr>
          <w:sz w:val="22"/>
        </w:rPr>
        <w:t>Phase 3 (Nov 2026): complete the VEX quarterly review cycle.</w:t>
      </w:r>
    </w:p>
    <w:p>
      <w:pPr>
        <w:pStyle w:val="ListNumber"/>
      </w:pPr>
      <w:r>
        <w:rPr>
          <w:sz w:val="22"/>
        </w:rPr>
        <w:t>Phase 4 (Dec 7, 2026): final BOD 26-04 VDR/VER submission.</w:t>
      </w:r>
    </w:p>
    <w:p>
      <w:pPr>
        <w:pStyle w:val="Heading3"/>
      </w:pPr>
      <w:r>
        <w:rPr>
          <w:color w:val="0D1B2E"/>
        </w:rPr>
        <w:t>Compliance hooks</w:t>
      </w:r>
    </w:p>
    <w:p>
      <w:pPr>
        <w:spacing w:before="80" w:after="80"/>
      </w:pPr>
      <w:r>
        <w:rPr>
          <w:sz w:val="22"/>
        </w:rPr>
        <w:t>SR-1, SR-2, SR-3, SR-5, SR-6, SR-8, SR-10, SR-11 (8 controls); CM-3, AU-6, CM-2, SA-10, CA-7, SA-11 via KSI mappings. FedRAMP 20x: KSI-SCR, KSI-CMT-VTD, KSI-011–014, KSI-MLA. EO 14028, NIST SP 800-161r1, BOD 26-04, BOD 22-01.</w:t>
      </w:r>
    </w:p>
    <w:p>
      <w:pPr>
        <w:pStyle w:val="Heading3"/>
      </w:pPr>
      <w:r>
        <w:rPr>
          <w:color w:val="0D1B2E"/>
        </w:rPr>
        <w:t>Prerequisites</w:t>
      </w:r>
    </w:p>
    <w:p>
      <w:pPr>
        <w:spacing w:before="80" w:after="80"/>
      </w:pPr>
      <w:r>
        <w:rPr>
          <w:sz w:val="22"/>
        </w:rPr>
        <w:t>Book 11 (Defender VM + KEV chain) and Book 13 (Sentinel ingestion, KQL). GitHub Actions CI/CD and Azure storage familiarity.</w:t>
      </w:r>
    </w:p>
    <w:p>
      <w:pPr>
        <w:pStyle w:val="Heading3"/>
      </w:pPr>
      <w:r>
        <w:rPr>
          <w:color w:val="0D1B2E"/>
        </w:rPr>
        <w:t>Labs</w:t>
      </w:r>
    </w:p>
    <w:p>
      <w:pPr>
        <w:pStyle w:val="ListNumber"/>
      </w:pPr>
      <w:r>
        <w:rPr>
          <w:sz w:val="22"/>
        </w:rPr>
        <w:t xml:space="preserve">Build the </w:t>
      </w:r>
      <w:r>
        <w:rPr>
          <w:rFonts w:ascii="Consolas" w:hAnsi="Consolas"/>
          <w:sz w:val="22"/>
        </w:rPr>
        <w:t>sbom.yml</w:t>
      </w:r>
      <w:r>
        <w:rPr>
          <w:sz w:val="22"/>
        </w:rPr>
        <w:t xml:space="preserve"> workflow on a sample repo; validate Syft output against the NTIA element table.</w:t>
      </w:r>
    </w:p>
    <w:p>
      <w:pPr>
        <w:pStyle w:val="ListNumber"/>
      </w:pPr>
      <w:r>
        <w:rPr>
          <w:sz w:val="22"/>
        </w:rPr>
        <w:t>Run KEV triage against a Grype VDR containing a seeded KEV CVE and produce the escalation record.</w:t>
      </w:r>
    </w:p>
    <w:p>
      <w:pPr>
        <w:pStyle w:val="ListNumber"/>
      </w:pPr>
      <w:r>
        <w:rPr>
          <w:sz w:val="22"/>
        </w:rPr>
        <w:t xml:space="preserve">Author and GPG-sign an OpenVEX document asserting </w:t>
      </w:r>
      <w:r>
        <w:rPr>
          <w:rFonts w:ascii="Consolas" w:hAnsi="Consolas"/>
          <w:sz w:val="22"/>
        </w:rPr>
        <w:t>not_affected</w:t>
      </w:r>
      <w:r>
        <w:rPr>
          <w:sz w:val="22"/>
        </w:rPr>
        <w:t xml:space="preserve"> with a </w:t>
      </w:r>
      <w:r>
        <w:rPr>
          <w:rFonts w:ascii="Consolas" w:hAnsi="Consolas"/>
          <w:sz w:val="22"/>
        </w:rPr>
        <w:t>protected_by_mitigating_control</w:t>
      </w:r>
      <w:r>
        <w:rPr>
          <w:sz w:val="22"/>
        </w:rPr>
        <w:t xml:space="preserve"> justification.</w:t>
      </w:r>
    </w:p>
    <w:p>
      <w:pPr>
        <w:pStyle w:val="Heading3"/>
      </w:pPr>
      <w:r>
        <w:rPr>
          <w:color w:val="0D1B2E"/>
        </w:rPr>
        <w:t>Pitfalls the book calls out</w:t>
      </w:r>
    </w:p>
    <w:p>
      <w:pPr>
        <w:pStyle w:val="ListBullet"/>
      </w:pPr>
      <w:r>
        <w:rPr>
          <w:sz w:val="22"/>
        </w:rPr>
        <w:t>VEX assertions require human judgment — automated reachability tools cannot assert deployment-context exploitability.</w:t>
      </w:r>
    </w:p>
    <w:p>
      <w:pPr>
        <w:pStyle w:val="ListBullet"/>
      </w:pPr>
      <w:r>
        <w:rPr>
          <w:rFonts w:ascii="Consolas" w:hAnsi="Consolas"/>
          <w:sz w:val="22"/>
        </w:rPr>
        <w:t>under_investigation</w:t>
      </w:r>
      <w:r>
        <w:rPr>
          <w:sz w:val="22"/>
        </w:rPr>
        <w:t xml:space="preserve"> has a hard 7-day window; don't let it become a parking state.</w:t>
      </w:r>
    </w:p>
    <w:p>
      <w:pPr>
        <w:pStyle w:val="ListBullet"/>
      </w:pPr>
      <w:r>
        <w:rPr>
          <w:sz w:val="22"/>
        </w:rPr>
        <w:t>KEV-listed CVEs left unresolved past 14 days breach BOD 22-01 (the KQL rule exists to catch this).</w:t>
      </w:r>
    </w:p>
    <w:p>
      <w:pPr>
        <w:pStyle w:val="ListBullet"/>
      </w:pPr>
      <w:r>
        <w:rPr>
          <w:sz w:val="22"/>
        </w:rPr>
        <w:t>SLSA Level 2 is only the initial target; Level 3 (branch protection + required reviewers) is needed before the authorization deadline.</w:t>
      </w:r>
    </w:p>
    <w:p>
      <w:pPr>
        <w:pStyle w:val="Heading3"/>
      </w:pPr>
      <w:r>
        <w:rPr>
          <w:color w:val="0D1B2E"/>
        </w:rPr>
        <w:t>Vendor training</w:t>
      </w:r>
    </w:p>
    <w:p>
      <w:pPr>
        <w:spacing w:before="80" w:after="80"/>
      </w:pPr>
      <w:r>
        <w:rPr>
          <w:sz w:val="22"/>
        </w:rPr>
        <w:t>Linux Foundation LFEL1007, OpenSSF free courses, FedRAMP PMO materials.</w:t>
      </w:r>
    </w:p>
    <w:p>
      <w:pPr>
        <w:spacing w:before="80" w:after="80"/>
      </w:pPr>
      <w:r>
        <w:rPr>
          <w:b/>
          <w:sz w:val="22"/>
        </w:rPr>
        <w:t>Previous:</w:t>
      </w:r>
      <w:r>
        <w:rPr>
          <w:sz w:val="22"/>
        </w:rPr>
        <w:t xml:space="preserve"> Book 14 · </w:t>
      </w:r>
      <w:r>
        <w:rPr>
          <w:b/>
          <w:sz w:val="22"/>
        </w:rPr>
        <w:t>Next:</w:t>
      </w:r>
      <w:r>
        <w:rPr>
          <w:sz w:val="22"/>
        </w:rPr>
        <w:t xml:space="preserve"> Book 16 — Program Management &amp; Governance</w:t>
      </w:r>
    </w:p>
    <w:p>
      <w:r>
        <w:br w:type="page"/>
      </w:r>
    </w:p>
    <w:p>
      <w:pPr>
        <w:pStyle w:val="Heading1"/>
      </w:pPr>
      <w:r>
        <w:rPr>
          <w:color w:val="0D1B2E"/>
        </w:rPr>
        <w:t>Book 16 — Program Management &amp; Governance</w:t>
      </w:r>
    </w:p>
    <w:p>
      <w:r>
        <w:rPr>
          <w:i/>
          <w:color w:val="5A5A5A"/>
          <w:sz w:val="24"/>
        </w:rPr>
        <w:t>AAN module: ISPP, RACI, risk register, and the signed SCRM charter that closes the PM family</w:t>
      </w:r>
    </w:p>
    <w:p>
      <w:r>
        <w:rPr>
          <w:color w:val="1E8C8C"/>
          <w:sz w:val="18"/>
        </w:rPr>
        <w:t>Federal AAN Training Program — companion material for the federal AAN book series; not part of UIAO.</w:t>
      </w:r>
    </w:p>
    <w:p>
      <w:pPr>
        <w:spacing w:before="80" w:after="80"/>
      </w:pPr>
      <w:r>
        <w:rPr>
          <w:b/>
          <w:sz w:val="22"/>
        </w:rPr>
        <w:t>Source:</w:t>
      </w:r>
      <w:r>
        <w:rPr>
          <w:sz w:val="22"/>
        </w:rPr>
        <w:t xml:space="preserve"> Book_16 Program Management Governance &lt;https://github.com/WhalerMike/uiao/blob/main/inbox/Application%20Aware%20Networking/Book_16_FedAAN_Program_Management_Governance.qmd&gt; · </w:t>
      </w:r>
      <w:r>
        <w:rPr>
          <w:b/>
          <w:sz w:val="22"/>
        </w:rPr>
        <w:t>Evidence slot:</w:t>
      </w:r>
      <w:r>
        <w:rPr>
          <w:sz w:val="22"/>
        </w:rPr>
        <w:t xml:space="preserve"> 6 — security (KSI-CMT, CM-2 / AC-4) · </w:t>
      </w:r>
      <w:r>
        <w:rPr>
          <w:b/>
          <w:sz w:val="22"/>
        </w:rPr>
        <w:t>Track modules:</w:t>
      </w:r>
      <w:r>
        <w:rPr>
          <w:sz w:val="22"/>
        </w:rPr>
        <w:t xml:space="preserve"> A6, B7</w:t>
      </w:r>
    </w:p>
    <w:p>
      <w:pPr>
        <w:pStyle w:val="Heading3"/>
      </w:pPr>
      <w:r>
        <w:rPr>
          <w:color w:val="0D1B2E"/>
        </w:rPr>
        <w:t>Scope</w:t>
      </w:r>
    </w:p>
    <w:p>
      <w:pPr>
        <w:spacing w:before="80" w:after="80"/>
      </w:pPr>
      <w:r>
        <w:rPr>
          <w:sz w:val="22"/>
        </w:rPr>
        <w:t xml:space="preserve">The organizational governance artifacts — templates, RACIs, registers, and a signed SCRM charter — that close nine NIST PM-family controls for FedRAMP 20x. Thesis: </w:t>
      </w:r>
      <w:r>
        <w:rPr>
          <w:b/>
          <w:sz w:val="22"/>
        </w:rPr>
        <w:t>PM controls are the organizational preconditions that contextualize all technical evidence</w:t>
      </w:r>
      <w:r>
        <w:rPr>
          <w:sz w:val="22"/>
        </w:rPr>
        <w:t>; without them (especially PM-30), the Book 15 SBOM pipeline is "a technical experiment rather than a governance artifact."</w:t>
      </w:r>
    </w:p>
    <w:p>
      <w:pPr>
        <w:pStyle w:val="Heading3"/>
      </w:pPr>
      <w:r>
        <w:rPr>
          <w:color w:val="0D1B2E"/>
        </w:rPr>
        <w:t>Learning objectives</w:t>
      </w:r>
    </w:p>
    <w:p>
      <w:pPr>
        <w:pStyle w:val="ListBullet"/>
      </w:pPr>
      <w:r>
        <w:rPr>
          <w:sz w:val="22"/>
        </w:rPr>
        <w:t>Draft an Information Security Program Plan (ISPP) covering purpose/scope, legal authority, objectives, and budget per PM-1/PM-7/PM-11.</w:t>
      </w:r>
    </w:p>
    <w:p>
      <w:pPr>
        <w:pStyle w:val="ListBullet"/>
      </w:pPr>
      <w:r>
        <w:rPr>
          <w:sz w:val="22"/>
        </w:rPr>
        <w:t>Construct a security leadership RACI assigning AO, CISO, ISSO, DevSecOps, SOC, and Privacy roles across ATO, POA&amp;M, incident response, and BOD 26-04 activities.</w:t>
      </w:r>
    </w:p>
    <w:p>
      <w:pPr>
        <w:pStyle w:val="ListBullet"/>
      </w:pPr>
      <w:r>
        <w:rPr>
          <w:sz w:val="22"/>
        </w:rPr>
        <w:t>Implement the three-layer system inventory (Azure Resource Graph, SBOM, Entra ID) with monthly reconciliation.</w:t>
      </w:r>
    </w:p>
    <w:p>
      <w:pPr>
        <w:pStyle w:val="ListBullet"/>
      </w:pPr>
      <w:r>
        <w:rPr>
          <w:sz w:val="22"/>
        </w:rPr>
        <w:t>Apply the NIST SP 800-39 three-tier risk framework and the 5×5 likelihood-impact matrix with its escalation thresholds.</w:t>
      </w:r>
    </w:p>
    <w:p>
      <w:pPr>
        <w:pStyle w:val="ListBullet"/>
      </w:pPr>
      <w:r>
        <w:rPr>
          <w:sz w:val="22"/>
        </w:rPr>
        <w:t>Build a testing/training/monitoring plan mapped to KSI themes.</w:t>
      </w:r>
    </w:p>
    <w:p>
      <w:pPr>
        <w:pStyle w:val="ListBullet"/>
      </w:pPr>
      <w:r>
        <w:rPr>
          <w:sz w:val="22"/>
        </w:rPr>
        <w:t>Draft a PM-30 SCRM Governance Charter with the five NIST SP 800-161r1 risk categories and supplier requirements.</w:t>
      </w:r>
    </w:p>
    <w:p>
      <w:pPr>
        <w:pStyle w:val="ListBullet"/>
      </w:pPr>
      <w:r>
        <w:rPr>
          <w:sz w:val="22"/>
        </w:rPr>
        <w:t>Maintain a PM-15 security contact registry (CISA, FedRAMP PMO, MS-ISAC, MSRC).</w:t>
      </w:r>
    </w:p>
    <w:p>
      <w:pPr>
        <w:pStyle w:val="Heading3"/>
      </w:pPr>
      <w:r>
        <w:rPr>
          <w:color w:val="0D1B2E"/>
        </w:rPr>
        <w:t>Key concepts</w:t>
      </w:r>
    </w:p>
    <w:p>
      <w:pPr>
        <w:pStyle w:val="ListBullet"/>
      </w:pPr>
      <w:r>
        <w:rPr>
          <w:sz w:val="22"/>
        </w:rPr>
        <w:t>ISPP fillable template with FISMA/A-130/EO 14028 authority citations; named-individual requirement for AO/CISO.</w:t>
      </w:r>
    </w:p>
    <w:p>
      <w:pPr>
        <w:pStyle w:val="ListBullet"/>
      </w:pPr>
      <w:r>
        <w:rPr>
          <w:sz w:val="22"/>
        </w:rPr>
        <w:t>Three-layer inventory: Resource Graph export, Syft SBOM manifest, Entra identity plane.</w:t>
      </w:r>
    </w:p>
    <w:p>
      <w:pPr>
        <w:pStyle w:val="ListBullet"/>
      </w:pPr>
      <w:r>
        <w:rPr>
          <w:sz w:val="22"/>
        </w:rPr>
        <w:t>Risk scoring: Score = Likelihood × Impact; 1–4 accept, 5–9 90-day POA&amp;M, 10–15 30-day, 16–25 AO escalation in 15 days.</w:t>
      </w:r>
    </w:p>
    <w:p>
      <w:pPr>
        <w:pStyle w:val="ListBullet"/>
      </w:pPr>
      <w:r>
        <w:rPr>
          <w:sz w:val="22"/>
        </w:rPr>
        <w:t>SCRM organizational chart and the five supplier requirements (SBOM in 30 days, PSIRT/24h contact, 72h incident notice, VEX in 30 days, audit rights).</w:t>
      </w:r>
    </w:p>
    <w:p>
      <w:pPr>
        <w:pStyle w:val="ListBullet"/>
      </w:pPr>
      <w:r>
        <w:rPr>
          <w:sz w:val="22"/>
        </w:rPr>
        <w:t>Application lifecycle gates: Concept → Design → Build → Deploy → Operate.</w:t>
      </w:r>
    </w:p>
    <w:p>
      <w:pPr>
        <w:pStyle w:val="Heading3"/>
      </w:pPr>
      <w:r>
        <w:rPr>
          <w:color w:val="0D1B2E"/>
        </w:rPr>
        <w:t>Artifact sequence</w:t>
      </w:r>
    </w:p>
    <w:p>
      <w:pPr>
        <w:spacing w:before="80" w:after="80"/>
      </w:pPr>
      <w:r>
        <w:rPr>
          <w:sz w:val="22"/>
        </w:rPr>
        <w:t>Artifact-shaped rather than phase-dated: why PM controls gate authorization → ISPP + EA integration → leadership RACI → inventory framework → risk management strategy → T&amp;T&amp;M plan → contact registry → SCRM charter with signature block.</w:t>
      </w:r>
    </w:p>
    <w:p>
      <w:pPr>
        <w:pStyle w:val="Heading3"/>
      </w:pPr>
      <w:r>
        <w:rPr>
          <w:color w:val="0D1B2E"/>
        </w:rPr>
        <w:t>Compliance hooks</w:t>
      </w:r>
    </w:p>
    <w:p>
      <w:pPr>
        <w:spacing w:before="80" w:after="80"/>
      </w:pPr>
      <w:r>
        <w:rPr>
          <w:sz w:val="22"/>
        </w:rPr>
        <w:t>PM-1, PM-2, PM-5, PM-7, PM-9, PM-11, PM-14, PM-15, PM-30 (9 controls); references SR-2/3/5/6/8/10/11, SA-10, SA-11, AC-21, CM-8(1), CP-4, FIPS 199. FedRAMP 20x: KSI-SCR (KSI-015, KSI-016), KSI-003, and the per-theme monitoring dimensions.</w:t>
      </w:r>
    </w:p>
    <w:p>
      <w:pPr>
        <w:pStyle w:val="Heading3"/>
      </w:pPr>
      <w:r>
        <w:rPr>
          <w:color w:val="0D1B2E"/>
        </w:rPr>
        <w:t>Prerequisites</w:t>
      </w:r>
    </w:p>
    <w:p>
      <w:pPr>
        <w:spacing w:before="80" w:after="80"/>
      </w:pPr>
      <w:r>
        <w:rPr>
          <w:sz w:val="22"/>
        </w:rPr>
        <w:t>Book 15 (the SBOM pipeline is PM-30's technical backbone); references Books 06, 08, 09, 10, 11 per its integration appendix.</w:t>
      </w:r>
    </w:p>
    <w:p>
      <w:pPr>
        <w:pStyle w:val="Heading3"/>
      </w:pPr>
      <w:r>
        <w:rPr>
          <w:color w:val="0D1B2E"/>
        </w:rPr>
        <w:t>Labs</w:t>
      </w:r>
    </w:p>
    <w:p>
      <w:pPr>
        <w:pStyle w:val="ListNumber"/>
      </w:pPr>
      <w:r>
        <w:rPr>
          <w:sz w:val="22"/>
        </w:rPr>
        <w:t>Complete the ISPP and RACI templates for a fictional system, replacing all fillable fields with named roles.</w:t>
      </w:r>
    </w:p>
    <w:p>
      <w:pPr>
        <w:pStyle w:val="ListNumber"/>
      </w:pPr>
      <w:r>
        <w:rPr>
          <w:sz w:val="22"/>
        </w:rPr>
        <w:t>Write the Azure Resource Graph inventory query and reconcile its output against a sample SBOM manifest, logging discrepancies as POA&amp;M items.</w:t>
      </w:r>
    </w:p>
    <w:p>
      <w:pPr>
        <w:pStyle w:val="ListNumber"/>
      </w:pPr>
      <w:r>
        <w:rPr>
          <w:sz w:val="22"/>
        </w:rPr>
        <w:t>Score five sample risks on the 5×5 matrix and assign responses and POA&amp;M deadlines per the thresholds.</w:t>
      </w:r>
    </w:p>
    <w:p>
      <w:pPr>
        <w:pStyle w:val="Heading3"/>
      </w:pPr>
      <w:r>
        <w:rPr>
          <w:color w:val="0D1B2E"/>
        </w:rPr>
        <w:t>Pitfalls the book calls out</w:t>
      </w:r>
    </w:p>
    <w:p>
      <w:pPr>
        <w:pStyle w:val="ListBullet"/>
      </w:pPr>
      <w:r>
        <w:rPr>
          <w:sz w:val="22"/>
        </w:rPr>
        <w:t>Technical evidence without PM artifacts "cannot be contextualized" — governance is not optional paperwork.</w:t>
      </w:r>
    </w:p>
    <w:p>
      <w:pPr>
        <w:pStyle w:val="ListBullet"/>
      </w:pPr>
      <w:r>
        <w:rPr>
          <w:sz w:val="22"/>
        </w:rPr>
        <w:t>Inventory discrepancies unresolved within 30 days become POA&amp;M items; reconciliation must actually run monthly.</w:t>
      </w:r>
    </w:p>
    <w:p>
      <w:pPr>
        <w:pStyle w:val="ListBullet"/>
      </w:pPr>
      <w:r>
        <w:rPr>
          <w:sz w:val="22"/>
        </w:rPr>
        <w:t>Risk acceptance above score 4 must be time-bounded with AO concurrence.</w:t>
      </w:r>
    </w:p>
    <w:p>
      <w:pPr>
        <w:pStyle w:val="ListBullet"/>
      </w:pPr>
      <w:r>
        <w:rPr>
          <w:sz w:val="22"/>
        </w:rPr>
        <w:t>The SCRM charter is only PM-30 evidence when signed, dated, and version-controlled with supersession notes.</w:t>
      </w:r>
    </w:p>
    <w:p>
      <w:pPr>
        <w:pStyle w:val="Heading3"/>
      </w:pPr>
      <w:r>
        <w:rPr>
          <w:color w:val="0D1B2E"/>
        </w:rPr>
        <w:t>Vendor training</w:t>
      </w:r>
    </w:p>
    <w:p>
      <w:pPr>
        <w:spacing w:before="80" w:after="80"/>
      </w:pPr>
      <w:r>
        <w:rPr>
          <w:sz w:val="22"/>
        </w:rPr>
        <w:t>SC-100, ISACA (CISM / CRISC), ISC2, NIST NICE framework, ServiceNow University.</w:t>
      </w:r>
    </w:p>
    <w:p>
      <w:pPr>
        <w:spacing w:before="80" w:after="80"/>
      </w:pPr>
      <w:r>
        <w:rPr>
          <w:b/>
          <w:sz w:val="22"/>
        </w:rPr>
        <w:t>Previous:</w:t>
      </w:r>
      <w:r>
        <w:rPr>
          <w:sz w:val="22"/>
        </w:rPr>
        <w:t xml:space="preserve"> Book 15 · </w:t>
      </w:r>
      <w:r>
        <w:rPr>
          <w:b/>
          <w:sz w:val="22"/>
        </w:rPr>
        <w:t>Next:</w:t>
      </w:r>
      <w:r>
        <w:rPr>
          <w:sz w:val="22"/>
        </w:rPr>
        <w:t xml:space="preserve"> Book 17 — PII Processing &amp; Transparency</w:t>
      </w:r>
    </w:p>
    <w:p>
      <w:r>
        <w:br w:type="page"/>
      </w:r>
    </w:p>
    <w:p>
      <w:pPr>
        <w:pStyle w:val="Heading1"/>
      </w:pPr>
      <w:r>
        <w:rPr>
          <w:color w:val="0D1B2E"/>
        </w:rPr>
        <w:t>Book 17 — PII Processing &amp; Transparency</w:t>
      </w:r>
    </w:p>
    <w:p>
      <w:r>
        <w:rPr>
          <w:i/>
          <w:color w:val="5A5A5A"/>
          <w:sz w:val="24"/>
        </w:rPr>
        <w:t>AAN module: the PT-family documentation layer — SORNs, consent, notice, and special-category handling</w:t>
      </w:r>
    </w:p>
    <w:p>
      <w:r>
        <w:rPr>
          <w:color w:val="1E8C8C"/>
          <w:sz w:val="18"/>
        </w:rPr>
        <w:t>Federal AAN Training Program — companion material for the federal AAN book series; not part of UIAO.</w:t>
      </w:r>
    </w:p>
    <w:p>
      <w:pPr>
        <w:spacing w:before="80" w:after="80"/>
      </w:pPr>
      <w:r>
        <w:rPr>
          <w:b/>
          <w:sz w:val="22"/>
        </w:rPr>
        <w:t>Source:</w:t>
      </w:r>
      <w:r>
        <w:rPr>
          <w:sz w:val="22"/>
        </w:rPr>
        <w:t xml:space="preserve"> Book_17 PII Processing Transparency &lt;https://github.com/WhalerMike/uiao/blob/main/inbox/Application%20Aware%20Networking/Book_17_FedAAN_PII_Processing_Transparency.qmd&gt; · </w:t>
      </w:r>
      <w:r>
        <w:rPr>
          <w:b/>
          <w:sz w:val="22"/>
        </w:rPr>
        <w:t>Evidence slot:</w:t>
      </w:r>
      <w:r>
        <w:rPr>
          <w:sz w:val="22"/>
        </w:rPr>
        <w:t xml:space="preserve"> 5 — endpoint (KSI-PIY, CM-8 / IA-3) · </w:t>
      </w:r>
      <w:r>
        <w:rPr>
          <w:b/>
          <w:sz w:val="22"/>
        </w:rPr>
        <w:t>Track modules:</w:t>
      </w:r>
      <w:r>
        <w:rPr>
          <w:sz w:val="22"/>
        </w:rPr>
        <w:t xml:space="preserve"> A5, B7</w:t>
      </w:r>
    </w:p>
    <w:p>
      <w:pPr>
        <w:pStyle w:val="Heading3"/>
      </w:pPr>
      <w:r>
        <w:rPr>
          <w:color w:val="0D1B2E"/>
        </w:rPr>
        <w:t>Scope</w:t>
      </w:r>
    </w:p>
    <w:p>
      <w:pPr>
        <w:spacing w:before="80" w:after="80"/>
      </w:pPr>
      <w:r>
        <w:rPr>
          <w:sz w:val="22"/>
        </w:rPr>
        <w:t xml:space="preserve">The PT-family documentation layer — templates for privacy program governance, legal authority, purpose limitation, consent, notice, and special-category handling — for GCC Moderate systems processing PII. Thesis: </w:t>
      </w:r>
      <w:r>
        <w:rPr>
          <w:b/>
          <w:sz w:val="22"/>
        </w:rPr>
        <w:t>PT controls convert statutory privacy obligations (Privacy Act 1974, E-Gov Act 2002) into auditable ATO artifacts</w:t>
      </w:r>
      <w:r>
        <w:rPr>
          <w:sz w:val="22"/>
        </w:rPr>
        <w:t>; without them, a PII-touching FedRAMP Moderate system carries a significant POA&amp;M gap.</w:t>
      </w:r>
    </w:p>
    <w:p>
      <w:pPr>
        <w:pStyle w:val="Heading3"/>
      </w:pPr>
      <w:r>
        <w:rPr>
          <w:color w:val="0D1B2E"/>
        </w:rPr>
        <w:t>Learning objectives</w:t>
      </w:r>
    </w:p>
    <w:p>
      <w:pPr>
        <w:pStyle w:val="ListBullet"/>
      </w:pPr>
      <w:r>
        <w:rPr>
          <w:sz w:val="22"/>
        </w:rPr>
        <w:t>Draft a Privacy Program Plan (PT-1) co-owned by SAOP and CISO with a defined oversight cadence.</w:t>
      </w:r>
    </w:p>
    <w:p>
      <w:pPr>
        <w:pStyle w:val="ListBullet"/>
      </w:pPr>
      <w:r>
        <w:rPr>
          <w:sz w:val="22"/>
        </w:rPr>
        <w:t>Build a PT-2 legal authority matrix citing specific statutes per PII category, with retention and NIST 800-88 disposal.</w:t>
      </w:r>
    </w:p>
    <w:p>
      <w:pPr>
        <w:pStyle w:val="ListBullet"/>
      </w:pPr>
      <w:r>
        <w:rPr>
          <w:sz w:val="22"/>
        </w:rPr>
        <w:t>Determine when a SORN is required and execute the 40-day OMB/Congress comment and 30-day pre-collection Federal Register timeline.</w:t>
      </w:r>
    </w:p>
    <w:p>
      <w:pPr>
        <w:pStyle w:val="ListBullet"/>
      </w:pPr>
      <w:r>
        <w:rPr>
          <w:sz w:val="22"/>
        </w:rPr>
        <w:t>Distinguish statutory authority from consent-based collection and select the correct PT-4 consent pattern (opt-in checkbox, notice-at-collection, DSA).</w:t>
      </w:r>
    </w:p>
    <w:p>
      <w:pPr>
        <w:pStyle w:val="ListBullet"/>
      </w:pPr>
      <w:r>
        <w:rPr>
          <w:sz w:val="22"/>
        </w:rPr>
        <w:t>Compose an OMB M-03-22 compliant privacy notice with all six required elements, published at a machine-accessible URL.</w:t>
      </w:r>
    </w:p>
    <w:p>
      <w:pPr>
        <w:pStyle w:val="ListBullet"/>
      </w:pPr>
      <w:r>
        <w:rPr>
          <w:sz w:val="22"/>
        </w:rPr>
        <w:t>Apply PT-7 heightened protections (Purview labels, CMK encryption, access tiers, audit logging) to SSN, PHI, financial, and biometric data.</w:t>
      </w:r>
    </w:p>
    <w:p>
      <w:pPr>
        <w:pStyle w:val="ListBullet"/>
      </w:pPr>
      <w:r>
        <w:rPr>
          <w:sz w:val="22"/>
        </w:rPr>
        <w:t>Document end-to-end PII data flows and reconcile them against Purview lineage scans.</w:t>
      </w:r>
    </w:p>
    <w:p>
      <w:pPr>
        <w:pStyle w:val="Heading3"/>
      </w:pPr>
      <w:r>
        <w:rPr>
          <w:color w:val="0D1B2E"/>
        </w:rPr>
        <w:t>Key concepts</w:t>
      </w:r>
    </w:p>
    <w:p>
      <w:pPr>
        <w:pStyle w:val="ListBullet"/>
      </w:pPr>
      <w:r>
        <w:rPr>
          <w:sz w:val="22"/>
        </w:rPr>
        <w:t>PT-1 PPP as the privacy parallel to PM-1's ISPP, sharing the AO approval chain.</w:t>
      </w:r>
    </w:p>
    <w:p>
      <w:pPr>
        <w:pStyle w:val="ListBullet"/>
      </w:pPr>
      <w:r>
        <w:rPr>
          <w:sz w:val="22"/>
        </w:rPr>
        <w:t>SORN workflow and the system-of-records trigger (retrieval by personal identifier).</w:t>
      </w:r>
    </w:p>
    <w:p>
      <w:pPr>
        <w:pStyle w:val="ListBullet"/>
      </w:pPr>
      <w:r>
        <w:rPr>
          <w:sz w:val="22"/>
        </w:rPr>
        <w:t>Purpose specification matrix mapped to Purview custom attributes for automated enforcement.</w:t>
      </w:r>
    </w:p>
    <w:p>
      <w:pPr>
        <w:pStyle w:val="ListBullet"/>
      </w:pPr>
      <w:r>
        <w:rPr>
          <w:sz w:val="22"/>
        </w:rPr>
        <w:t>Consent mechanism matrix spanning citizen portal, Amazon Connect call recording, analytics cookies (OMB M-10-22), cross-agency DSAs, HR records.</w:t>
      </w:r>
    </w:p>
    <w:p>
      <w:pPr>
        <w:pStyle w:val="ListBullet"/>
      </w:pPr>
      <w:r>
        <w:rPr>
          <w:sz w:val="22"/>
        </w:rPr>
        <w:t>OMB M-17-12 SSN policy: truncation to last 4, collection minimization, breach triggers.</w:t>
      </w:r>
    </w:p>
    <w:p>
      <w:pPr>
        <w:pStyle w:val="ListBullet"/>
      </w:pPr>
      <w:r>
        <w:rPr>
          <w:sz w:val="22"/>
        </w:rPr>
        <w:t>Special-category control matrix with Purview auto-labeling; PII Data Flow Registry with four mandatory scenarios; PTA→PIA→SORN→ATO milestone chain.</w:t>
      </w:r>
    </w:p>
    <w:p>
      <w:pPr>
        <w:pStyle w:val="Heading3"/>
      </w:pPr>
      <w:r>
        <w:rPr>
          <w:color w:val="0D1B2E"/>
        </w:rPr>
        <w:t>Compliance milestone sequence</w:t>
      </w:r>
    </w:p>
    <w:p>
      <w:pPr>
        <w:pStyle w:val="ListNumber"/>
      </w:pPr>
      <w:r>
        <w:rPr>
          <w:sz w:val="22"/>
        </w:rPr>
        <w:t>Privacy Threshold Analysis at system concept approval.</w:t>
      </w:r>
    </w:p>
    <w:p>
      <w:pPr>
        <w:pStyle w:val="ListNumber"/>
      </w:pPr>
      <w:r>
        <w:rPr>
          <w:sz w:val="22"/>
        </w:rPr>
        <w:t>PIA before design finalization; updated pre-go-live.</w:t>
      </w:r>
    </w:p>
    <w:p>
      <w:pPr>
        <w:pStyle w:val="ListNumber"/>
      </w:pPr>
      <w:r>
        <w:rPr>
          <w:sz w:val="22"/>
        </w:rPr>
        <w:t>SORN published ≥30 days before live PII collection.</w:t>
      </w:r>
    </w:p>
    <w:p>
      <w:pPr>
        <w:pStyle w:val="ListNumber"/>
      </w:pPr>
      <w:r>
        <w:rPr>
          <w:sz w:val="22"/>
        </w:rPr>
        <w:t>PT-1 PPP and PT-2 authority matrix approved before ATO submission.</w:t>
      </w:r>
    </w:p>
    <w:p>
      <w:pPr>
        <w:pStyle w:val="ListNumber"/>
      </w:pPr>
      <w:r>
        <w:rPr>
          <w:sz w:val="22"/>
        </w:rPr>
        <w:t>PT-3 purpose matrix completed with Purview attributes configured.</w:t>
      </w:r>
    </w:p>
    <w:p>
      <w:pPr>
        <w:pStyle w:val="ListNumber"/>
      </w:pPr>
      <w:r>
        <w:rPr>
          <w:sz w:val="22"/>
        </w:rPr>
        <w:t>PT-5 notice published at a stable URL, recorded in the SSP.</w:t>
      </w:r>
    </w:p>
    <w:p>
      <w:pPr>
        <w:pStyle w:val="ListNumber"/>
      </w:pPr>
      <w:r>
        <w:rPr>
          <w:sz w:val="22"/>
        </w:rPr>
        <w:t>Data-flow map with all four scenarios documented before ATO submission.</w:t>
      </w:r>
    </w:p>
    <w:p>
      <w:pPr>
        <w:pStyle w:val="ListNumber"/>
      </w:pPr>
      <w:r>
        <w:rPr>
          <w:sz w:val="22"/>
        </w:rPr>
        <w:t>First annual privacy review with the 3PAO within 365 days of ATO.</w:t>
      </w:r>
    </w:p>
    <w:p>
      <w:pPr>
        <w:pStyle w:val="Heading3"/>
      </w:pPr>
      <w:r>
        <w:rPr>
          <w:color w:val="0D1B2E"/>
        </w:rPr>
        <w:t>Compliance hooks</w:t>
      </w:r>
    </w:p>
    <w:p>
      <w:pPr>
        <w:spacing w:before="80" w:after="80"/>
      </w:pPr>
      <w:r>
        <w:rPr>
          <w:sz w:val="22"/>
        </w:rPr>
        <w:t>PT-1, PT-2, PT-3, PT-4, PT-5, PT-7 (6 controls); NIST SP 800-122, SP 800-88. FedRAMP 20x: indirect KSI coverage via KSI-PIY, KSI-DAT, KSI-IDM, KSI-CMT. OMB M-03-22, M-10-22, M-17-12, M-14-06, M-22-10, M-07-16, A-130; Privacy Act, E-Gov Act, HIPAA, GINA.</w:t>
      </w:r>
    </w:p>
    <w:p>
      <w:pPr>
        <w:pStyle w:val="Heading3"/>
      </w:pPr>
      <w:r>
        <w:rPr>
          <w:color w:val="0D1B2E"/>
        </w:rPr>
        <w:t>Prerequisites</w:t>
      </w:r>
    </w:p>
    <w:p>
      <w:pPr>
        <w:spacing w:before="80" w:after="80"/>
      </w:pPr>
      <w:r>
        <w:rPr>
          <w:sz w:val="22"/>
        </w:rPr>
        <w:t>Book 12 (Purview labeling, CMK, lineage) and Book 16 (governance structure, Privacy Officer role in the RACI). Basic Privacy Act/SORN literacy helps.</w:t>
      </w:r>
    </w:p>
    <w:p>
      <w:pPr>
        <w:pStyle w:val="Heading3"/>
      </w:pPr>
      <w:r>
        <w:rPr>
          <w:color w:val="0D1B2E"/>
        </w:rPr>
        <w:t>Labs</w:t>
      </w:r>
    </w:p>
    <w:p>
      <w:pPr>
        <w:pStyle w:val="ListNumber"/>
      </w:pPr>
      <w:r>
        <w:rPr>
          <w:sz w:val="22"/>
        </w:rPr>
        <w:t>Complete the PT-2 matrix and draft a SORN registry entry for a mock citizen-portal system, flagging the missing-SORN POA&amp;M case.</w:t>
      </w:r>
    </w:p>
    <w:p>
      <w:pPr>
        <w:pStyle w:val="ListNumber"/>
      </w:pPr>
      <w:r>
        <w:rPr>
          <w:sz w:val="22"/>
        </w:rPr>
        <w:t>Adapt the model Privacy Act Statement for a benefit-application form, writing both mandatory (SSN) and voluntary (email) disclosure blocks.</w:t>
      </w:r>
    </w:p>
    <w:p>
      <w:pPr>
        <w:pStyle w:val="ListNumber"/>
      </w:pPr>
      <w:r>
        <w:rPr>
          <w:sz w:val="22"/>
        </w:rPr>
        <w:t>Populate the data-flow registry for the Amazon Connect scenario and diff it against a simulated Purview lineage export to find an undocumented flow.</w:t>
      </w:r>
    </w:p>
    <w:p>
      <w:pPr>
        <w:pStyle w:val="Heading3"/>
      </w:pPr>
      <w:r>
        <w:rPr>
          <w:color w:val="0D1B2E"/>
        </w:rPr>
        <w:t>Pitfalls the book calls out</w:t>
      </w:r>
    </w:p>
    <w:p>
      <w:pPr>
        <w:pStyle w:val="ListBullet"/>
      </w:pPr>
      <w:r>
        <w:rPr>
          <w:sz w:val="22"/>
        </w:rPr>
        <w:t>"General mission authority" is insufficient for PT-2 — every row needs a specific statutory citation.</w:t>
      </w:r>
    </w:p>
    <w:p>
      <w:pPr>
        <w:pStyle w:val="ListBullet"/>
      </w:pPr>
      <w:r>
        <w:rPr>
          <w:sz w:val="22"/>
        </w:rPr>
        <w:t>Pre-checked consent boxes are invalid; opt-in must be unchecked with voluntary-participation language.</w:t>
      </w:r>
    </w:p>
    <w:p>
      <w:pPr>
        <w:pStyle w:val="ListBullet"/>
      </w:pPr>
      <w:r>
        <w:rPr>
          <w:sz w:val="22"/>
        </w:rPr>
        <w:t>Undocumented flows found in Purview lineage but absent from the registry constitute potential unauthorized secondary use.</w:t>
      </w:r>
    </w:p>
    <w:p>
      <w:pPr>
        <w:pStyle w:val="ListBullet"/>
      </w:pPr>
      <w:r>
        <w:rPr>
          <w:sz w:val="22"/>
        </w:rPr>
        <w:t>SORN timing is unforgiving: 30 days pre-collection Federal Register publication, or a POA&amp;M item — go-live without it is a Privacy Act violation risk.</w:t>
      </w:r>
    </w:p>
    <w:p>
      <w:pPr>
        <w:pStyle w:val="Heading3"/>
      </w:pPr>
      <w:r>
        <w:rPr>
          <w:color w:val="0D1B2E"/>
        </w:rPr>
        <w:t>Vendor training</w:t>
      </w:r>
    </w:p>
    <w:p>
      <w:pPr>
        <w:spacing w:before="80" w:after="80"/>
      </w:pPr>
      <w:r>
        <w:rPr>
          <w:sz w:val="22"/>
        </w:rPr>
        <w:t>IAPP (CIPP/US, CIPM), SC-401.</w:t>
      </w:r>
    </w:p>
    <w:p>
      <w:pPr>
        <w:spacing w:before="80" w:after="80"/>
      </w:pPr>
      <w:r>
        <w:rPr>
          <w:b/>
          <w:sz w:val="22"/>
        </w:rPr>
        <w:t>Previous:</w:t>
      </w:r>
      <w:r>
        <w:rPr>
          <w:sz w:val="22"/>
        </w:rPr>
        <w:t xml:space="preserve"> Book 16 · </w:t>
      </w:r>
      <w:r>
        <w:rPr>
          <w:b/>
          <w:sz w:val="22"/>
        </w:rPr>
        <w:t>Next:</w:t>
      </w:r>
      <w:r>
        <w:rPr>
          <w:sz w:val="22"/>
        </w:rPr>
        <w:t xml:space="preserve"> Book 18 — Cybersecurity Training &amp; Awareness</w:t>
      </w:r>
    </w:p>
    <w:p>
      <w:r>
        <w:br w:type="page"/>
      </w:r>
    </w:p>
    <w:p>
      <w:pPr>
        <w:pStyle w:val="Heading1"/>
      </w:pPr>
      <w:r>
        <w:rPr>
          <w:color w:val="0D1B2E"/>
        </w:rPr>
        <w:t>Book 18 — Cybersecurity Training &amp; Awareness</w:t>
      </w:r>
    </w:p>
    <w:p>
      <w:r>
        <w:rPr>
          <w:i/>
          <w:color w:val="5A5A5A"/>
          <w:sz w:val="24"/>
        </w:rPr>
        <w:t>AAN module: the AT family as machine-readable evidence — the last KSI closes on a human participation record</w:t>
      </w:r>
    </w:p>
    <w:p>
      <w:r>
        <w:rPr>
          <w:color w:val="1E8C8C"/>
          <w:sz w:val="18"/>
        </w:rPr>
        <w:t>Federal AAN Training Program — companion material for the federal AAN book series; not part of UIAO.</w:t>
      </w:r>
    </w:p>
    <w:p>
      <w:pPr>
        <w:spacing w:before="80" w:after="80"/>
      </w:pPr>
      <w:r>
        <w:rPr>
          <w:b/>
          <w:sz w:val="22"/>
        </w:rPr>
        <w:t>Source:</w:t>
      </w:r>
      <w:r>
        <w:rPr>
          <w:sz w:val="22"/>
        </w:rPr>
        <w:t xml:space="preserve"> Book_18 Cybersecurity Training Awareness &lt;https://github.com/WhalerMike/uiao/blob/main/inbox/Application%20Aware%20Networking/Book_18_FedAAN_Cybersecurity_Training_Awareness.qmd&gt; · </w:t>
      </w:r>
      <w:r>
        <w:rPr>
          <w:b/>
          <w:sz w:val="22"/>
        </w:rPr>
        <w:t>Evidence slot:</w:t>
      </w:r>
      <w:r>
        <w:rPr>
          <w:sz w:val="22"/>
        </w:rPr>
        <w:t xml:space="preserve"> 8 — training (KSI-CED, AT-2 / AT-3 / AT-4) · </w:t>
      </w:r>
      <w:r>
        <w:rPr>
          <w:b/>
          <w:sz w:val="22"/>
        </w:rPr>
        <w:t>Track modules:</w:t>
      </w:r>
      <w:r>
        <w:rPr>
          <w:sz w:val="22"/>
        </w:rPr>
        <w:t xml:space="preserve"> A8, B8</w:t>
      </w:r>
    </w:p>
    <w:p>
      <w:pPr>
        <w:pStyle w:val="Heading3"/>
      </w:pPr>
      <w:r>
        <w:rPr>
          <w:color w:val="0D1B2E"/>
        </w:rPr>
        <w:t>Scope</w:t>
      </w:r>
    </w:p>
    <w:p>
      <w:pPr>
        <w:spacing w:before="80" w:after="80"/>
      </w:pPr>
      <w:r>
        <w:rPr>
          <w:sz w:val="22"/>
        </w:rPr>
        <w:t xml:space="preserve">A four-dimension cybersecurity training program (general awareness, role-based, secure delivery, IR/DR) for a GCC Moderate boundary, with machine-readable completion evidence exported to the governance substrate. Thesis: </w:t>
      </w:r>
      <w:r>
        <w:rPr>
          <w:b/>
          <w:sz w:val="22"/>
        </w:rPr>
        <w:t>training is the one KSI that cannot be closed by architecture alone</w:t>
      </w:r>
      <w:r>
        <w:rPr>
          <w:sz w:val="22"/>
        </w:rPr>
        <w:t xml:space="preserve"> — it requires a human participation record, made continuously demonstrable via LMS export, to activate KSI-CED-RAT and complete all 29 CR26 KSIs.</w:t>
      </w:r>
    </w:p>
    <w:p>
      <w:pPr>
        <w:pStyle w:val="Heading3"/>
      </w:pPr>
      <w:r>
        <w:rPr>
          <w:color w:val="0D1B2E"/>
        </w:rPr>
        <w:t>Learning objectives</w:t>
      </w:r>
    </w:p>
    <w:p>
      <w:pPr>
        <w:pStyle w:val="ListBullet"/>
      </w:pPr>
      <w:r>
        <w:rPr>
          <w:sz w:val="22"/>
        </w:rPr>
        <w:t>Describe the four training dimensions KSI-CED-RAT evaluates and map each to its NIST control and evidence type.</w:t>
      </w:r>
    </w:p>
    <w:p>
      <w:pPr>
        <w:pStyle w:val="ListBullet"/>
      </w:pPr>
      <w:r>
        <w:rPr>
          <w:sz w:val="22"/>
        </w:rPr>
        <w:t>Design an AT-2 general awareness program (8 required modules) and select a GCC Moderate delivery platform.</w:t>
      </w:r>
    </w:p>
    <w:p>
      <w:pPr>
        <w:pStyle w:val="ListBullet"/>
      </w:pPr>
      <w:r>
        <w:rPr>
          <w:sz w:val="22"/>
        </w:rPr>
        <w:t>Build an AT-3 role-based training matrix across the six role tiers with frequencies and hour targets.</w:t>
      </w:r>
    </w:p>
    <w:p>
      <w:pPr>
        <w:pStyle w:val="ListBullet"/>
      </w:pPr>
      <w:r>
        <w:rPr>
          <w:sz w:val="22"/>
        </w:rPr>
        <w:t>Configure quarterly phishing simulation (AT-2(1)) with click-rate tracking and remedial-training triggers.</w:t>
      </w:r>
    </w:p>
    <w:p>
      <w:pPr>
        <w:pStyle w:val="ListBullet"/>
      </w:pPr>
      <w:r>
        <w:rPr>
          <w:sz w:val="22"/>
        </w:rPr>
        <w:t xml:space="preserve">Produce the </w:t>
      </w:r>
      <w:r>
        <w:rPr>
          <w:rFonts w:ascii="Consolas" w:hAnsi="Consolas"/>
          <w:sz w:val="22"/>
        </w:rPr>
        <w:t>training-effectiveness-record</w:t>
      </w:r>
      <w:r>
        <w:rPr>
          <w:sz w:val="22"/>
        </w:rPr>
        <w:t xml:space="preserve"> JSON and automate its monthly Viva Learning Graph API export.</w:t>
      </w:r>
    </w:p>
    <w:p>
      <w:pPr>
        <w:pStyle w:val="ListBullet"/>
      </w:pPr>
      <w:r>
        <w:rPr>
          <w:sz w:val="22"/>
        </w:rPr>
        <w:t>Plan the CP-3 quarterly tabletop calendar and IR-2 drill cadence, including after-action reports.</w:t>
      </w:r>
    </w:p>
    <w:p>
      <w:pPr>
        <w:pStyle w:val="ListBullet"/>
      </w:pPr>
      <w:r>
        <w:rPr>
          <w:sz w:val="22"/>
        </w:rPr>
        <w:t>State the PASS thresholds that flipped KSI-022 from scaffold to active.</w:t>
      </w:r>
    </w:p>
    <w:p>
      <w:pPr>
        <w:pStyle w:val="Heading3"/>
      </w:pPr>
      <w:r>
        <w:rPr>
          <w:color w:val="0D1B2E"/>
        </w:rPr>
        <w:t>Key concepts</w:t>
      </w:r>
    </w:p>
    <w:p>
      <w:pPr>
        <w:pStyle w:val="ListBullet"/>
      </w:pPr>
      <w:r>
        <w:rPr>
          <w:sz w:val="22"/>
        </w:rPr>
        <w:t>The KSI-CED-RAT four-dimension model ("persistently reviews" training).</w:t>
      </w:r>
    </w:p>
    <w:p>
      <w:pPr>
        <w:pStyle w:val="ListBullet"/>
      </w:pPr>
      <w:r>
        <w:rPr>
          <w:sz w:val="22"/>
        </w:rPr>
        <w:t>Six-tier AT-3 role matrix: sysadmins, privileged users, developers, IR responders, data stewards, executives.</w:t>
      </w:r>
    </w:p>
    <w:p>
      <w:pPr>
        <w:pStyle w:val="ListBullet"/>
      </w:pPr>
      <w:r>
        <w:rPr>
          <w:rFonts w:ascii="Consolas" w:hAnsi="Consolas"/>
          <w:sz w:val="22"/>
        </w:rPr>
        <w:t>governance.training-effectiveness-record</w:t>
      </w:r>
      <w:r>
        <w:rPr>
          <w:sz w:val="22"/>
        </w:rPr>
        <w:t xml:space="preserve"> JSON schema — the KSI-022 evidence contract.</w:t>
      </w:r>
    </w:p>
    <w:p>
      <w:pPr>
        <w:pStyle w:val="ListBullet"/>
      </w:pPr>
      <w:r>
        <w:rPr>
          <w:sz w:val="22"/>
        </w:rPr>
        <w:t>Viva Learning Graph API export (</w:t>
      </w:r>
      <w:r>
        <w:rPr>
          <w:rFonts w:ascii="Consolas" w:hAnsi="Consolas"/>
          <w:sz w:val="22"/>
        </w:rPr>
        <w:t>learningCourseActivities</w:t>
      </w:r>
      <w:r>
        <w:rPr>
          <w:sz w:val="22"/>
        </w:rPr>
        <w:t xml:space="preserve">, </w:t>
      </w:r>
      <w:r>
        <w:rPr>
          <w:rFonts w:ascii="Consolas" w:hAnsi="Consolas"/>
          <w:sz w:val="22"/>
        </w:rPr>
        <w:t>LearningAssignmentReport.Read.All</w:t>
      </w:r>
      <w:r>
        <w:rPr>
          <w:sz w:val="22"/>
        </w:rPr>
        <w:t>).</w:t>
      </w:r>
    </w:p>
    <w:p>
      <w:pPr>
        <w:pStyle w:val="ListBullet"/>
      </w:pPr>
      <w:r>
        <w:rPr>
          <w:sz w:val="22"/>
        </w:rPr>
        <w:t>Delivery-platform trade-space: Viva Learning, DoD Cyber Awareness Challenge, CISA materials, KnowBe4/Proofpoint, SANS.</w:t>
      </w:r>
    </w:p>
    <w:p>
      <w:pPr>
        <w:pStyle w:val="ListBullet"/>
      </w:pPr>
      <w:r>
        <w:rPr>
          <w:sz w:val="22"/>
        </w:rPr>
        <w:t>IR scenario library (five minimum GCC Moderate scenarios); CP-3 Q1–Q4 tabletop calendar.</w:t>
      </w:r>
    </w:p>
    <w:p>
      <w:pPr>
        <w:pStyle w:val="ListBullet"/>
      </w:pPr>
      <w:r>
        <w:rPr>
          <w:sz w:val="22"/>
        </w:rPr>
        <w:t>≥95% completion thresholds per dimension/tier for PASS.</w:t>
      </w:r>
    </w:p>
    <w:p>
      <w:pPr>
        <w:pStyle w:val="Heading3"/>
      </w:pPr>
      <w:r>
        <w:rPr>
          <w:color w:val="0D1B2E"/>
        </w:rPr>
        <w:t>Implementation sequence</w:t>
      </w:r>
    </w:p>
    <w:p>
      <w:pPr>
        <w:pStyle w:val="ListNumber"/>
      </w:pPr>
      <w:r>
        <w:rPr>
          <w:sz w:val="22"/>
        </w:rPr>
        <w:t>Phase 1 (weeks 1–4): designate owner, select LMS, assign role tiers, configure the Graph API export, enroll all staff.</w:t>
      </w:r>
    </w:p>
    <w:p>
      <w:pPr>
        <w:pStyle w:val="ListNumber"/>
      </w:pPr>
      <w:r>
        <w:rPr>
          <w:sz w:val="22"/>
        </w:rPr>
        <w:t>Phase 2 (weeks 5–12): launch the AT-2 campaign; launch Tier 1/Tier 3 tracks; run the first phishing simulation and the SBOM/Grype developer lab; schedule the IR drill.</w:t>
      </w:r>
    </w:p>
    <w:p>
      <w:pPr>
        <w:pStyle w:val="ListNumber"/>
      </w:pPr>
      <w:r>
        <w:rPr>
          <w:sz w:val="22"/>
        </w:rPr>
        <w:t>Phase 3 (weeks 13–16): deploy the monthly export Logic App; map to the JSON schema; ingest; validate KSI-022 PASS; archive the first after-action report.</w:t>
      </w:r>
    </w:p>
    <w:p>
      <w:pPr>
        <w:pStyle w:val="ListNumber"/>
      </w:pPr>
      <w:r>
        <w:rPr>
          <w:sz w:val="22"/>
        </w:rPr>
        <w:t>Phase 4 (ongoing): monthly exports, quarterly phishing campaigns, semi-annual IR drills, annual tabletop calendar and content refresh, quarterly ISSO dashboard review.</w:t>
      </w:r>
    </w:p>
    <w:p>
      <w:pPr>
        <w:pStyle w:val="Heading3"/>
      </w:pPr>
      <w:r>
        <w:rPr>
          <w:color w:val="0D1B2E"/>
        </w:rPr>
        <w:t>Compliance hooks</w:t>
      </w:r>
    </w:p>
    <w:p>
      <w:pPr>
        <w:spacing w:before="80" w:after="80"/>
      </w:pPr>
      <w:r>
        <w:rPr>
          <w:sz w:val="22"/>
        </w:rPr>
        <w:t>Closes 9 controls: AT-2, AT-2(1), AT-2(2), AT-3, AT-3(3), AT-3(5), AT-4, CP-3, IR-2; SA-16 for secure delivery. FedRAMP 20x: KSI-CED-RAT (KSI-022, "Reviewing All Training") — the final scaffold KSI, taking CR26 coverage to 29/29. NIST SP 800-50, SP 800-16; EO 14028; EO 13587; OMB M-22-09.</w:t>
      </w:r>
    </w:p>
    <w:p>
      <w:pPr>
        <w:pStyle w:val="Heading3"/>
      </w:pPr>
      <w:r>
        <w:rPr>
          <w:color w:val="0D1B2E"/>
        </w:rPr>
        <w:t>Prerequisites</w:t>
      </w:r>
    </w:p>
    <w:p>
      <w:pPr>
        <w:spacing w:before="80" w:after="80"/>
      </w:pPr>
      <w:r>
        <w:rPr>
          <w:sz w:val="22"/>
        </w:rPr>
        <w:t>Book 13 (Sentinel playbooks for IR-2), Book 14 (CP-2 plan and DR runbooks for CP-3), Book 15 (Syft/Grype/VEX pipeline for developer training), Book 16 (PM-14 plan, RACI), Book 17 (PT family for AT-3(5) PII training); the Tier 1 curriculum spans Books 01–11.</w:t>
      </w:r>
    </w:p>
    <w:p>
      <w:pPr>
        <w:pStyle w:val="Heading3"/>
      </w:pPr>
      <w:r>
        <w:rPr>
          <w:color w:val="0D1B2E"/>
        </w:rPr>
        <w:t>Labs</w:t>
      </w:r>
    </w:p>
    <w:p>
      <w:pPr>
        <w:pStyle w:val="ListNumber"/>
      </w:pPr>
      <w:r>
        <w:rPr>
          <w:sz w:val="22"/>
        </w:rPr>
        <w:t>Generate a CycloneDX SBOM with Syft, triage a Grype scan, and write VEX assertions — the book's own Tier 3 developer lab.</w:t>
      </w:r>
    </w:p>
    <w:p>
      <w:pPr>
        <w:pStyle w:val="ListNumber"/>
      </w:pPr>
      <w:r>
        <w:rPr>
          <w:sz w:val="22"/>
        </w:rPr>
        <w:t xml:space="preserve">Build the Graph API PowerShell export and transform the output into the </w:t>
      </w:r>
      <w:r>
        <w:rPr>
          <w:rFonts w:ascii="Consolas" w:hAnsi="Consolas"/>
          <w:sz w:val="22"/>
        </w:rPr>
        <w:t>training-effectiveness-record</w:t>
      </w:r>
      <w:r>
        <w:rPr>
          <w:sz w:val="22"/>
        </w:rPr>
        <w:t xml:space="preserve"> schema; validate the PASS logic.</w:t>
      </w:r>
    </w:p>
    <w:p>
      <w:pPr>
        <w:pStyle w:val="ListNumber"/>
      </w:pPr>
      <w:r>
        <w:rPr>
          <w:sz w:val="22"/>
        </w:rPr>
        <w:t>Run a phishing → credential theft → lateral movement tabletop from the IR scenario library, with an after-action write-up.</w:t>
      </w:r>
    </w:p>
    <w:p>
      <w:pPr>
        <w:pStyle w:val="Heading3"/>
      </w:pPr>
      <w:r>
        <w:rPr>
          <w:color w:val="0D1B2E"/>
        </w:rPr>
        <w:t>Pitfalls the book calls out</w:t>
      </w:r>
    </w:p>
    <w:p>
      <w:pPr>
        <w:pStyle w:val="ListBullet"/>
      </w:pPr>
      <w:r>
        <w:rPr>
          <w:sz w:val="22"/>
        </w:rPr>
        <w:t>A one-time training event satisfies nothing — KSI-CED-RAT demands persistent, machine-readable review.</w:t>
      </w:r>
    </w:p>
    <w:p>
      <w:pPr>
        <w:pStyle w:val="ListBullet"/>
      </w:pPr>
      <w:r>
        <w:rPr>
          <w:sz w:val="22"/>
        </w:rPr>
        <w:t>Aggregate-only phishing statistics fail AT-4; results must tie to user identity.</w:t>
      </w:r>
    </w:p>
    <w:p>
      <w:pPr>
        <w:pStyle w:val="ListBullet"/>
      </w:pPr>
      <w:r>
        <w:rPr>
          <w:sz w:val="22"/>
        </w:rPr>
        <w:t>Lecture-based developer training is ineffective — the pipeline gets treated as a compliance hurdle instead of a partner.</w:t>
      </w:r>
    </w:p>
    <w:p>
      <w:pPr>
        <w:pStyle w:val="ListBullet"/>
      </w:pPr>
      <w:r>
        <w:rPr>
          <w:sz w:val="22"/>
        </w:rPr>
        <w:t>Data stewards who don't understand DLP policy intent will attempt workarounds.</w:t>
      </w:r>
    </w:p>
    <w:p>
      <w:pPr>
        <w:pStyle w:val="Heading3"/>
      </w:pPr>
      <w:r>
        <w:rPr>
          <w:color w:val="0D1B2E"/>
        </w:rPr>
        <w:t>Vendor training</w:t>
      </w:r>
    </w:p>
    <w:p>
      <w:pPr>
        <w:spacing w:before="80" w:after="80"/>
      </w:pPr>
      <w:r>
        <w:rPr>
          <w:sz w:val="22"/>
        </w:rPr>
        <w:t>SANS (awareness program design), CISA Learning, NIST NICE framework.</w:t>
      </w:r>
    </w:p>
    <w:p>
      <w:pPr>
        <w:spacing w:before="80" w:after="80"/>
      </w:pPr>
      <w:r>
        <w:rPr>
          <w:b/>
          <w:sz w:val="22"/>
        </w:rPr>
        <w:t>Previous:</w:t>
      </w:r>
      <w:r>
        <w:rPr>
          <w:sz w:val="22"/>
        </w:rPr>
        <w:t xml:space="preserve"> Book 17 · </w:t>
      </w:r>
      <w:r>
        <w:rPr>
          <w:b/>
          <w:sz w:val="22"/>
        </w:rPr>
        <w:t>Next:</w:t>
      </w:r>
      <w:r>
        <w:rPr>
          <w:sz w:val="22"/>
        </w:rPr>
        <w:t xml:space="preserve"> Book 19 — Authorization Package &amp; ConMon</w:t>
      </w:r>
    </w:p>
    <w:p>
      <w:r>
        <w:br w:type="page"/>
      </w:r>
    </w:p>
    <w:p>
      <w:pPr>
        <w:pStyle w:val="Heading1"/>
      </w:pPr>
      <w:r>
        <w:rPr>
          <w:color w:val="0D1B2E"/>
        </w:rPr>
        <w:t>Book 19 — Authorization Package &amp; ConMon</w:t>
      </w:r>
    </w:p>
    <w:p>
      <w:r>
        <w:rPr>
          <w:i/>
          <w:color w:val="5A5A5A"/>
          <w:sz w:val="24"/>
        </w:rPr>
        <w:t>AAN module: the series capstone — OSCAL AP/AR/POA&amp;M bundle, the ConMon calendar, and the BOD 26-04 submission</w:t>
      </w:r>
    </w:p>
    <w:p>
      <w:r>
        <w:rPr>
          <w:color w:val="1E8C8C"/>
          <w:sz w:val="18"/>
        </w:rPr>
        <w:t>Federal AAN Training Program — companion material for the federal AAN book series; not part of UIAO.</w:t>
      </w:r>
    </w:p>
    <w:p>
      <w:pPr>
        <w:spacing w:before="80" w:after="80"/>
      </w:pPr>
      <w:r>
        <w:rPr>
          <w:b/>
          <w:sz w:val="22"/>
        </w:rPr>
        <w:t>Source:</w:t>
      </w:r>
      <w:r>
        <w:rPr>
          <w:sz w:val="22"/>
        </w:rPr>
        <w:t xml:space="preserve"> Book_19 Authorization Package ConMon &lt;https://github.com/WhalerMike/uiao/blob/main/inbox/Application%20Aware%20Networking/Book_19_FedAAN_Authorization_Package_ConMon.qmd&gt; · </w:t>
      </w:r>
      <w:r>
        <w:rPr>
          <w:b/>
          <w:sz w:val="22"/>
        </w:rPr>
        <w:t>Evidence slot:</w:t>
      </w:r>
      <w:r>
        <w:rPr>
          <w:sz w:val="22"/>
        </w:rPr>
        <w:t xml:space="preserve"> — (assembles all eight slots) · </w:t>
      </w:r>
      <w:r>
        <w:rPr>
          <w:b/>
          <w:sz w:val="22"/>
        </w:rPr>
        <w:t>Track modules:</w:t>
      </w:r>
      <w:r>
        <w:rPr>
          <w:sz w:val="22"/>
        </w:rPr>
        <w:t xml:space="preserve"> A0 context, B8</w:t>
      </w:r>
    </w:p>
    <w:p>
      <w:pPr>
        <w:pStyle w:val="Heading3"/>
      </w:pPr>
      <w:r>
        <w:rPr>
          <w:color w:val="0D1B2E"/>
        </w:rPr>
        <w:t>Scope</w:t>
      </w:r>
    </w:p>
    <w:p>
      <w:pPr>
        <w:spacing w:before="80" w:after="80"/>
      </w:pPr>
      <w:r>
        <w:rPr>
          <w:sz w:val="22"/>
        </w:rPr>
        <w:t xml:space="preserve">The series capstone: assembles the evidence from Books 01–18 into the formal FedRAMP 20x authorization package — an OSCAL AP+AR+POA&amp;M bundle, the ConMon program that keeps evidence fresh post-ATO, and the BOD 26-04 VDR/VER submission due December 7, 2026. Thesis: </w:t>
      </w:r>
      <w:r>
        <w:rPr>
          <w:b/>
          <w:sz w:val="22"/>
        </w:rPr>
        <w:t>FedRAMP 20x replaces the 325-control audit with a KSI-evidence model, so authorization becomes a repeatable, machine-generated artifact sustained by cadenced monitoring</w:t>
      </w:r>
      <w:r>
        <w:rPr>
          <w:sz w:val="22"/>
        </w:rPr>
        <w:t xml:space="preserve"> rather than a one-time paperwork event.</w:t>
      </w:r>
    </w:p>
    <w:p>
      <w:pPr>
        <w:pStyle w:val="Heading3"/>
      </w:pPr>
      <w:r>
        <w:rPr>
          <w:color w:val="0D1B2E"/>
        </w:rPr>
        <w:t>Learning objectives</w:t>
      </w:r>
    </w:p>
    <w:p>
      <w:pPr>
        <w:pStyle w:val="ListBullet"/>
      </w:pPr>
      <w:r>
        <w:rPr>
          <w:sz w:val="22"/>
        </w:rPr>
        <w:t>Enumerate the FedRAMP 20x package components (OSCAL SSP/AP/AR/POA&amp;M, evidence books, VDR, training record) and their sources.</w:t>
      </w:r>
    </w:p>
    <w:p>
      <w:pPr>
        <w:pStyle w:val="ListBullet"/>
      </w:pPr>
      <w:r>
        <w:rPr>
          <w:sz w:val="22"/>
        </w:rPr>
        <w:t>Generate and validate the OSCAL 1.0.4 bundle and explain the AP→AR→POA&amp;M UUID linkage.</w:t>
      </w:r>
    </w:p>
    <w:p>
      <w:pPr>
        <w:pStyle w:val="ListBullet"/>
      </w:pPr>
      <w:r>
        <w:rPr>
          <w:sz w:val="22"/>
        </w:rPr>
        <w:t>Operate the CA-7 ConMon calendar across monthly, quarterly, semi-annual, and annual cadences.</w:t>
      </w:r>
    </w:p>
    <w:p>
      <w:pPr>
        <w:pStyle w:val="ListBullet"/>
      </w:pPr>
      <w:r>
        <w:rPr>
          <w:sz w:val="22"/>
        </w:rPr>
        <w:t>Run the BOD 26-04 pipeline (Syft → Grype → OpenVEX via vexctl) and submit VDR/VER to CISA per format and deadline.</w:t>
      </w:r>
    </w:p>
    <w:p>
      <w:pPr>
        <w:pStyle w:val="ListBullet"/>
      </w:pPr>
      <w:r>
        <w:rPr>
          <w:sz w:val="22"/>
        </w:rPr>
        <w:t>Apply the eight-slot evidence freshness rules and interpret the four Sentinel ConMon workbooks.</w:t>
      </w:r>
    </w:p>
    <w:p>
      <w:pPr>
        <w:pStyle w:val="ListBullet"/>
      </w:pPr>
      <w:r>
        <w:rPr>
          <w:sz w:val="22"/>
        </w:rPr>
        <w:t>Map OSCAL AR risk entries into the PM-9 risk register and name residual risks outside KSI scope.</w:t>
      </w:r>
    </w:p>
    <w:p>
      <w:pPr>
        <w:pStyle w:val="ListBullet"/>
      </w:pPr>
      <w:r>
        <w:rPr>
          <w:sz w:val="22"/>
        </w:rPr>
        <w:t>Execute the AO pre-submission checklist and day-of-submission procedure.</w:t>
      </w:r>
    </w:p>
    <w:p>
      <w:pPr>
        <w:pStyle w:val="Heading3"/>
      </w:pPr>
      <w:r>
        <w:rPr>
          <w:color w:val="0D1B2E"/>
        </w:rPr>
        <w:t>Key concepts</w:t>
      </w:r>
    </w:p>
    <w:p>
      <w:pPr>
        <w:pStyle w:val="ListBullet"/>
      </w:pPr>
      <w:r>
        <w:rPr>
          <w:sz w:val="22"/>
        </w:rPr>
        <w:t xml:space="preserve">The OSCAL bundle: </w:t>
      </w:r>
      <w:r>
        <w:rPr>
          <w:rFonts w:ascii="Consolas" w:hAnsi="Consolas"/>
          <w:sz w:val="22"/>
        </w:rPr>
        <w:t>ksi-ap.json</w:t>
      </w:r>
      <w:r>
        <w:rPr>
          <w:sz w:val="22"/>
        </w:rPr>
        <w:t xml:space="preserve">, </w:t>
      </w:r>
      <w:r>
        <w:rPr>
          <w:rFonts w:ascii="Consolas" w:hAnsi="Consolas"/>
          <w:sz w:val="22"/>
        </w:rPr>
        <w:t>ksi-ar.json</w:t>
      </w:r>
      <w:r>
        <w:rPr>
          <w:sz w:val="22"/>
        </w:rPr>
        <w:t xml:space="preserve">, </w:t>
      </w:r>
      <w:r>
        <w:rPr>
          <w:rFonts w:ascii="Consolas" w:hAnsi="Consolas"/>
          <w:sz w:val="22"/>
        </w:rPr>
        <w:t>ksi-poam.json</w:t>
      </w:r>
      <w:r>
        <w:rPr>
          <w:sz w:val="22"/>
        </w:rPr>
        <w:t xml:space="preserve">, </w:t>
      </w:r>
      <w:r>
        <w:rPr>
          <w:rFonts w:ascii="Consolas" w:hAnsi="Consolas"/>
          <w:sz w:val="22"/>
        </w:rPr>
        <w:t>artifact-index.json</w:t>
      </w:r>
      <w:r>
        <w:rPr>
          <w:sz w:val="22"/>
        </w:rPr>
        <w:t>.</w:t>
      </w:r>
    </w:p>
    <w:p>
      <w:pPr>
        <w:pStyle w:val="ListBullet"/>
      </w:pPr>
      <w:r>
        <w:rPr>
          <w:sz w:val="22"/>
        </w:rPr>
        <w:t>The 29/29 KSI scorecard: 10 rules via the CISA ScuBA adapter (KSI-001..010), 19 via the AAN slot evaluator (KSI-011..029).</w:t>
      </w:r>
    </w:p>
    <w:p>
      <w:pPr>
        <w:pStyle w:val="ListBullet"/>
      </w:pPr>
      <w:r>
        <w:rPr>
          <w:sz w:val="22"/>
        </w:rPr>
        <w:t>Zero-item POA&amp;M as the correct target state, with automatic gap extraction populating entries when a verdict slips.</w:t>
      </w:r>
    </w:p>
    <w:p>
      <w:pPr>
        <w:pStyle w:val="ListBullet"/>
      </w:pPr>
      <w:r>
        <w:rPr>
          <w:sz w:val="22"/>
        </w:rPr>
        <w:t>Ten KSI themes mapped to the eight evidence slots.</w:t>
      </w:r>
    </w:p>
    <w:p>
      <w:pPr>
        <w:pStyle w:val="ListBullet"/>
      </w:pPr>
      <w:r>
        <w:rPr>
          <w:sz w:val="22"/>
        </w:rPr>
        <w:t>BOD 26-04 artifact chain: Syft CycloneDX 1.6 → Grype VDR → OpenVEX VER → CISA submission.</w:t>
      </w:r>
    </w:p>
    <w:p>
      <w:pPr>
        <w:pStyle w:val="ListBullet"/>
      </w:pPr>
      <w:r>
        <w:rPr>
          <w:sz w:val="22"/>
        </w:rPr>
        <w:t>Per-slot evidence freshness rules with named owners; four Sentinel ConMon workbooks (KSI Status, Control Drift, Vulnerability Backlog, Training Coverage).</w:t>
      </w:r>
    </w:p>
    <w:p>
      <w:pPr>
        <w:pStyle w:val="ListBullet"/>
      </w:pPr>
      <w:r>
        <w:rPr>
          <w:sz w:val="22"/>
        </w:rPr>
        <w:t>Authorization timeline: Class A Aug 3 / Class B+C Aug 31 2026; 20x mandatory Jan 1, 2027.</w:t>
      </w:r>
    </w:p>
    <w:p>
      <w:pPr>
        <w:pStyle w:val="Heading3"/>
      </w:pPr>
      <w:r>
        <w:rPr>
          <w:color w:val="0D1B2E"/>
        </w:rPr>
        <w:t>Deliverable sequence (artifact-shaped)</w:t>
      </w:r>
    </w:p>
    <w:p>
      <w:pPr>
        <w:pStyle w:val="ListNumber"/>
      </w:pPr>
      <w:r>
        <w:rPr>
          <w:sz w:val="22"/>
        </w:rPr>
        <w:t>Generate the OSCAL bundle; confirm 29/29 satisfied and a zero-item POA&amp;M; archive to history.</w:t>
      </w:r>
    </w:p>
    <w:p>
      <w:pPr>
        <w:pStyle w:val="ListNumber"/>
      </w:pPr>
      <w:r>
        <w:rPr>
          <w:sz w:val="22"/>
        </w:rPr>
        <w:t>Compile and upload the evidence books with a book→controls→KSI cross-reference index.</w:t>
      </w:r>
    </w:p>
    <w:p>
      <w:pPr>
        <w:pStyle w:val="ListNumber"/>
      </w:pPr>
      <w:r>
        <w:rPr>
          <w:sz w:val="22"/>
        </w:rPr>
        <w:t>Run the BOD 26-04 pipeline; draft VEX for CVSS ≥ 7.0; submit to CISA by December 7, 2026.</w:t>
      </w:r>
    </w:p>
    <w:p>
      <w:pPr>
        <w:pStyle w:val="ListNumber"/>
      </w:pPr>
      <w:r>
        <w:rPr>
          <w:sz w:val="22"/>
        </w:rPr>
        <w:t>Export and threshold-check the training-effectiveness-record (≥95%, six tiers, dates within 12 months).</w:t>
      </w:r>
    </w:p>
    <w:p>
      <w:pPr>
        <w:pStyle w:val="ListNumber"/>
      </w:pPr>
      <w:r>
        <w:rPr>
          <w:sz w:val="22"/>
        </w:rPr>
        <w:t>Stand up ConMon: Sentinel dashboard, monthly AR automation, quarterly review in the PM-14 plan, ISSO in the PM-2 RACI.</w:t>
      </w:r>
    </w:p>
    <w:p>
      <w:pPr>
        <w:pStyle w:val="ListNumber"/>
      </w:pPr>
      <w:r>
        <w:rPr>
          <w:sz w:val="22"/>
        </w:rPr>
        <w:t>Day of submission: final bundle, timestamped archive, structure validation, ZIP for the FedRAMP PMO.</w:t>
      </w:r>
    </w:p>
    <w:p>
      <w:pPr>
        <w:pStyle w:val="Heading3"/>
      </w:pPr>
      <w:r>
        <w:rPr>
          <w:color w:val="0D1B2E"/>
        </w:rPr>
        <w:t>Compliance hooks</w:t>
      </w:r>
    </w:p>
    <w:p>
      <w:pPr>
        <w:spacing w:before="80" w:after="80"/>
      </w:pPr>
      <w:r>
        <w:rPr>
          <w:sz w:val="22"/>
        </w:rPr>
        <w:t>CA-2, CA-5, CA-6, CA-7, CA-7(1), CA-7(3), RA-3, SA-15; SR-11 for BOD 26-04. Cadence tables also cite AT-2/AT-4, CP-2/CP-3, IR-2, RA-5, AC-6, AU-6, SI-4, SR-5/SR-6, PM-2/PM-9/PM-14. FedRAMP 20x: all 29 CR26 KSIs enumerated across the ten themes.</w:t>
      </w:r>
    </w:p>
    <w:p>
      <w:pPr>
        <w:pStyle w:val="Heading3"/>
      </w:pPr>
      <w:r>
        <w:rPr>
          <w:color w:val="0D1B2E"/>
        </w:rPr>
        <w:t>Prerequisites</w:t>
      </w:r>
    </w:p>
    <w:p>
      <w:pPr>
        <w:spacing w:before="80" w:after="80"/>
      </w:pPr>
      <w:r>
        <w:rPr>
          <w:sz w:val="22"/>
        </w:rPr>
        <w:t>All of Books 01–18; leans specifically on Book 13 (Sentinel dashboard), Book 14 (CP tabletops), Book 15 (SBOM/VDR pipeline), Book 16 (PM-9 register, PM-14 plan), and Book 18 (training record).</w:t>
      </w:r>
    </w:p>
    <w:p>
      <w:pPr>
        <w:pStyle w:val="Heading3"/>
      </w:pPr>
      <w:r>
        <w:rPr>
          <w:color w:val="0D1B2E"/>
        </w:rPr>
        <w:t>Labs</w:t>
      </w:r>
    </w:p>
    <w:p>
      <w:pPr>
        <w:pStyle w:val="ListNumber"/>
      </w:pPr>
      <w:r>
        <w:rPr>
          <w:sz w:val="22"/>
        </w:rPr>
        <w:t>Generate the OSCAL bundle, then trace the AP→AR→POA&amp;M UUID links and verify the 29 finding verdicts programmatically.</w:t>
      </w:r>
    </w:p>
    <w:p>
      <w:pPr>
        <w:pStyle w:val="ListNumber"/>
      </w:pPr>
      <w:r>
        <w:rPr>
          <w:sz w:val="22"/>
        </w:rPr>
        <w:t>Execute the full Syft → Grype → vexctl chain against a sample container and assemble a mock CISA VDR submission package.</w:t>
      </w:r>
    </w:p>
    <w:p>
      <w:pPr>
        <w:pStyle w:val="ListNumber"/>
      </w:pPr>
      <w:r>
        <w:rPr>
          <w:sz w:val="22"/>
        </w:rPr>
        <w:t>Simulate a training-completion drop below 95%, regenerate the bundle, and observe automatic POA&amp;M creation and the CA-7(3) trend signal.</w:t>
      </w:r>
    </w:p>
    <w:p>
      <w:pPr>
        <w:pStyle w:val="Heading3"/>
      </w:pPr>
      <w:r>
        <w:rPr>
          <w:color w:val="0D1B2E"/>
        </w:rPr>
        <w:t>Pitfalls the book calls out</w:t>
      </w:r>
    </w:p>
    <w:p>
      <w:pPr>
        <w:pStyle w:val="ListBullet"/>
      </w:pPr>
      <w:r>
        <w:rPr>
          <w:sz w:val="22"/>
        </w:rPr>
        <w:t>Zero open KSI risks does not eliminate enterprise risk — mission, insider-threat, physical, and geopolitical supply-chain risks sit outside KSI scope.</w:t>
      </w:r>
    </w:p>
    <w:p>
      <w:pPr>
        <w:pStyle w:val="ListBullet"/>
      </w:pPr>
      <w:r>
        <w:rPr>
          <w:sz w:val="22"/>
        </w:rPr>
        <w:t>A downward trend in the satisfied count must trigger a POA&amp;M entry; stale AR history breaks the CA-7(3) early warning.</w:t>
      </w:r>
    </w:p>
    <w:p>
      <w:pPr>
        <w:pStyle w:val="ListBullet"/>
      </w:pPr>
      <w:r>
        <w:rPr>
          <w:sz w:val="22"/>
        </w:rPr>
        <w:t>Evidence goes stale silently — each slot has explicit freshness requirements (e.g., SBOM within 90 days at submission) that ConMon must enforce.</w:t>
      </w:r>
    </w:p>
    <w:p>
      <w:pPr>
        <w:pStyle w:val="ListBullet"/>
      </w:pPr>
      <w:r>
        <w:rPr>
          <w:sz w:val="22"/>
        </w:rPr>
        <w:t>The book's own closing disclaimer: control-closure claims are advisory pending formal FedRAMP PMO / AO review — the package is not an ATO.</w:t>
      </w:r>
    </w:p>
    <w:p>
      <w:pPr>
        <w:pStyle w:val="Heading3"/>
      </w:pPr>
      <w:r>
        <w:rPr>
          <w:color w:val="0D1B2E"/>
        </w:rPr>
        <w:t>Vendor training</w:t>
      </w:r>
    </w:p>
    <w:p>
      <w:pPr>
        <w:spacing w:before="80" w:after="80"/>
      </w:pPr>
      <w:r>
        <w:rPr>
          <w:sz w:val="22"/>
        </w:rPr>
        <w:t>FedRAMP PMO materials, ISC2 / ISACA (governance framing).</w:t>
      </w:r>
    </w:p>
    <w:p>
      <w:pPr>
        <w:spacing w:before="80" w:after="80"/>
      </w:pPr>
      <w:r>
        <w:rPr>
          <w:b/>
          <w:sz w:val="22"/>
        </w:rPr>
        <w:t>Previous:</w:t>
      </w:r>
      <w:r>
        <w:rPr>
          <w:sz w:val="22"/>
        </w:rPr>
        <w:t xml:space="preserve"> Book 18 · </w:t>
      </w:r>
      <w:r>
        <w:rPr>
          <w:b/>
          <w:sz w:val="22"/>
        </w:rPr>
        <w:t>Back to:</w:t>
      </w:r>
      <w:r>
        <w:rPr>
          <w:sz w:val="22"/>
        </w:rPr>
        <w:t xml:space="preserve"> Program charter</w:t>
      </w:r>
    </w:p>
    <w:p>
      <w:r>
        <w:br w:type="page"/>
      </w:r>
    </w:p>
    <w:p>
      <w:pPr>
        <w:pStyle w:val="Heading1"/>
      </w:pPr>
      <w:r>
        <w:rPr>
          <w:color w:val="0D1B2E"/>
        </w:rPr>
        <w:t>AAN Lab Environments</w:t>
      </w:r>
    </w:p>
    <w:p>
      <w:r>
        <w:rPr>
          <w:i/>
          <w:color w:val="5A5A5A"/>
          <w:sz w:val="24"/>
        </w:rPr>
        <w:t>Scripted tenant and fixture setups for the Track B hands-on labs</w:t>
      </w:r>
    </w:p>
    <w:p>
      <w:r>
        <w:rPr>
          <w:color w:val="1E8C8C"/>
          <w:sz w:val="18"/>
        </w:rPr>
        <w:t>Federal AAN Training Program — companion material for the federal AAN book series; not part of UIAO.</w:t>
      </w:r>
    </w:p>
    <w:p>
      <w:pPr>
        <w:ind w:left="432"/>
        <w:shd w:val="clear" w:fill="F7F9FC"/>
      </w:pPr>
      <w:r>
        <w:rPr>
          <w:i/>
          <w:sz w:val="20"/>
        </w:rPr>
        <w:t xml:space="preserve">Part of the AAN Training Program — </w:t>
      </w:r>
      <w:r>
        <w:rPr>
          <w:b/>
          <w:i/>
          <w:sz w:val="20"/>
        </w:rPr>
        <w:t>companion material for the federal AAN book series, not part of UIAO.</w:t>
      </w:r>
    </w:p>
    <w:p>
      <w:pPr>
        <w:spacing w:before="80" w:after="80"/>
      </w:pPr>
      <w:r>
        <w:rPr>
          <w:sz w:val="22"/>
        </w:rPr>
        <w:t xml:space="preserve">Each Track B module ends with labs; the pages below stand up the environments those labs need. Scripts are embedded in the pages (this repo's </w:t>
      </w:r>
      <w:r>
        <w:rPr>
          <w:rFonts w:ascii="Consolas" w:hAnsi="Consolas"/>
          <w:sz w:val="22"/>
        </w:rPr>
        <w:t>docs/</w:t>
      </w:r>
      <w:r>
        <w:rPr>
          <w:sz w:val="22"/>
        </w:rPr>
        <w:t xml:space="preserve"> tree is documentation-source only — copy the blocks into your own shell/tenant).</w:t>
      </w:r>
    </w:p>
    <w:p>
      <w:pPr>
        <w:pStyle w:val="Heading3"/>
      </w:pPr>
      <w:r>
        <w:rPr>
          <w:color w:val="0D1B2E"/>
        </w:rPr>
        <w:t>Lab tiers</w:t>
      </w:r>
    </w:p>
    <w:tbl>
      <w:tblPr>
        <w:tblStyle w:val="LightList-Accent1"/>
        <w:tblW w:type="auto" w:w="0"/>
        <w:tblLook w:firstColumn="1" w:firstRow="1" w:lastColumn="0" w:lastRow="0" w:noHBand="0" w:noVBand="1" w:val="04A0"/>
      </w:tblPr>
      <w:tblGrid>
        <w:gridCol w:w="3120"/>
        <w:gridCol w:w="3120"/>
        <w:gridCol w:w="3120"/>
      </w:tblGrid>
      <w:tr>
        <w:tc>
          <w:tcPr>
            <w:tcW w:type="dxa" w:w="3120"/>
          </w:tcPr>
          <w:p>
            <w:r>
              <w:rPr>
                <w:b/>
              </w:rPr>
            </w:r>
            <w:r>
              <w:rPr>
                <w:b/>
                <w:sz w:val="18"/>
              </w:rPr>
              <w:t>Tier</w:t>
            </w:r>
          </w:p>
        </w:tc>
        <w:tc>
          <w:tcPr>
            <w:tcW w:type="dxa" w:w="3120"/>
          </w:tcPr>
          <w:p>
            <w:r>
              <w:rPr>
                <w:b/>
              </w:rPr>
            </w:r>
            <w:r>
              <w:rPr>
                <w:b/>
                <w:sz w:val="18"/>
              </w:rPr>
              <w:t>What it needs</w:t>
            </w:r>
          </w:p>
        </w:tc>
        <w:tc>
          <w:tcPr>
            <w:tcW w:type="dxa" w:w="3120"/>
          </w:tcPr>
          <w:p>
            <w:r>
              <w:rPr>
                <w:b/>
              </w:rPr>
            </w:r>
            <w:r>
              <w:rPr>
                <w:b/>
                <w:sz w:val="18"/>
              </w:rPr>
              <w:t>Use when</w:t>
            </w:r>
          </w:p>
        </w:tc>
      </w:tr>
      <w:tr>
        <w:tc>
          <w:tcPr>
            <w:tcW w:type="dxa" w:w="3120"/>
          </w:tcPr>
          <w:p>
            <w:r/>
            <w:r>
              <w:rPr>
                <w:b/>
                <w:sz w:val="18"/>
              </w:rPr>
              <w:t>Tier F — fixture</w:t>
            </w:r>
          </w:p>
        </w:tc>
        <w:tc>
          <w:tcPr>
            <w:tcW w:type="dxa" w:w="3120"/>
          </w:tcPr>
          <w:p>
            <w:r/>
            <w:r>
              <w:rPr>
                <w:sz w:val="18"/>
              </w:rPr>
              <w:t>Nothing but this repo and Python</w:t>
            </w:r>
          </w:p>
        </w:tc>
        <w:tc>
          <w:tcPr>
            <w:tcW w:type="dxa" w:w="3120"/>
          </w:tcPr>
          <w:p>
            <w:r/>
            <w:r>
              <w:rPr>
                <w:sz w:val="18"/>
              </w:rPr>
              <w:t xml:space="preserve">You want the evidence-binding mechanics (slot YAML → </w:t>
            </w:r>
            <w:r>
              <w:rPr>
                <w:rFonts w:ascii="Consolas" w:hAnsi="Consolas"/>
                <w:sz w:val="18"/>
              </w:rPr>
              <w:t>uiao oscal ksi-ar</w:t>
            </w:r>
            <w:r>
              <w:rPr>
                <w:sz w:val="18"/>
              </w:rPr>
              <w:t>) without any cloud footprint</w:t>
            </w:r>
          </w:p>
        </w:tc>
      </w:tr>
      <w:tr>
        <w:tc>
          <w:tcPr>
            <w:tcW w:type="dxa" w:w="3120"/>
          </w:tcPr>
          <w:p>
            <w:r/>
            <w:r>
              <w:rPr>
                <w:b/>
                <w:sz w:val="18"/>
              </w:rPr>
              <w:t>Tier T — trial tenant</w:t>
            </w:r>
          </w:p>
        </w:tc>
        <w:tc>
          <w:tcPr>
            <w:tcW w:type="dxa" w:w="3120"/>
          </w:tcPr>
          <w:p>
            <w:r/>
            <w:r>
              <w:rPr>
                <w:sz w:val="18"/>
              </w:rPr>
              <w:t>A Microsoft 365 developer/trial tenant + Azure trial subscription</w:t>
            </w:r>
          </w:p>
        </w:tc>
        <w:tc>
          <w:tcPr>
            <w:tcW w:type="dxa" w:w="3120"/>
          </w:tcPr>
          <w:p>
            <w:r/>
            <w:r>
              <w:rPr>
                <w:sz w:val="18"/>
              </w:rPr>
              <w:t>The PIM / Sentinel / Purview labs — full behavior, disposable blast radius</w:t>
            </w:r>
          </w:p>
        </w:tc>
      </w:tr>
      <w:tr>
        <w:tc>
          <w:tcPr>
            <w:tcW w:type="dxa" w:w="3120"/>
          </w:tcPr>
          <w:p>
            <w:r/>
            <w:r>
              <w:rPr>
                <w:b/>
                <w:sz w:val="18"/>
              </w:rPr>
              <w:t>Tier P — product eval</w:t>
            </w:r>
          </w:p>
        </w:tc>
        <w:tc>
          <w:tcPr>
            <w:tcW w:type="dxa" w:w="3120"/>
          </w:tcPr>
          <w:p>
            <w:r/>
            <w:r>
              <w:rPr>
                <w:sz w:val="18"/>
              </w:rPr>
              <w:t>A vendor eval (Infoblox/BlueCat) or containerized DNS/DHCP</w:t>
            </w:r>
          </w:p>
        </w:tc>
        <w:tc>
          <w:tcPr>
            <w:tcW w:type="dxa" w:w="3120"/>
          </w:tcPr>
          <w:p>
            <w:r/>
            <w:r>
              <w:rPr>
                <w:sz w:val="18"/>
              </w:rPr>
              <w:t>The DDI lab's split-horizon and provisioning exercises</w:t>
            </w:r>
          </w:p>
        </w:tc>
      </w:tr>
    </w:tbl>
    <w:p/>
    <w:p>
      <w:pPr>
        <w:jc w:val="center"/>
      </w:pPr>
      <w:r>
        <w:drawing>
          <wp:inline xmlns:a="http://schemas.openxmlformats.org/drawingml/2006/main" xmlns:pic="http://schemas.openxmlformats.org/drawingml/2006/picture">
            <wp:extent cx="5760720" cy="3240405"/>
            <wp:docPr id="6" name="Picture 6"/>
            <wp:cNvGraphicFramePr>
              <a:graphicFrameLocks noChangeAspect="1"/>
            </wp:cNvGraphicFramePr>
            <a:graphic>
              <a:graphicData uri="http://schemas.openxmlformats.org/drawingml/2006/picture">
                <pic:pic>
                  <pic:nvPicPr>
                    <pic:cNvPr id="0" name="tp-fig-05-lab-tiers.png"/>
                    <pic:cNvPicPr/>
                  </pic:nvPicPr>
                  <pic:blipFill>
                    <a:blip r:embed="rId14"/>
                    <a:stretch>
                      <a:fillRect/>
                    </a:stretch>
                  </pic:blipFill>
                  <pic:spPr>
                    <a:xfrm>
                      <a:off x="0" y="0"/>
                      <a:ext cx="5760720" cy="3240405"/>
                    </a:xfrm>
                    <a:prstGeom prst="rect"/>
                  </pic:spPr>
                </pic:pic>
              </a:graphicData>
            </a:graphic>
          </wp:inline>
        </w:drawing>
      </w:r>
    </w:p>
    <w:p>
      <w:pPr>
        <w:jc w:val="center"/>
      </w:pPr>
      <w:r>
        <w:rPr>
          <w:i/>
          <w:color w:val="5A5A5A"/>
          <w:sz w:val="18"/>
        </w:rPr>
        <w:t>Figure 1 — The three lab tiers and the four safety rules every lab starts from.</w:t>
      </w:r>
    </w:p>
    <w:p>
      <w:pPr>
        <w:pStyle w:val="Heading3"/>
      </w:pPr>
      <w:r>
        <w:rPr>
          <w:color w:val="0D1B2E"/>
        </w:rPr>
        <w:t>Safety rules (read before any lab)</w:t>
      </w:r>
    </w:p>
    <w:p>
      <w:pPr>
        <w:pStyle w:val="ListNumber"/>
      </w:pPr>
      <w:r>
        <w:rPr>
          <w:b/>
          <w:sz w:val="22"/>
        </w:rPr>
        <w:t>Never a production tenant.</w:t>
      </w:r>
      <w:r>
        <w:rPr>
          <w:sz w:val="22"/>
        </w:rPr>
        <w:t xml:space="preserve"> Every lab assumes a disposable tenant or subscription you can delete. PIM changes, CA policies, and DLP enforcement are exactly the things that lock organizations out.</w:t>
      </w:r>
    </w:p>
    <w:p>
      <w:pPr>
        <w:pStyle w:val="ListNumber"/>
      </w:pPr>
      <w:r>
        <w:rPr>
          <w:b/>
          <w:sz w:val="22"/>
        </w:rPr>
        <w:t>Report-only first.</w:t>
      </w:r>
      <w:r>
        <w:rPr>
          <w:sz w:val="22"/>
        </w:rPr>
        <w:t xml:space="preserve"> Where a lab creates a Conditional Access or DLP policy, it is created in report-only/simulation mode — the same discipline Books 10 and 12 mandate for production.</w:t>
      </w:r>
    </w:p>
    <w:p>
      <w:pPr>
        <w:pStyle w:val="ListNumber"/>
      </w:pPr>
      <w:r>
        <w:rPr>
          <w:b/>
          <w:sz w:val="22"/>
        </w:rPr>
        <w:t>Break-glass before lockdown.</w:t>
      </w:r>
      <w:r>
        <w:rPr>
          <w:sz w:val="22"/>
        </w:rPr>
        <w:t xml:space="preserve"> The PIM lab creates its excluded emergency account </w:t>
      </w:r>
      <w:r>
        <w:rPr>
          <w:i/>
          <w:sz w:val="22"/>
        </w:rPr>
        <w:t>first</w:t>
      </w:r>
      <w:r>
        <w:rPr>
          <w:sz w:val="22"/>
        </w:rPr>
        <w:t>, mirroring Book 10's ordering.</w:t>
      </w:r>
    </w:p>
    <w:p>
      <w:pPr>
        <w:pStyle w:val="ListNumber"/>
      </w:pPr>
      <w:r>
        <w:rPr>
          <w:b/>
          <w:sz w:val="22"/>
        </w:rPr>
        <w:t>Teardown is part of the lab.</w:t>
      </w:r>
      <w:r>
        <w:rPr>
          <w:sz w:val="22"/>
        </w:rPr>
        <w:t xml:space="preserve"> Each page ends with a teardown block; run it. Orphaned trial resources are how "labs" become shadow IT.</w:t>
      </w:r>
    </w:p>
    <w:p>
      <w:pPr>
        <w:pStyle w:val="Heading3"/>
      </w:pPr>
      <w:r>
        <w:rPr>
          <w:color w:val="0D1B2E"/>
        </w:rPr>
        <w:t>Cost notes</w:t>
      </w:r>
    </w:p>
    <w:p>
      <w:pPr>
        <w:pStyle w:val="ListBullet"/>
      </w:pPr>
      <w:r>
        <w:rPr>
          <w:sz w:val="22"/>
        </w:rPr>
        <w:t>M365 E5 developer/trial tenants cover Entra ID P2 (PIM), Purview, and Defender features for the trial window.</w:t>
      </w:r>
    </w:p>
    <w:p>
      <w:pPr>
        <w:pStyle w:val="ListBullet"/>
      </w:pPr>
      <w:r>
        <w:rPr>
          <w:sz w:val="22"/>
        </w:rPr>
        <w:t>Sentinel bills per GB ingested — the lab keeps ingestion in the free-tier range by using a single VM/forwarder and seeded events.</w:t>
      </w:r>
    </w:p>
    <w:p>
      <w:pPr>
        <w:pStyle w:val="ListBullet"/>
      </w:pPr>
      <w:r>
        <w:rPr>
          <w:sz w:val="22"/>
        </w:rPr>
        <w:t>Infoblox/BlueCat evals are vendor-arranged; the Tier-F fixture path needs no license.</w:t>
      </w:r>
    </w:p>
    <w:p>
      <w:pPr>
        <w:pStyle w:val="Heading3"/>
      </w:pPr>
      <w:r>
        <w:rPr>
          <w:color w:val="0D1B2E"/>
        </w:rPr>
        <w:t>Lab environment pages</w:t>
      </w:r>
    </w:p>
    <w:tbl>
      <w:tblPr>
        <w:tblStyle w:val="LightList-Accent1"/>
        <w:tblW w:type="auto" w:w="0"/>
        <w:tblLook w:firstColumn="1" w:firstRow="1" w:lastColumn="0" w:lastRow="0" w:noHBand="0" w:noVBand="1" w:val="04A0"/>
      </w:tblPr>
      <w:tblGrid>
        <w:gridCol w:w="2340"/>
        <w:gridCol w:w="2340"/>
        <w:gridCol w:w="2340"/>
        <w:gridCol w:w="2340"/>
      </w:tblGrid>
      <w:tr>
        <w:tc>
          <w:tcPr>
            <w:tcW w:type="dxa" w:w="2340"/>
          </w:tcPr>
          <w:p>
            <w:r>
              <w:rPr>
                <w:b/>
              </w:rPr>
            </w:r>
            <w:r>
              <w:rPr>
                <w:b/>
                <w:sz w:val="18"/>
              </w:rPr>
              <w:t>Page</w:t>
            </w:r>
          </w:p>
        </w:tc>
        <w:tc>
          <w:tcPr>
            <w:tcW w:type="dxa" w:w="2340"/>
          </w:tcPr>
          <w:p>
            <w:r>
              <w:rPr>
                <w:b/>
              </w:rPr>
            </w:r>
            <w:r>
              <w:rPr>
                <w:b/>
                <w:sz w:val="18"/>
              </w:rPr>
              <w:t>Module</w:t>
            </w:r>
          </w:p>
        </w:tc>
        <w:tc>
          <w:tcPr>
            <w:tcW w:type="dxa" w:w="2340"/>
          </w:tcPr>
          <w:p>
            <w:r>
              <w:rPr>
                <w:b/>
              </w:rPr>
            </w:r>
            <w:r>
              <w:rPr>
                <w:b/>
                <w:sz w:val="18"/>
              </w:rPr>
              <w:t>Stack</w:t>
            </w:r>
          </w:p>
        </w:tc>
        <w:tc>
          <w:tcPr>
            <w:tcW w:type="dxa" w:w="2340"/>
          </w:tcPr>
          <w:p>
            <w:r>
              <w:rPr>
                <w:b/>
              </w:rPr>
            </w:r>
            <w:r>
              <w:rPr>
                <w:b/>
                <w:sz w:val="18"/>
              </w:rPr>
              <w:t>Tier</w:t>
            </w:r>
          </w:p>
        </w:tc>
      </w:tr>
      <w:tr>
        <w:tc>
          <w:tcPr>
            <w:tcW w:type="dxa" w:w="2340"/>
          </w:tcPr>
          <w:p>
            <w:r/>
            <w:r>
              <w:rPr>
                <w:sz w:val="18"/>
              </w:rPr>
              <w:t>DDI lab (Book 01)</w:t>
            </w:r>
          </w:p>
        </w:tc>
        <w:tc>
          <w:tcPr>
            <w:tcW w:type="dxa" w:w="2340"/>
          </w:tcPr>
          <w:p>
            <w:r/>
            <w:r>
              <w:rPr>
                <w:sz w:val="18"/>
              </w:rPr>
              <w:t>B1</w:t>
            </w:r>
          </w:p>
        </w:tc>
        <w:tc>
          <w:tcPr>
            <w:tcW w:type="dxa" w:w="2340"/>
          </w:tcPr>
          <w:p>
            <w:r/>
            <w:r>
              <w:rPr>
                <w:sz w:val="18"/>
              </w:rPr>
              <w:t>Infoblox eval or BIND/Kea containers + IPAM fixture</w:t>
            </w:r>
          </w:p>
        </w:tc>
        <w:tc>
          <w:tcPr>
            <w:tcW w:type="dxa" w:w="2340"/>
          </w:tcPr>
          <w:p>
            <w:r/>
            <w:r>
              <w:rPr>
                <w:sz w:val="18"/>
              </w:rPr>
              <w:t>P / F</w:t>
            </w:r>
          </w:p>
        </w:tc>
      </w:tr>
      <w:tr>
        <w:tc>
          <w:tcPr>
            <w:tcW w:type="dxa" w:w="2340"/>
          </w:tcPr>
          <w:p>
            <w:r/>
            <w:r>
              <w:rPr>
                <w:sz w:val="18"/>
              </w:rPr>
              <w:t>PIM &amp; privileged access lab (Book 10)</w:t>
            </w:r>
          </w:p>
        </w:tc>
        <w:tc>
          <w:tcPr>
            <w:tcW w:type="dxa" w:w="2340"/>
          </w:tcPr>
          <w:p>
            <w:r/>
            <w:r>
              <w:rPr>
                <w:sz w:val="18"/>
              </w:rPr>
              <w:t>B5</w:t>
            </w:r>
          </w:p>
        </w:tc>
        <w:tc>
          <w:tcPr>
            <w:tcW w:type="dxa" w:w="2340"/>
          </w:tcPr>
          <w:p>
            <w:r/>
            <w:r>
              <w:rPr>
                <w:sz w:val="18"/>
              </w:rPr>
              <w:t>Entra ID P2, Intune, Graph PowerShell</w:t>
            </w:r>
          </w:p>
        </w:tc>
        <w:tc>
          <w:tcPr>
            <w:tcW w:type="dxa" w:w="2340"/>
          </w:tcPr>
          <w:p>
            <w:r/>
            <w:r>
              <w:rPr>
                <w:sz w:val="18"/>
              </w:rPr>
              <w:t>T</w:t>
            </w:r>
          </w:p>
        </w:tc>
      </w:tr>
      <w:tr>
        <w:tc>
          <w:tcPr>
            <w:tcW w:type="dxa" w:w="2340"/>
          </w:tcPr>
          <w:p>
            <w:r/>
            <w:r>
              <w:rPr>
                <w:sz w:val="18"/>
              </w:rPr>
              <w:t>Sentinel detection lab (Books 11/13)</w:t>
            </w:r>
          </w:p>
        </w:tc>
        <w:tc>
          <w:tcPr>
            <w:tcW w:type="dxa" w:w="2340"/>
          </w:tcPr>
          <w:p>
            <w:r/>
            <w:r>
              <w:rPr>
                <w:sz w:val="18"/>
              </w:rPr>
              <w:t>B6</w:t>
            </w:r>
          </w:p>
        </w:tc>
        <w:tc>
          <w:tcPr>
            <w:tcW w:type="dxa" w:w="2340"/>
          </w:tcPr>
          <w:p>
            <w:r/>
            <w:r>
              <w:rPr>
                <w:sz w:val="18"/>
              </w:rPr>
              <w:t>Log Analytics + Sentinel, one forwarder VM</w:t>
            </w:r>
          </w:p>
        </w:tc>
        <w:tc>
          <w:tcPr>
            <w:tcW w:type="dxa" w:w="2340"/>
          </w:tcPr>
          <w:p>
            <w:r/>
            <w:r>
              <w:rPr>
                <w:sz w:val="18"/>
              </w:rPr>
              <w:t>T</w:t>
            </w:r>
          </w:p>
        </w:tc>
      </w:tr>
      <w:tr>
        <w:tc>
          <w:tcPr>
            <w:tcW w:type="dxa" w:w="2340"/>
          </w:tcPr>
          <w:p>
            <w:r/>
            <w:r>
              <w:rPr>
                <w:sz w:val="18"/>
              </w:rPr>
              <w:t>Purview data-protection lab (Book 12)</w:t>
            </w:r>
          </w:p>
        </w:tc>
        <w:tc>
          <w:tcPr>
            <w:tcW w:type="dxa" w:w="2340"/>
          </w:tcPr>
          <w:p>
            <w:r/>
            <w:r>
              <w:rPr>
                <w:sz w:val="18"/>
              </w:rPr>
              <w:t>B6</w:t>
            </w:r>
          </w:p>
        </w:tc>
        <w:tc>
          <w:tcPr>
            <w:tcW w:type="dxa" w:w="2340"/>
          </w:tcPr>
          <w:p>
            <w:r/>
            <w:r>
              <w:rPr>
                <w:sz w:val="18"/>
              </w:rPr>
              <w:t>Purview labels/DLP, Key Vault Premium</w:t>
            </w:r>
          </w:p>
        </w:tc>
        <w:tc>
          <w:tcPr>
            <w:tcW w:type="dxa" w:w="2340"/>
          </w:tcPr>
          <w:p>
            <w:r/>
            <w:r>
              <w:rPr>
                <w:sz w:val="18"/>
              </w:rPr>
              <w:t>T</w:t>
            </w:r>
          </w:p>
        </w:tc>
      </w:tr>
    </w:tbl>
    <w:p/>
    <w:p>
      <w:pPr>
        <w:spacing w:before="80" w:after="80"/>
      </w:pPr>
      <w:r>
        <w:rPr>
          <w:sz w:val="22"/>
        </w:rPr>
        <w:t>Modules B3 (network/telecom SD-WAN/SASE), B7 (resilience/governance), and B8 (authorize &amp; operate) intentionally have no tenant page yet: B3 needs vendor SD-WAN gear or eval licenses (track via the vendor catalog), while B7's and B8's labs are document- and CI-shaped (SBOM workflow on any repo, tabletop exercise, OSCAL bundle generation, training-record JSON validation) — they run anywhere, Tier F.</w:t>
      </w:r>
    </w:p>
    <w:p>
      <w:pPr>
        <w:pStyle w:val="Heading3"/>
      </w:pPr>
      <w:r>
        <w:rPr>
          <w:color w:val="0D1B2E"/>
        </w:rPr>
        <w:t>The common final step — bind the evidence</w:t>
      </w:r>
    </w:p>
    <w:p>
      <w:pPr>
        <w:spacing w:before="80" w:after="80"/>
      </w:pPr>
      <w:r>
        <w:rPr>
          <w:sz w:val="22"/>
        </w:rPr>
        <w:t>Every lab ends the same way, regardless of tier: place the produced artifact where a slot mapping can reference it, then regenerate verdicts:</w:t>
      </w:r>
    </w:p>
    <w:p>
      <w:pPr>
        <w:shd w:val="clear" w:fill="F2F4F7"/>
        <w:spacing w:before="0" w:after="0"/>
        <w:ind w:left="360"/>
      </w:pPr>
      <w:r>
        <w:rPr>
          <w:rFonts w:ascii="Consolas" w:hAnsi="Consolas"/>
          <w:sz w:val="18"/>
        </w:rPr>
        <w:t>uiao oscal ksi-ar --output exports/oscal/ksi-ar.json</w:t>
      </w:r>
    </w:p>
    <w:p>
      <w:pPr>
        <w:spacing w:before="80" w:after="80"/>
      </w:pPr>
      <w:r>
        <w:rPr>
          <w:sz w:val="22"/>
        </w:rPr>
        <w:t>The Track A rubrics score what you produce.</w:t>
      </w:r>
    </w:p>
    <w:p>
      <w:r>
        <w:br w:type="page"/>
      </w:r>
    </w:p>
    <w:p>
      <w:pPr>
        <w:pStyle w:val="Heading1"/>
      </w:pPr>
      <w:r>
        <w:rPr>
          <w:color w:val="0D1B2E"/>
        </w:rPr>
        <w:t>Lab environment — DDI (Module B1)</w:t>
      </w:r>
    </w:p>
    <w:p>
      <w:r>
        <w:rPr>
          <w:i/>
          <w:color w:val="5A5A5A"/>
          <w:sz w:val="24"/>
        </w:rPr>
        <w:t>Split-horizon DNS, atomic provisioning, and the slot-02 addressing fixture</w:t>
      </w:r>
    </w:p>
    <w:p>
      <w:r>
        <w:rPr>
          <w:color w:val="1E8C8C"/>
          <w:sz w:val="18"/>
        </w:rPr>
        <w:t>Federal AAN Training Program — companion material for the federal AAN book series; not part of UIAO.</w:t>
      </w:r>
    </w:p>
    <w:p>
      <w:pPr>
        <w:ind w:left="432"/>
        <w:shd w:val="clear" w:fill="F7F9FC"/>
      </w:pPr>
      <w:r>
        <w:rPr>
          <w:i/>
          <w:sz w:val="20"/>
        </w:rPr>
        <w:t>Part of the AAN Training Program — companion material for the federal AAN book series, not part of UIAO. Read the lab hub safety rules first.</w:t>
      </w:r>
    </w:p>
    <w:p>
      <w:pPr>
        <w:spacing w:before="80" w:after="80"/>
      </w:pPr>
      <w:r>
        <w:rPr>
          <w:b/>
          <w:sz w:val="22"/>
        </w:rPr>
        <w:t>Supports:</w:t>
      </w:r>
      <w:r>
        <w:rPr>
          <w:sz w:val="22"/>
        </w:rPr>
        <w:t xml:space="preserve"> Book 01 labs · Module B1 · slot 2 — addressing (KSI-PIY)</w:t>
      </w:r>
    </w:p>
    <w:p>
      <w:pPr>
        <w:pStyle w:val="Heading3"/>
      </w:pPr>
      <w:r>
        <w:rPr>
          <w:color w:val="0D1B2E"/>
        </w:rPr>
        <w:t>Option A (Tier P) — vendor eval</w:t>
      </w:r>
    </w:p>
    <w:p>
      <w:pPr>
        <w:spacing w:before="80" w:after="80"/>
      </w:pPr>
      <w:r>
        <w:rPr>
          <w:sz w:val="22"/>
        </w:rPr>
        <w:t>If you have an Infoblox or BlueCat evaluation, use it: create three DNS views (internal / cloud-internal / external), enable DNSSEC on one zone, and run the vendor's IPAM export — then skip to Bind the evidence. The vendor catalog lists both vendors' training portals, which include lab guides for their own products.</w:t>
      </w:r>
    </w:p>
    <w:p>
      <w:pPr>
        <w:pStyle w:val="Heading3"/>
      </w:pPr>
      <w:r>
        <w:rPr>
          <w:color w:val="0D1B2E"/>
        </w:rPr>
        <w:t>Option B (Tier F) — containerized split-horizon lab</w:t>
      </w:r>
    </w:p>
    <w:p>
      <w:pPr>
        <w:spacing w:before="80" w:after="80"/>
      </w:pPr>
      <w:r>
        <w:rPr>
          <w:sz w:val="22"/>
        </w:rPr>
        <w:t>No license needed: two BIND views + Kea DHCP in containers approximate the Book 01 split-horizon exercise.</w:t>
      </w:r>
    </w:p>
    <w:p>
      <w:pPr>
        <w:shd w:val="clear" w:fill="F2F4F7"/>
        <w:spacing w:before="0" w:after="0"/>
        <w:ind w:left="360"/>
      </w:pPr>
      <w:r>
        <w:rPr>
          <w:rFonts w:ascii="Consolas" w:hAnsi="Consolas"/>
          <w:sz w:val="18"/>
        </w:rPr>
        <w:t>mkdir -p ddi-lab/{internal,external} &amp;&amp; cd ddi-lab</w:t>
      </w:r>
    </w:p>
    <w:p>
      <w:pPr>
        <w:shd w:val="clear" w:fill="F2F4F7"/>
        <w:spacing w:before="0" w:after="0"/>
        <w:ind w:left="360"/>
      </w:pPr>
      <w:r>
        <w:rPr>
          <w:rFonts w:ascii="Consolas" w:hAnsi="Consolas"/>
          <w:sz w:val="18"/>
        </w:rPr>
        <w:t xml:space="preserve"> </w:t>
      </w:r>
    </w:p>
    <w:p>
      <w:pPr>
        <w:shd w:val="clear" w:fill="F2F4F7"/>
        <w:spacing w:before="0" w:after="0"/>
        <w:ind w:left="360"/>
      </w:pPr>
      <w:r>
        <w:rPr>
          <w:rFonts w:ascii="Consolas" w:hAnsi="Consolas"/>
          <w:sz w:val="18"/>
        </w:rPr>
        <w:t># internal view zone: returns a private address</w:t>
      </w:r>
    </w:p>
    <w:p>
      <w:pPr>
        <w:shd w:val="clear" w:fill="F2F4F7"/>
        <w:spacing w:before="0" w:after="0"/>
        <w:ind w:left="360"/>
      </w:pPr>
      <w:r>
        <w:rPr>
          <w:rFonts w:ascii="Consolas" w:hAnsi="Consolas"/>
          <w:sz w:val="18"/>
        </w:rPr>
        <w:t>cat &gt; internal/db.app.example.test &lt;&lt;'EOF'</w:t>
      </w:r>
    </w:p>
    <w:p>
      <w:pPr>
        <w:shd w:val="clear" w:fill="F2F4F7"/>
        <w:spacing w:before="0" w:after="0"/>
        <w:ind w:left="360"/>
      </w:pPr>
      <w:r>
        <w:rPr>
          <w:rFonts w:ascii="Consolas" w:hAnsi="Consolas"/>
          <w:sz w:val="18"/>
        </w:rPr>
        <w:t>$TTL 300</w:t>
      </w:r>
    </w:p>
    <w:p>
      <w:pPr>
        <w:shd w:val="clear" w:fill="F2F4F7"/>
        <w:spacing w:before="0" w:after="0"/>
        <w:ind w:left="360"/>
      </w:pPr>
      <w:r>
        <w:rPr>
          <w:rFonts w:ascii="Consolas" w:hAnsi="Consolas"/>
          <w:sz w:val="18"/>
        </w:rPr>
        <w:t>@ IN SOA ns1.example.test. admin.example.test. (1 3600 900 604800 300)</w:t>
      </w:r>
    </w:p>
    <w:p>
      <w:pPr>
        <w:shd w:val="clear" w:fill="F2F4F7"/>
        <w:spacing w:before="0" w:after="0"/>
        <w:ind w:left="360"/>
      </w:pPr>
      <w:r>
        <w:rPr>
          <w:rFonts w:ascii="Consolas" w:hAnsi="Consolas"/>
          <w:sz w:val="18"/>
        </w:rPr>
        <w:t>@ IN NS  ns1.example.test.</w:t>
      </w:r>
    </w:p>
    <w:p>
      <w:pPr>
        <w:shd w:val="clear" w:fill="F2F4F7"/>
        <w:spacing w:before="0" w:after="0"/>
        <w:ind w:left="360"/>
      </w:pPr>
      <w:r>
        <w:rPr>
          <w:rFonts w:ascii="Consolas" w:hAnsi="Consolas"/>
          <w:sz w:val="18"/>
        </w:rPr>
        <w:t>app IN A 10.20.0.15</w:t>
      </w:r>
    </w:p>
    <w:p>
      <w:pPr>
        <w:shd w:val="clear" w:fill="F2F4F7"/>
        <w:spacing w:before="0" w:after="0"/>
        <w:ind w:left="360"/>
      </w:pPr>
      <w:r>
        <w:rPr>
          <w:rFonts w:ascii="Consolas" w:hAnsi="Consolas"/>
          <w:sz w:val="18"/>
        </w:rPr>
        <w:t>EOF</w:t>
      </w:r>
    </w:p>
    <w:p>
      <w:pPr>
        <w:shd w:val="clear" w:fill="F2F4F7"/>
        <w:spacing w:before="0" w:after="0"/>
        <w:ind w:left="360"/>
      </w:pPr>
      <w:r>
        <w:rPr>
          <w:rFonts w:ascii="Consolas" w:hAnsi="Consolas"/>
          <w:sz w:val="18"/>
        </w:rPr>
        <w:t xml:space="preserve"> </w:t>
      </w:r>
    </w:p>
    <w:p>
      <w:pPr>
        <w:shd w:val="clear" w:fill="F2F4F7"/>
        <w:spacing w:before="0" w:after="0"/>
        <w:ind w:left="360"/>
      </w:pPr>
      <w:r>
        <w:rPr>
          <w:rFonts w:ascii="Consolas" w:hAnsi="Consolas"/>
          <w:sz w:val="18"/>
        </w:rPr>
        <w:t># external view zone: same name does NOT exist (NXDOMAIN goal),</w:t>
      </w:r>
    </w:p>
    <w:p>
      <w:pPr>
        <w:shd w:val="clear" w:fill="F2F4F7"/>
        <w:spacing w:before="0" w:after="0"/>
        <w:ind w:left="360"/>
      </w:pPr>
      <w:r>
        <w:rPr>
          <w:rFonts w:ascii="Consolas" w:hAnsi="Consolas"/>
          <w:sz w:val="18"/>
        </w:rPr>
        <w:t># only public names are present</w:t>
      </w:r>
    </w:p>
    <w:p>
      <w:pPr>
        <w:shd w:val="clear" w:fill="F2F4F7"/>
        <w:spacing w:before="0" w:after="0"/>
        <w:ind w:left="360"/>
      </w:pPr>
      <w:r>
        <w:rPr>
          <w:rFonts w:ascii="Consolas" w:hAnsi="Consolas"/>
          <w:sz w:val="18"/>
        </w:rPr>
        <w:t>cat &gt; external/db.example.test &lt;&lt;'EOF'</w:t>
      </w:r>
    </w:p>
    <w:p>
      <w:pPr>
        <w:shd w:val="clear" w:fill="F2F4F7"/>
        <w:spacing w:before="0" w:after="0"/>
        <w:ind w:left="360"/>
      </w:pPr>
      <w:r>
        <w:rPr>
          <w:rFonts w:ascii="Consolas" w:hAnsi="Consolas"/>
          <w:sz w:val="18"/>
        </w:rPr>
        <w:t>$TTL 300</w:t>
      </w:r>
    </w:p>
    <w:p>
      <w:pPr>
        <w:shd w:val="clear" w:fill="F2F4F7"/>
        <w:spacing w:before="0" w:after="0"/>
        <w:ind w:left="360"/>
      </w:pPr>
      <w:r>
        <w:rPr>
          <w:rFonts w:ascii="Consolas" w:hAnsi="Consolas"/>
          <w:sz w:val="18"/>
        </w:rPr>
        <w:t>@ IN SOA ns1.example.test. admin.example.test. (1 3600 900 604800 300)</w:t>
      </w:r>
    </w:p>
    <w:p>
      <w:pPr>
        <w:shd w:val="clear" w:fill="F2F4F7"/>
        <w:spacing w:before="0" w:after="0"/>
        <w:ind w:left="360"/>
      </w:pPr>
      <w:r>
        <w:rPr>
          <w:rFonts w:ascii="Consolas" w:hAnsi="Consolas"/>
          <w:sz w:val="18"/>
        </w:rPr>
        <w:t>@ IN NS  ns1.example.test.</w:t>
      </w:r>
    </w:p>
    <w:p>
      <w:pPr>
        <w:shd w:val="clear" w:fill="F2F4F7"/>
        <w:spacing w:before="0" w:after="0"/>
        <w:ind w:left="360"/>
      </w:pPr>
      <w:r>
        <w:rPr>
          <w:rFonts w:ascii="Consolas" w:hAnsi="Consolas"/>
          <w:sz w:val="18"/>
        </w:rPr>
        <w:t>www IN A 203.0.113.10</w:t>
      </w:r>
    </w:p>
    <w:p>
      <w:pPr>
        <w:shd w:val="clear" w:fill="F2F4F7"/>
        <w:spacing w:before="0" w:after="0"/>
        <w:ind w:left="360"/>
      </w:pPr>
      <w:r>
        <w:rPr>
          <w:rFonts w:ascii="Consolas" w:hAnsi="Consolas"/>
          <w:sz w:val="18"/>
        </w:rPr>
        <w:t>EOF</w:t>
      </w:r>
    </w:p>
    <w:p>
      <w:pPr>
        <w:spacing w:before="80" w:after="80"/>
      </w:pPr>
      <w:r>
        <w:rPr>
          <w:rFonts w:ascii="Consolas" w:hAnsi="Consolas"/>
          <w:sz w:val="22"/>
        </w:rPr>
        <w:t>named.conf</w:t>
      </w:r>
      <w:r>
        <w:rPr>
          <w:sz w:val="22"/>
        </w:rPr>
        <w:t xml:space="preserve"> with two views keyed by client subnet (the lab's stand-in for Book 01's internal vs. external resolvers):</w:t>
      </w:r>
    </w:p>
    <w:p>
      <w:pPr>
        <w:shd w:val="clear" w:fill="F2F4F7"/>
        <w:spacing w:before="0" w:after="0"/>
        <w:ind w:left="360"/>
      </w:pPr>
      <w:r>
        <w:rPr>
          <w:rFonts w:ascii="Consolas" w:hAnsi="Consolas"/>
          <w:sz w:val="18"/>
        </w:rPr>
        <w:t>view "internal" {</w:t>
      </w:r>
    </w:p>
    <w:p>
      <w:pPr>
        <w:shd w:val="clear" w:fill="F2F4F7"/>
        <w:spacing w:before="0" w:after="0"/>
        <w:ind w:left="360"/>
      </w:pPr>
      <w:r>
        <w:rPr>
          <w:rFonts w:ascii="Consolas" w:hAnsi="Consolas"/>
          <w:sz w:val="18"/>
        </w:rPr>
        <w:t xml:space="preserve">  match-clients { 10.0.0.0/8; 172.16.0.0/12; };</w:t>
      </w:r>
    </w:p>
    <w:p>
      <w:pPr>
        <w:shd w:val="clear" w:fill="F2F4F7"/>
        <w:spacing w:before="0" w:after="0"/>
        <w:ind w:left="360"/>
      </w:pPr>
      <w:r>
        <w:rPr>
          <w:rFonts w:ascii="Consolas" w:hAnsi="Consolas"/>
          <w:sz w:val="18"/>
        </w:rPr>
        <w:t xml:space="preserve">  zone "app.example.test" { type primary; file "/etc/bind/internal/db.app.example.test"; };</w:t>
      </w:r>
    </w:p>
    <w:p>
      <w:pPr>
        <w:shd w:val="clear" w:fill="F2F4F7"/>
        <w:spacing w:before="0" w:after="0"/>
        <w:ind w:left="360"/>
      </w:pPr>
      <w:r>
        <w:rPr>
          <w:rFonts w:ascii="Consolas" w:hAnsi="Consolas"/>
          <w:sz w:val="18"/>
        </w:rPr>
        <w:t>};</w:t>
      </w:r>
    </w:p>
    <w:p>
      <w:pPr>
        <w:shd w:val="clear" w:fill="F2F4F7"/>
        <w:spacing w:before="0" w:after="0"/>
        <w:ind w:left="360"/>
      </w:pPr>
      <w:r>
        <w:rPr>
          <w:rFonts w:ascii="Consolas" w:hAnsi="Consolas"/>
          <w:sz w:val="18"/>
        </w:rPr>
        <w:t>view "external" {</w:t>
      </w:r>
    </w:p>
    <w:p>
      <w:pPr>
        <w:shd w:val="clear" w:fill="F2F4F7"/>
        <w:spacing w:before="0" w:after="0"/>
        <w:ind w:left="360"/>
      </w:pPr>
      <w:r>
        <w:rPr>
          <w:rFonts w:ascii="Consolas" w:hAnsi="Consolas"/>
          <w:sz w:val="18"/>
        </w:rPr>
        <w:t xml:space="preserve">  match-clients { any; };</w:t>
      </w:r>
    </w:p>
    <w:p>
      <w:pPr>
        <w:shd w:val="clear" w:fill="F2F4F7"/>
        <w:spacing w:before="0" w:after="0"/>
        <w:ind w:left="360"/>
      </w:pPr>
      <w:r>
        <w:rPr>
          <w:rFonts w:ascii="Consolas" w:hAnsi="Consolas"/>
          <w:sz w:val="18"/>
        </w:rPr>
        <w:t xml:space="preserve">  zone "example.test" { type primary; file "/etc/bind/external/db.example.test"; };</w:t>
      </w:r>
    </w:p>
    <w:p>
      <w:pPr>
        <w:shd w:val="clear" w:fill="F2F4F7"/>
        <w:spacing w:before="0" w:after="0"/>
        <w:ind w:left="360"/>
      </w:pPr>
      <w:r>
        <w:rPr>
          <w:rFonts w:ascii="Consolas" w:hAnsi="Consolas"/>
          <w:sz w:val="18"/>
        </w:rPr>
        <w:t>};</w:t>
      </w:r>
    </w:p>
    <w:p>
      <w:pPr>
        <w:spacing w:before="80" w:after="80"/>
      </w:pPr>
      <w:r>
        <w:rPr>
          <w:sz w:val="22"/>
        </w:rPr>
        <w:t>Run it and verify the split:</w:t>
      </w:r>
    </w:p>
    <w:p>
      <w:pPr>
        <w:shd w:val="clear" w:fill="F2F4F7"/>
        <w:spacing w:before="0" w:after="0"/>
        <w:ind w:left="360"/>
      </w:pPr>
      <w:r>
        <w:rPr>
          <w:rFonts w:ascii="Consolas" w:hAnsi="Consolas"/>
          <w:sz w:val="18"/>
        </w:rPr>
        <w:t>docker run -d --name ddi-bind -v "$PWD:/etc/bind" -p 5353:53/udp internetsystemsconsortium/bind9:9.18</w:t>
      </w:r>
    </w:p>
    <w:p>
      <w:pPr>
        <w:shd w:val="clear" w:fill="F2F4F7"/>
        <w:spacing w:before="0" w:after="0"/>
        <w:ind w:left="360"/>
      </w:pPr>
      <w:r>
        <w:rPr>
          <w:rFonts w:ascii="Consolas" w:hAnsi="Consolas"/>
          <w:sz w:val="18"/>
        </w:rPr>
        <w:t xml:space="preserve"> </w:t>
      </w:r>
    </w:p>
    <w:p>
      <w:pPr>
        <w:shd w:val="clear" w:fill="F2F4F7"/>
        <w:spacing w:before="0" w:after="0"/>
        <w:ind w:left="360"/>
      </w:pPr>
      <w:r>
        <w:rPr>
          <w:rFonts w:ascii="Consolas" w:hAnsi="Consolas"/>
          <w:sz w:val="18"/>
        </w:rPr>
        <w:t># internal client (simulate with source routing or exec into the container):</w:t>
      </w:r>
    </w:p>
    <w:p>
      <w:pPr>
        <w:shd w:val="clear" w:fill="F2F4F7"/>
        <w:spacing w:before="0" w:after="0"/>
        <w:ind w:left="360"/>
      </w:pPr>
      <w:r>
        <w:rPr>
          <w:rFonts w:ascii="Consolas" w:hAnsi="Consolas"/>
          <w:sz w:val="18"/>
        </w:rPr>
        <w:t>docker exec ddi-bind dig @127.0.0.1 app.app.example.test A +short   # → 10.20.0.15</w:t>
      </w:r>
    </w:p>
    <w:p>
      <w:pPr>
        <w:shd w:val="clear" w:fill="F2F4F7"/>
        <w:spacing w:before="0" w:after="0"/>
        <w:ind w:left="360"/>
      </w:pPr>
      <w:r>
        <w:rPr>
          <w:rFonts w:ascii="Consolas" w:hAnsi="Consolas"/>
          <w:sz w:val="18"/>
        </w:rPr>
        <w:t># external client:</w:t>
      </w:r>
    </w:p>
    <w:p>
      <w:pPr>
        <w:shd w:val="clear" w:fill="F2F4F7"/>
        <w:spacing w:before="0" w:after="0"/>
        <w:ind w:left="360"/>
      </w:pPr>
      <w:r>
        <w:rPr>
          <w:rFonts w:ascii="Consolas" w:hAnsi="Consolas"/>
          <w:sz w:val="18"/>
        </w:rPr>
        <w:t>dig @127.0.0.1 -p 5353 app.app.example.test A                      # → NXDOMAIN  ✅ Book 01's requirement</w:t>
      </w:r>
    </w:p>
    <w:p>
      <w:pPr>
        <w:pStyle w:val="Heading3"/>
      </w:pPr>
      <w:r>
        <w:rPr>
          <w:color w:val="0D1B2E"/>
        </w:rPr>
        <w:t>Exercise — the M365 endpoint poll pipeline</w:t>
      </w:r>
    </w:p>
    <w:p>
      <w:pPr>
        <w:spacing w:before="80" w:after="80"/>
      </w:pPr>
      <w:r>
        <w:rPr>
          <w:sz w:val="22"/>
        </w:rPr>
        <w:t>Book 01's automation lab, runnable anywhere with Python:</w:t>
      </w:r>
    </w:p>
    <w:p>
      <w:pPr>
        <w:shd w:val="clear" w:fill="F2F4F7"/>
        <w:spacing w:before="0" w:after="0"/>
        <w:ind w:left="360"/>
      </w:pPr>
      <w:r>
        <w:rPr>
          <w:rFonts w:ascii="Consolas" w:hAnsi="Consolas"/>
          <w:sz w:val="18"/>
        </w:rPr>
        <w:t># m365_endpoints_diff.py — poll the Microsoft 365 IP &amp; URL web service,</w:t>
      </w:r>
    </w:p>
    <w:p>
      <w:pPr>
        <w:shd w:val="clear" w:fill="F2F4F7"/>
        <w:spacing w:before="0" w:after="0"/>
        <w:ind w:left="360"/>
      </w:pPr>
      <w:r>
        <w:rPr>
          <w:rFonts w:ascii="Consolas" w:hAnsi="Consolas"/>
          <w:sz w:val="18"/>
        </w:rPr>
        <w:t># diff versions, and emit the allow/block artifacts Book 01 automates.</w:t>
      </w:r>
    </w:p>
    <w:p>
      <w:pPr>
        <w:shd w:val="clear" w:fill="F2F4F7"/>
        <w:spacing w:before="0" w:after="0"/>
        <w:ind w:left="360"/>
      </w:pPr>
      <w:r>
        <w:rPr>
          <w:rFonts w:ascii="Consolas" w:hAnsi="Consolas"/>
          <w:sz w:val="18"/>
        </w:rPr>
        <w:t>import json, urllib.request, uuid, pathlib</w:t>
      </w:r>
    </w:p>
    <w:p>
      <w:pPr>
        <w:shd w:val="clear" w:fill="F2F4F7"/>
        <w:spacing w:before="0" w:after="0"/>
        <w:ind w:left="360"/>
      </w:pPr>
      <w:r>
        <w:rPr>
          <w:rFonts w:ascii="Consolas" w:hAnsi="Consolas"/>
          <w:sz w:val="18"/>
        </w:rPr>
        <w:t xml:space="preserve"> </w:t>
      </w:r>
    </w:p>
    <w:p>
      <w:pPr>
        <w:shd w:val="clear" w:fill="F2F4F7"/>
        <w:spacing w:before="0" w:after="0"/>
        <w:ind w:left="360"/>
      </w:pPr>
      <w:r>
        <w:rPr>
          <w:rFonts w:ascii="Consolas" w:hAnsi="Consolas"/>
          <w:sz w:val="18"/>
        </w:rPr>
        <w:t>CLIENT = uuid.uuid4()</w:t>
      </w:r>
    </w:p>
    <w:p>
      <w:pPr>
        <w:shd w:val="clear" w:fill="F2F4F7"/>
        <w:spacing w:before="0" w:after="0"/>
        <w:ind w:left="360"/>
      </w:pPr>
      <w:r>
        <w:rPr>
          <w:rFonts w:ascii="Consolas" w:hAnsi="Consolas"/>
          <w:sz w:val="18"/>
        </w:rPr>
        <w:t>SERVICE = "endpoints.office.com"  # M365 IP &amp; URL web service host</w:t>
      </w:r>
    </w:p>
    <w:p>
      <w:pPr>
        <w:shd w:val="clear" w:fill="F2F4F7"/>
        <w:spacing w:before="0" w:after="0"/>
        <w:ind w:left="360"/>
      </w:pPr>
      <w:r>
        <w:rPr>
          <w:rFonts w:ascii="Consolas" w:hAnsi="Consolas"/>
          <w:sz w:val="18"/>
        </w:rPr>
        <w:t>url = "https://" + SERVICE + "/endpoints/worldwide?clientrequestid=" + str(CLIENT)</w:t>
      </w:r>
    </w:p>
    <w:p>
      <w:pPr>
        <w:shd w:val="clear" w:fill="F2F4F7"/>
        <w:spacing w:before="0" w:after="0"/>
        <w:ind w:left="360"/>
      </w:pPr>
      <w:r>
        <w:rPr>
          <w:rFonts w:ascii="Consolas" w:hAnsi="Consolas"/>
          <w:sz w:val="18"/>
        </w:rPr>
        <w:t>data = json.load(urllib.request.urlopen(url))</w:t>
      </w:r>
    </w:p>
    <w:p>
      <w:pPr>
        <w:shd w:val="clear" w:fill="F2F4F7"/>
        <w:spacing w:before="0" w:after="0"/>
        <w:ind w:left="360"/>
      </w:pPr>
      <w:r>
        <w:rPr>
          <w:rFonts w:ascii="Consolas" w:hAnsi="Consolas"/>
          <w:sz w:val="18"/>
        </w:rPr>
        <w:t xml:space="preserve"> </w:t>
      </w:r>
    </w:p>
    <w:p>
      <w:pPr>
        <w:shd w:val="clear" w:fill="F2F4F7"/>
        <w:spacing w:before="0" w:after="0"/>
        <w:ind w:left="360"/>
      </w:pPr>
      <w:r>
        <w:rPr>
          <w:rFonts w:ascii="Consolas" w:hAnsi="Consolas"/>
          <w:sz w:val="18"/>
        </w:rPr>
        <w:t>prev = pathlib.Path("m365-endpoints.json")</w:t>
      </w:r>
    </w:p>
    <w:p>
      <w:pPr>
        <w:shd w:val="clear" w:fill="F2F4F7"/>
        <w:spacing w:before="0" w:after="0"/>
        <w:ind w:left="360"/>
      </w:pPr>
      <w:r>
        <w:rPr>
          <w:rFonts w:ascii="Consolas" w:hAnsi="Consolas"/>
          <w:sz w:val="18"/>
        </w:rPr>
        <w:t>old = json.loads(prev.read_text()) if prev.exists() else []</w:t>
      </w:r>
    </w:p>
    <w:p>
      <w:pPr>
        <w:shd w:val="clear" w:fill="F2F4F7"/>
        <w:spacing w:before="0" w:after="0"/>
        <w:ind w:left="360"/>
      </w:pPr>
      <w:r>
        <w:rPr>
          <w:rFonts w:ascii="Consolas" w:hAnsi="Consolas"/>
          <w:sz w:val="18"/>
        </w:rPr>
        <w:t>old_urls = {u for e in old for u in e.get("urls", [])}</w:t>
      </w:r>
    </w:p>
    <w:p>
      <w:pPr>
        <w:shd w:val="clear" w:fill="F2F4F7"/>
        <w:spacing w:before="0" w:after="0"/>
        <w:ind w:left="360"/>
      </w:pPr>
      <w:r>
        <w:rPr>
          <w:rFonts w:ascii="Consolas" w:hAnsi="Consolas"/>
          <w:sz w:val="18"/>
        </w:rPr>
        <w:t>new_urls = {u for e in data for u in e.get("urls", [])}</w:t>
      </w:r>
    </w:p>
    <w:p>
      <w:pPr>
        <w:shd w:val="clear" w:fill="F2F4F7"/>
        <w:spacing w:before="0" w:after="0"/>
        <w:ind w:left="360"/>
      </w:pPr>
      <w:r>
        <w:rPr>
          <w:rFonts w:ascii="Consolas" w:hAnsi="Consolas"/>
          <w:sz w:val="18"/>
        </w:rPr>
        <w:t xml:space="preserve"> </w:t>
      </w:r>
    </w:p>
    <w:p>
      <w:pPr>
        <w:shd w:val="clear" w:fill="F2F4F7"/>
        <w:spacing w:before="0" w:after="0"/>
        <w:ind w:left="360"/>
      </w:pPr>
      <w:r>
        <w:rPr>
          <w:rFonts w:ascii="Consolas" w:hAnsi="Consolas"/>
          <w:sz w:val="18"/>
        </w:rPr>
        <w:t>print("ADD  →", sorted(new_urls - old_urls)[:10])</w:t>
      </w:r>
    </w:p>
    <w:p>
      <w:pPr>
        <w:shd w:val="clear" w:fill="F2F4F7"/>
        <w:spacing w:before="0" w:after="0"/>
        <w:ind w:left="360"/>
      </w:pPr>
      <w:r>
        <w:rPr>
          <w:rFonts w:ascii="Consolas" w:hAnsi="Consolas"/>
          <w:sz w:val="18"/>
        </w:rPr>
        <w:t>print("DROP →", sorted(old_urls - new_urls)[:10])</w:t>
      </w:r>
    </w:p>
    <w:p>
      <w:pPr>
        <w:shd w:val="clear" w:fill="F2F4F7"/>
        <w:spacing w:before="0" w:after="0"/>
        <w:ind w:left="360"/>
      </w:pPr>
      <w:r>
        <w:rPr>
          <w:rFonts w:ascii="Consolas" w:hAnsi="Consolas"/>
          <w:sz w:val="18"/>
        </w:rPr>
        <w:t>prev.write_text(json.dumps(data, indent=1))</w:t>
      </w:r>
    </w:p>
    <w:p>
      <w:pPr>
        <w:shd w:val="clear" w:fill="F2F4F7"/>
        <w:spacing w:before="0" w:after="0"/>
        <w:ind w:left="360"/>
      </w:pPr>
      <w:r>
        <w:rPr>
          <w:rFonts w:ascii="Consolas" w:hAnsi="Consolas"/>
          <w:sz w:val="18"/>
        </w:rPr>
        <w:t># In production these diffs drive RPZ allow/block, NSG, and split-tunnel updates.</w:t>
      </w:r>
    </w:p>
    <w:p>
      <w:pPr>
        <w:pStyle w:val="Heading3"/>
      </w:pPr>
      <w:r>
        <w:rPr>
          <w:color w:val="0D1B2E"/>
        </w:rPr>
        <w:t>Bind the evidence</w:t>
      </w:r>
    </w:p>
    <w:p>
      <w:pPr>
        <w:spacing w:before="80" w:after="80"/>
      </w:pPr>
      <w:r>
        <w:rPr>
          <w:sz w:val="22"/>
        </w:rPr>
        <w:t>Produce the CM-8-shaped inventory artifact (from the vendor export in Option A, or hand-built from the lab's address plan in Option B):</w:t>
      </w:r>
    </w:p>
    <w:p>
      <w:pPr>
        <w:shd w:val="clear" w:fill="F2F4F7"/>
        <w:spacing w:before="0" w:after="0"/>
        <w:ind w:left="360"/>
      </w:pPr>
      <w:r>
        <w:rPr>
          <w:rFonts w:ascii="Consolas" w:hAnsi="Consolas"/>
          <w:sz w:val="18"/>
        </w:rPr>
        <w:t>{</w:t>
      </w:r>
    </w:p>
    <w:p>
      <w:pPr>
        <w:shd w:val="clear" w:fill="F2F4F7"/>
        <w:spacing w:before="0" w:after="0"/>
        <w:ind w:left="360"/>
      </w:pPr>
      <w:r>
        <w:rPr>
          <w:rFonts w:ascii="Consolas" w:hAnsi="Consolas"/>
          <w:sz w:val="18"/>
        </w:rPr>
        <w:t xml:space="preserve">  "generated_at": "&lt;timestamp&gt;",</w:t>
      </w:r>
    </w:p>
    <w:p>
      <w:pPr>
        <w:shd w:val="clear" w:fill="F2F4F7"/>
        <w:spacing w:before="0" w:after="0"/>
        <w:ind w:left="360"/>
      </w:pPr>
      <w:r>
        <w:rPr>
          <w:rFonts w:ascii="Consolas" w:hAnsi="Consolas"/>
          <w:sz w:val="18"/>
        </w:rPr>
        <w:t xml:space="preserve">  "source": "ddi-lab",</w:t>
      </w:r>
    </w:p>
    <w:p>
      <w:pPr>
        <w:shd w:val="clear" w:fill="F2F4F7"/>
        <w:spacing w:before="0" w:after="0"/>
        <w:ind w:left="360"/>
      </w:pPr>
      <w:r>
        <w:rPr>
          <w:rFonts w:ascii="Consolas" w:hAnsi="Consolas"/>
          <w:sz w:val="18"/>
        </w:rPr>
        <w:t xml:space="preserve">  "networks": [</w:t>
      </w:r>
    </w:p>
    <w:p>
      <w:pPr>
        <w:shd w:val="clear" w:fill="F2F4F7"/>
        <w:spacing w:before="0" w:after="0"/>
        <w:ind w:left="360"/>
      </w:pPr>
      <w:r>
        <w:rPr>
          <w:rFonts w:ascii="Consolas" w:hAnsi="Consolas"/>
          <w:sz w:val="18"/>
        </w:rPr>
        <w:t xml:space="preserve">    {"cidr": "10.20.0.0/24", "view": "internal", "purpose": "app tier"},</w:t>
      </w:r>
    </w:p>
    <w:p>
      <w:pPr>
        <w:shd w:val="clear" w:fill="F2F4F7"/>
        <w:spacing w:before="0" w:after="0"/>
        <w:ind w:left="360"/>
      </w:pPr>
      <w:r>
        <w:rPr>
          <w:rFonts w:ascii="Consolas" w:hAnsi="Consolas"/>
          <w:sz w:val="18"/>
        </w:rPr>
        <w:t xml:space="preserve">    {"cidr": "203.0.113.0/24", "view": "external", "purpose": "public"}</w:t>
      </w:r>
    </w:p>
    <w:p>
      <w:pPr>
        <w:shd w:val="clear" w:fill="F2F4F7"/>
        <w:spacing w:before="0" w:after="0"/>
        <w:ind w:left="360"/>
      </w:pPr>
      <w:r>
        <w:rPr>
          <w:rFonts w:ascii="Consolas" w:hAnsi="Consolas"/>
          <w:sz w:val="18"/>
        </w:rPr>
        <w:t xml:space="preserve">  ],</w:t>
      </w:r>
    </w:p>
    <w:p>
      <w:pPr>
        <w:shd w:val="clear" w:fill="F2F4F7"/>
        <w:spacing w:before="0" w:after="0"/>
        <w:ind w:left="360"/>
      </w:pPr>
      <w:r>
        <w:rPr>
          <w:rFonts w:ascii="Consolas" w:hAnsi="Consolas"/>
          <w:sz w:val="18"/>
        </w:rPr>
        <w:t xml:space="preserve">  "records": [</w:t>
      </w:r>
    </w:p>
    <w:p>
      <w:pPr>
        <w:shd w:val="clear" w:fill="F2F4F7"/>
        <w:spacing w:before="0" w:after="0"/>
        <w:ind w:left="360"/>
      </w:pPr>
      <w:r>
        <w:rPr>
          <w:rFonts w:ascii="Consolas" w:hAnsi="Consolas"/>
          <w:sz w:val="18"/>
        </w:rPr>
        <w:t xml:space="preserve">    {"fqdn": "app.app.example.test", "ip": "10.20.0.15", "view": "internal"}</w:t>
      </w:r>
    </w:p>
    <w:p>
      <w:pPr>
        <w:shd w:val="clear" w:fill="F2F4F7"/>
        <w:spacing w:before="0" w:after="0"/>
        <w:ind w:left="360"/>
      </w:pPr>
      <w:r>
        <w:rPr>
          <w:rFonts w:ascii="Consolas" w:hAnsi="Consolas"/>
          <w:sz w:val="18"/>
        </w:rPr>
        <w:t xml:space="preserve">  ]</w:t>
      </w:r>
    </w:p>
    <w:p>
      <w:pPr>
        <w:shd w:val="clear" w:fill="F2F4F7"/>
        <w:spacing w:before="0" w:after="0"/>
        <w:ind w:left="360"/>
      </w:pPr>
      <w:r>
        <w:rPr>
          <w:rFonts w:ascii="Consolas" w:hAnsi="Consolas"/>
          <w:sz w:val="18"/>
        </w:rPr>
        <w:t>}</w:t>
      </w:r>
    </w:p>
    <w:p>
      <w:pPr>
        <w:spacing w:before="80" w:after="80"/>
      </w:pPr>
      <w:r>
        <w:rPr>
          <w:sz w:val="22"/>
        </w:rPr>
        <w:t>Reference it from a copy of the slot-02 mapping (</w:t>
      </w:r>
      <w:r>
        <w:rPr>
          <w:rFonts w:ascii="Consolas" w:hAnsi="Consolas"/>
          <w:sz w:val="22"/>
        </w:rPr>
        <w:t>slot-02-addressing-evidence.yaml</w:t>
      </w:r>
      <w:r>
        <w:rPr>
          <w:sz w:val="22"/>
        </w:rPr>
        <w:t xml:space="preserve"> &lt;https://github.com/WhalerMike/uiao/blob/main/src/uiao/adapters/fedramp_aan_catalog/mappings/slot-02-addressing-evidence.yaml&gt;) and regenerate: </w:t>
      </w:r>
      <w:r>
        <w:rPr>
          <w:rFonts w:ascii="Consolas" w:hAnsi="Consolas"/>
          <w:sz w:val="22"/>
        </w:rPr>
        <w:t>uiao oscal ksi-ar --output exports/oscal/ksi-ar.json</w:t>
      </w:r>
      <w:r>
        <w:rPr>
          <w:sz w:val="22"/>
        </w:rPr>
        <w:t>. Score yourself against the slot 2 rubric.</w:t>
      </w:r>
    </w:p>
    <w:p>
      <w:pPr>
        <w:pStyle w:val="Heading3"/>
      </w:pPr>
      <w:r>
        <w:rPr>
          <w:color w:val="0D1B2E"/>
        </w:rPr>
        <w:t>Teardown</w:t>
      </w:r>
    </w:p>
    <w:p>
      <w:pPr>
        <w:shd w:val="clear" w:fill="F2F4F7"/>
        <w:spacing w:before="0" w:after="0"/>
        <w:ind w:left="360"/>
      </w:pPr>
      <w:r>
        <w:rPr>
          <w:rFonts w:ascii="Consolas" w:hAnsi="Consolas"/>
          <w:sz w:val="18"/>
        </w:rPr>
        <w:t>docker rm -f ddi-bind &amp;&amp; rm -rf ddi-lab</w:t>
      </w:r>
    </w:p>
    <w:p>
      <w:r>
        <w:br w:type="page"/>
      </w:r>
    </w:p>
    <w:p>
      <w:pPr>
        <w:pStyle w:val="Heading1"/>
      </w:pPr>
      <w:r>
        <w:rPr>
          <w:color w:val="0D1B2E"/>
        </w:rPr>
        <w:t>Lab environment — PIM &amp; privileged access (Module B5)</w:t>
      </w:r>
    </w:p>
    <w:p>
      <w:r>
        <w:rPr>
          <w:i/>
          <w:color w:val="5A5A5A"/>
          <w:sz w:val="24"/>
        </w:rPr>
        <w:t>Break-glass first, then eligible-only roles, activation ceremony, and the audit trail</w:t>
      </w:r>
    </w:p>
    <w:p>
      <w:r>
        <w:rPr>
          <w:color w:val="1E8C8C"/>
          <w:sz w:val="18"/>
        </w:rPr>
        <w:t>Federal AAN Training Program — companion material for the federal AAN book series; not part of UIAO.</w:t>
      </w:r>
    </w:p>
    <w:p>
      <w:pPr>
        <w:ind w:left="432"/>
        <w:shd w:val="clear" w:fill="F7F9FC"/>
      </w:pPr>
      <w:r>
        <w:rPr>
          <w:i/>
          <w:sz w:val="20"/>
        </w:rPr>
        <w:t xml:space="preserve">Part of the AAN Training Program — companion material for the federal AAN book series, not part of UIAO. Read the lab hub safety rules first. </w:t>
      </w:r>
      <w:r>
        <w:rPr>
          <w:b/>
          <w:i/>
          <w:sz w:val="20"/>
        </w:rPr>
        <w:t>Tier T: disposable tenant with Entra ID P2 only. Never production.</w:t>
      </w:r>
    </w:p>
    <w:p>
      <w:pPr>
        <w:spacing w:before="80" w:after="80"/>
      </w:pPr>
      <w:r>
        <w:rPr>
          <w:b/>
          <w:sz w:val="22"/>
        </w:rPr>
        <w:t>Supports:</w:t>
      </w:r>
      <w:r>
        <w:rPr>
          <w:sz w:val="22"/>
        </w:rPr>
        <w:t xml:space="preserve"> Book 10 labs · Module B5 · slots 1 — identity (KSI-IAM) and 5 — endpoint (KSI-PIY)</w:t>
      </w:r>
    </w:p>
    <w:p>
      <w:pPr>
        <w:pStyle w:val="Heading3"/>
      </w:pPr>
      <w:r>
        <w:rPr>
          <w:color w:val="0D1B2E"/>
        </w:rPr>
        <w:t>Prerequisites</w:t>
      </w:r>
    </w:p>
    <w:p>
      <w:pPr>
        <w:pStyle w:val="ListBullet"/>
      </w:pPr>
      <w:r>
        <w:rPr>
          <w:sz w:val="22"/>
        </w:rPr>
        <w:t>A trial/developer Microsoft 365 tenant with Entra ID P2 (PIM requires P2).</w:t>
      </w:r>
    </w:p>
    <w:p>
      <w:pPr>
        <w:pStyle w:val="ListBullet"/>
      </w:pPr>
      <w:r>
        <w:rPr>
          <w:sz w:val="22"/>
        </w:rPr>
        <w:t>Microsoft Graph PowerShell:</w:t>
      </w:r>
    </w:p>
    <w:p>
      <w:pPr>
        <w:shd w:val="clear" w:fill="F2F4F7"/>
        <w:spacing w:before="0" w:after="0"/>
        <w:ind w:left="360"/>
      </w:pPr>
      <w:r>
        <w:rPr>
          <w:rFonts w:ascii="Consolas" w:hAnsi="Consolas"/>
          <w:sz w:val="18"/>
        </w:rPr>
        <w:t>Install-Module Microsoft.Graph -Scope CurrentUser</w:t>
      </w:r>
    </w:p>
    <w:p>
      <w:pPr>
        <w:shd w:val="clear" w:fill="F2F4F7"/>
        <w:spacing w:before="0" w:after="0"/>
        <w:ind w:left="360"/>
      </w:pPr>
      <w:r>
        <w:rPr>
          <w:rFonts w:ascii="Consolas" w:hAnsi="Consolas"/>
          <w:sz w:val="18"/>
        </w:rPr>
        <w:t>Connect-MgGraph -Scopes "RoleManagement.ReadWrite.Directory","Directory.Read.All","AuditLog.Read.All"</w:t>
      </w:r>
    </w:p>
    <w:p>
      <w:pPr>
        <w:pStyle w:val="Heading3"/>
      </w:pPr>
      <w:r>
        <w:rPr>
          <w:color w:val="0D1B2E"/>
        </w:rPr>
        <w:t>Step 1 — break-glass account FIRST (Book 10's ordering)</w:t>
      </w:r>
    </w:p>
    <w:p>
      <w:pPr>
        <w:shd w:val="clear" w:fill="F2F4F7"/>
        <w:spacing w:before="0" w:after="0"/>
        <w:ind w:left="360"/>
      </w:pPr>
      <w:r>
        <w:rPr>
          <w:rFonts w:ascii="Consolas" w:hAnsi="Consolas"/>
          <w:sz w:val="18"/>
        </w:rPr>
        <w:t>$pw = @{ Password = (-join ((65..90)+(97..122)+(48..57) | Get-Random -Count 24 | % {[char]$_})) ; ForceChangePasswordNextSignIn = $false }</w:t>
      </w:r>
    </w:p>
    <w:p>
      <w:pPr>
        <w:shd w:val="clear" w:fill="F2F4F7"/>
        <w:spacing w:before="0" w:after="0"/>
        <w:ind w:left="360"/>
      </w:pPr>
      <w:r>
        <w:rPr>
          <w:rFonts w:ascii="Consolas" w:hAnsi="Consolas"/>
          <w:sz w:val="18"/>
        </w:rPr>
        <w:t>$bg = New-MgUser -DisplayName "EA-BreakGlass-01" -UserPrincipalName "ea-breakglass-01@$((Get-MgDomain | ? IsDefault).Id)" `</w:t>
      </w:r>
    </w:p>
    <w:p>
      <w:pPr>
        <w:shd w:val="clear" w:fill="F2F4F7"/>
        <w:spacing w:before="0" w:after="0"/>
        <w:ind w:left="360"/>
      </w:pPr>
      <w:r>
        <w:rPr>
          <w:rFonts w:ascii="Consolas" w:hAnsi="Consolas"/>
          <w:sz w:val="18"/>
        </w:rPr>
        <w:t xml:space="preserve">       -MailNickname "eabreakglass01" -AccountEnabled -PasswordProfile $pw</w:t>
      </w:r>
    </w:p>
    <w:p>
      <w:pPr>
        <w:shd w:val="clear" w:fill="F2F4F7"/>
        <w:spacing w:before="0" w:after="0"/>
        <w:ind w:left="360"/>
      </w:pPr>
      <w:r>
        <w:rPr>
          <w:rFonts w:ascii="Consolas" w:hAnsi="Consolas"/>
          <w:sz w:val="18"/>
        </w:rPr>
        <w:t># Standing Global Administrator — the ONLY standing one in this lab</w:t>
      </w:r>
    </w:p>
    <w:p>
      <w:pPr>
        <w:shd w:val="clear" w:fill="F2F4F7"/>
        <w:spacing w:before="0" w:after="0"/>
        <w:ind w:left="360"/>
      </w:pPr>
      <w:r>
        <w:rPr>
          <w:rFonts w:ascii="Consolas" w:hAnsi="Consolas"/>
          <w:sz w:val="18"/>
        </w:rPr>
        <w:t>$gaRole = Get-MgDirectoryRole -Filter "displayName eq 'Global Administrator'"</w:t>
      </w:r>
    </w:p>
    <w:p>
      <w:pPr>
        <w:shd w:val="clear" w:fill="F2F4F7"/>
        <w:spacing w:before="0" w:after="0"/>
        <w:ind w:left="360"/>
      </w:pPr>
      <w:r>
        <w:rPr>
          <w:rFonts w:ascii="Consolas" w:hAnsi="Consolas"/>
          <w:sz w:val="18"/>
        </w:rPr>
        <w:t>New-MgDirectoryRoleMemberByRef -DirectoryRoleId $gaRole.Id -OdataId "https://graph.microsoft.com/v1.0/users/$($bg.Id)"</w:t>
      </w:r>
    </w:p>
    <w:p>
      <w:pPr>
        <w:spacing w:before="80" w:after="80"/>
      </w:pPr>
      <w:r>
        <w:rPr>
          <w:sz w:val="22"/>
        </w:rPr>
        <w:t>Record the password offline (in production: FIDO2 keys + physical safe). Exclude this account from every Conditional Access policy you create below.</w:t>
      </w:r>
    </w:p>
    <w:p>
      <w:pPr>
        <w:pStyle w:val="Heading3"/>
      </w:pPr>
      <w:r>
        <w:rPr>
          <w:color w:val="0D1B2E"/>
        </w:rPr>
        <w:t>Step 2 — enumerate standing assignments (the "before" evidence)</w:t>
      </w:r>
    </w:p>
    <w:p>
      <w:pPr>
        <w:shd w:val="clear" w:fill="F2F4F7"/>
        <w:spacing w:before="0" w:after="0"/>
        <w:ind w:left="360"/>
      </w:pPr>
      <w:r>
        <w:rPr>
          <w:rFonts w:ascii="Consolas" w:hAnsi="Consolas"/>
          <w:sz w:val="18"/>
        </w:rPr>
        <w:t>Get-MgRoleManagementDirectoryRoleAssignment -ExpandProperty Principal -All |</w:t>
      </w:r>
    </w:p>
    <w:p>
      <w:pPr>
        <w:shd w:val="clear" w:fill="F2F4F7"/>
        <w:spacing w:before="0" w:after="0"/>
        <w:ind w:left="360"/>
      </w:pPr>
      <w:r>
        <w:rPr>
          <w:rFonts w:ascii="Consolas" w:hAnsi="Consolas"/>
          <w:sz w:val="18"/>
        </w:rPr>
        <w:t xml:space="preserve">  Select-Object @{n='Role';e={(Get-MgRoleManagementDirectoryRoleDefinition -UnifiedRoleDefinitionId $_.RoleDefinitionId).DisplayName}},</w:t>
      </w:r>
    </w:p>
    <w:p>
      <w:pPr>
        <w:shd w:val="clear" w:fill="F2F4F7"/>
        <w:spacing w:before="0" w:after="0"/>
        <w:ind w:left="360"/>
      </w:pPr>
      <w:r>
        <w:rPr>
          <w:rFonts w:ascii="Consolas" w:hAnsi="Consolas"/>
          <w:sz w:val="18"/>
        </w:rPr>
        <w:t xml:space="preserve">                @{n='Principal';e={$_.Principal.AdditionalProperties.userPrincipalName}} |</w:t>
      </w:r>
    </w:p>
    <w:p>
      <w:pPr>
        <w:shd w:val="clear" w:fill="F2F4F7"/>
        <w:spacing w:before="0" w:after="0"/>
        <w:ind w:left="360"/>
      </w:pPr>
      <w:r>
        <w:rPr>
          <w:rFonts w:ascii="Consolas" w:hAnsi="Consolas"/>
          <w:sz w:val="18"/>
        </w:rPr>
        <w:t xml:space="preserve">  Export-Csv standing-assignments-before.csv -NoTypeInformation</w:t>
      </w:r>
    </w:p>
    <w:p>
      <w:pPr>
        <w:pStyle w:val="Heading3"/>
      </w:pPr>
      <w:r>
        <w:rPr>
          <w:color w:val="0D1B2E"/>
        </w:rPr>
        <w:t>Step 3 — convert a test admin to PIM eligible-only</w:t>
      </w:r>
    </w:p>
    <w:p>
      <w:pPr>
        <w:spacing w:before="80" w:after="80"/>
      </w:pPr>
      <w:r>
        <w:rPr>
          <w:sz w:val="22"/>
        </w:rPr>
        <w:t xml:space="preserve">Create a test user, grant an </w:t>
      </w:r>
      <w:r>
        <w:rPr>
          <w:b/>
          <w:sz w:val="22"/>
        </w:rPr>
        <w:t>eligible</w:t>
      </w:r>
      <w:r>
        <w:rPr>
          <w:sz w:val="22"/>
        </w:rPr>
        <w:t xml:space="preserve"> (not active) Security Administrator assignment with an 8-hour cap:</w:t>
      </w:r>
    </w:p>
    <w:p>
      <w:pPr>
        <w:shd w:val="clear" w:fill="F2F4F7"/>
        <w:spacing w:before="0" w:after="0"/>
        <w:ind w:left="360"/>
      </w:pPr>
      <w:r>
        <w:rPr>
          <w:rFonts w:ascii="Consolas" w:hAnsi="Consolas"/>
          <w:sz w:val="18"/>
        </w:rPr>
        <w:t>$u = New-MgUser -DisplayName "Lab Admin" -UserPrincipalName "lab-admin@$((Get-MgDomain | ? IsDefault).Id)" `</w:t>
      </w:r>
    </w:p>
    <w:p>
      <w:pPr>
        <w:shd w:val="clear" w:fill="F2F4F7"/>
        <w:spacing w:before="0" w:after="0"/>
        <w:ind w:left="360"/>
      </w:pPr>
      <w:r>
        <w:rPr>
          <w:rFonts w:ascii="Consolas" w:hAnsi="Consolas"/>
          <w:sz w:val="18"/>
        </w:rPr>
        <w:t xml:space="preserve">      -MailNickname "labadmin" -AccountEnabled -PasswordProfile $pw</w:t>
      </w:r>
    </w:p>
    <w:p>
      <w:pPr>
        <w:shd w:val="clear" w:fill="F2F4F7"/>
        <w:spacing w:before="0" w:after="0"/>
        <w:ind w:left="360"/>
      </w:pPr>
      <w:r>
        <w:rPr>
          <w:rFonts w:ascii="Consolas" w:hAnsi="Consolas"/>
          <w:sz w:val="18"/>
        </w:rPr>
        <w:t>$secAdmin = Get-MgRoleManagementDirectoryRoleDefinition -Filter "displayName eq 'Security Administrator'"</w:t>
      </w:r>
    </w:p>
    <w:p>
      <w:pPr>
        <w:shd w:val="clear" w:fill="F2F4F7"/>
        <w:spacing w:before="0" w:after="0"/>
        <w:ind w:left="360"/>
      </w:pPr>
      <w:r>
        <w:rPr>
          <w:rFonts w:ascii="Consolas" w:hAnsi="Consolas"/>
          <w:sz w:val="18"/>
        </w:rPr>
        <w:t>New-MgRoleManagementDirectoryRoleEligibilityScheduleRequest -Action "adminAssign" `</w:t>
      </w:r>
    </w:p>
    <w:p>
      <w:pPr>
        <w:shd w:val="clear" w:fill="F2F4F7"/>
        <w:spacing w:before="0" w:after="0"/>
        <w:ind w:left="360"/>
      </w:pPr>
      <w:r>
        <w:rPr>
          <w:rFonts w:ascii="Consolas" w:hAnsi="Consolas"/>
          <w:sz w:val="18"/>
        </w:rPr>
        <w:t xml:space="preserve">  -PrincipalId $u.Id -RoleDefinitionId $secAdmin.Id -DirectoryScopeId "/" `</w:t>
      </w:r>
    </w:p>
    <w:p>
      <w:pPr>
        <w:shd w:val="clear" w:fill="F2F4F7"/>
        <w:spacing w:before="0" w:after="0"/>
        <w:ind w:left="360"/>
      </w:pPr>
      <w:r>
        <w:rPr>
          <w:rFonts w:ascii="Consolas" w:hAnsi="Consolas"/>
          <w:sz w:val="18"/>
        </w:rPr>
        <w:t xml:space="preserve">  -ScheduleInfo @{ startDateTime = (Get-Date).ToUniversalTime(); expiration = @{ type = "afterDuration"; duration = "P90D" } }</w:t>
      </w:r>
    </w:p>
    <w:p>
      <w:pPr>
        <w:spacing w:before="80" w:after="80"/>
      </w:pPr>
      <w:r>
        <w:rPr>
          <w:sz w:val="22"/>
        </w:rPr>
        <w:t xml:space="preserve">In the portal (Entra ID → PIM → Roles → Security Administrator → Settings), set: activation max 8 hours, require MFA, require justification, require approval. Then, as </w:t>
      </w:r>
      <w:r>
        <w:rPr>
          <w:rFonts w:ascii="Consolas" w:hAnsi="Consolas"/>
          <w:sz w:val="22"/>
        </w:rPr>
        <w:t>lab-admin</w:t>
      </w:r>
      <w:r>
        <w:rPr>
          <w:sz w:val="22"/>
        </w:rPr>
        <w:t xml:space="preserve">, walk the </w:t>
      </w:r>
      <w:r>
        <w:rPr>
          <w:b/>
          <w:sz w:val="22"/>
        </w:rPr>
        <w:t>activation ceremony</w:t>
      </w:r>
      <w:r>
        <w:rPr>
          <w:sz w:val="22"/>
        </w:rPr>
        <w:t>: request → MFA → justification → (approve as yourself) → time-boxed activation → automatic deactivation.</w:t>
      </w:r>
    </w:p>
    <w:p>
      <w:pPr>
        <w:pStyle w:val="Heading3"/>
      </w:pPr>
      <w:r>
        <w:rPr>
          <w:color w:val="0D1B2E"/>
        </w:rPr>
        <w:t>Step 4 — report-only Conditional Access (14-day discipline)</w:t>
      </w:r>
    </w:p>
    <w:p>
      <w:pPr>
        <w:spacing w:before="80" w:after="80"/>
      </w:pPr>
      <w:r>
        <w:rPr>
          <w:sz w:val="22"/>
        </w:rPr>
        <w:t xml:space="preserve">Create one policy — "PIM activation requires compliant device" — targeting directory-role activation, in </w:t>
      </w:r>
      <w:r>
        <w:rPr>
          <w:b/>
          <w:sz w:val="22"/>
        </w:rPr>
        <w:t>report-only</w:t>
      </w:r>
      <w:r>
        <w:rPr>
          <w:sz w:val="22"/>
        </w:rPr>
        <w:t xml:space="preserve"> mode, with the break-glass account excluded. Book 10's rule: 14+ days report-only before enforcement; in the lab, inspect the report-only results in sign-in logs instead.</w:t>
      </w:r>
    </w:p>
    <w:p>
      <w:pPr>
        <w:pStyle w:val="Heading3"/>
      </w:pPr>
      <w:r>
        <w:rPr>
          <w:color w:val="0D1B2E"/>
        </w:rPr>
        <w:t>Step 5 — the evidence: PIM audit export</w:t>
      </w:r>
    </w:p>
    <w:p>
      <w:pPr>
        <w:shd w:val="clear" w:fill="F2F4F7"/>
        <w:spacing w:before="0" w:after="0"/>
        <w:ind w:left="360"/>
      </w:pPr>
      <w:r>
        <w:rPr>
          <w:rFonts w:ascii="Consolas" w:hAnsi="Consolas"/>
          <w:sz w:val="18"/>
        </w:rPr>
        <w:t>Get-MgAuditLogDirectoryAudit -Filter "loggedByService eq 'PIM'" -All |</w:t>
      </w:r>
    </w:p>
    <w:p>
      <w:pPr>
        <w:shd w:val="clear" w:fill="F2F4F7"/>
        <w:spacing w:before="0" w:after="0"/>
        <w:ind w:left="360"/>
      </w:pPr>
      <w:r>
        <w:rPr>
          <w:rFonts w:ascii="Consolas" w:hAnsi="Consolas"/>
          <w:sz w:val="18"/>
        </w:rPr>
        <w:t xml:space="preserve">  Select-Object ActivityDateTime, ActivityDisplayName,</w:t>
      </w:r>
    </w:p>
    <w:p>
      <w:pPr>
        <w:shd w:val="clear" w:fill="F2F4F7"/>
        <w:spacing w:before="0" w:after="0"/>
        <w:ind w:left="360"/>
      </w:pPr>
      <w:r>
        <w:rPr>
          <w:rFonts w:ascii="Consolas" w:hAnsi="Consolas"/>
          <w:sz w:val="18"/>
        </w:rPr>
        <w:t xml:space="preserve">    @{n='Initiator';e={$_.InitiatedBy.User.UserPrincipalName}},</w:t>
      </w:r>
    </w:p>
    <w:p>
      <w:pPr>
        <w:shd w:val="clear" w:fill="F2F4F7"/>
        <w:spacing w:before="0" w:after="0"/>
        <w:ind w:left="360"/>
      </w:pPr>
      <w:r>
        <w:rPr>
          <w:rFonts w:ascii="Consolas" w:hAnsi="Consolas"/>
          <w:sz w:val="18"/>
        </w:rPr>
        <w:t xml:space="preserve">    @{n='Target';e={$_.TargetResources[0].UserPrincipalName}} |</w:t>
      </w:r>
    </w:p>
    <w:p>
      <w:pPr>
        <w:shd w:val="clear" w:fill="F2F4F7"/>
        <w:spacing w:before="0" w:after="0"/>
        <w:ind w:left="360"/>
      </w:pPr>
      <w:r>
        <w:rPr>
          <w:rFonts w:ascii="Consolas" w:hAnsi="Consolas"/>
          <w:sz w:val="18"/>
        </w:rPr>
        <w:t xml:space="preserve">  ConvertTo-Json -Depth 4 | Out-File pim-audit-trail.json</w:t>
      </w:r>
    </w:p>
    <w:p>
      <w:pPr>
        <w:spacing w:before="80" w:after="80"/>
      </w:pPr>
      <w:r>
        <w:rPr>
          <w:rFonts w:ascii="Consolas" w:hAnsi="Consolas"/>
          <w:sz w:val="22"/>
        </w:rPr>
        <w:t>pim-audit-trail.json</w:t>
      </w:r>
      <w:r>
        <w:rPr>
          <w:sz w:val="22"/>
        </w:rPr>
        <w:t xml:space="preserve"> plus </w:t>
      </w:r>
      <w:r>
        <w:rPr>
          <w:rFonts w:ascii="Consolas" w:hAnsi="Consolas"/>
          <w:sz w:val="22"/>
        </w:rPr>
        <w:t>standing-assignments-before.csv</w:t>
      </w:r>
      <w:r>
        <w:rPr>
          <w:sz w:val="22"/>
        </w:rPr>
        <w:t xml:space="preserve"> (and an "after" run showing eligible-only) are the slot-01 artifacts; the device compliance requirement is the slot-05 angle. Score against the slot 1 and slot 5 rubrics.</w:t>
      </w:r>
    </w:p>
    <w:p>
      <w:pPr>
        <w:pStyle w:val="Heading3"/>
      </w:pPr>
      <w:r>
        <w:rPr>
          <w:color w:val="0D1B2E"/>
        </w:rPr>
        <w:t>Teardown</w:t>
      </w:r>
    </w:p>
    <w:p>
      <w:pPr>
        <w:shd w:val="clear" w:fill="F2F4F7"/>
        <w:spacing w:before="0" w:after="0"/>
        <w:ind w:left="360"/>
      </w:pPr>
      <w:r>
        <w:rPr>
          <w:rFonts w:ascii="Consolas" w:hAnsi="Consolas"/>
          <w:sz w:val="18"/>
        </w:rPr>
        <w:t>Remove-MgUser -UserId $u.Id</w:t>
      </w:r>
    </w:p>
    <w:p>
      <w:pPr>
        <w:shd w:val="clear" w:fill="F2F4F7"/>
        <w:spacing w:before="0" w:after="0"/>
        <w:ind w:left="360"/>
      </w:pPr>
      <w:r>
        <w:rPr>
          <w:rFonts w:ascii="Consolas" w:hAnsi="Consolas"/>
          <w:sz w:val="18"/>
        </w:rPr>
        <w:t>Remove-MgUser -UserId $bg.Id          # lab only — production break-glass is permanent</w:t>
      </w:r>
    </w:p>
    <w:p>
      <w:pPr>
        <w:shd w:val="clear" w:fill="F2F4F7"/>
        <w:spacing w:before="0" w:after="0"/>
        <w:ind w:left="360"/>
      </w:pPr>
      <w:r>
        <w:rPr>
          <w:rFonts w:ascii="Consolas" w:hAnsi="Consolas"/>
          <w:sz w:val="18"/>
        </w:rPr>
        <w:t># Delete the report-only CA policy in the portal, or let the trial tenant expire.</w:t>
      </w:r>
    </w:p>
    <w:p>
      <w:r>
        <w:br w:type="page"/>
      </w:r>
    </w:p>
    <w:p>
      <w:pPr>
        <w:pStyle w:val="Heading1"/>
      </w:pPr>
      <w:r>
        <w:rPr>
          <w:color w:val="0D1B2E"/>
        </w:rPr>
        <w:t>Lab environment — Sentinel detection (Module B6)</w:t>
      </w:r>
    </w:p>
    <w:p>
      <w:r>
        <w:rPr>
          <w:i/>
          <w:color w:val="5A5A5A"/>
          <w:sz w:val="24"/>
        </w:rPr>
        <w:t>One workspace, seeded signals, a tuned analytic rule, and the AU-6 evidence chain</w:t>
      </w:r>
    </w:p>
    <w:p>
      <w:r>
        <w:rPr>
          <w:color w:val="1E8C8C"/>
          <w:sz w:val="18"/>
        </w:rPr>
        <w:t>Federal AAN Training Program — companion material for the federal AAN book series; not part of UIAO.</w:t>
      </w:r>
    </w:p>
    <w:p>
      <w:pPr>
        <w:ind w:left="432"/>
        <w:shd w:val="clear" w:fill="F7F9FC"/>
      </w:pPr>
      <w:r>
        <w:rPr>
          <w:i/>
          <w:sz w:val="20"/>
        </w:rPr>
        <w:t xml:space="preserve">Part of the AAN Training Program — companion material for the federal AAN book series, not part of UIAO. Read the lab hub safety rules first. </w:t>
      </w:r>
      <w:r>
        <w:rPr>
          <w:b/>
          <w:i/>
          <w:sz w:val="20"/>
        </w:rPr>
        <w:t>Tier T: trial Azure subscription; keep ingestion tiny — Sentinel bills per GB.</w:t>
      </w:r>
    </w:p>
    <w:p>
      <w:pPr>
        <w:spacing w:before="80" w:after="80"/>
      </w:pPr>
      <w:r>
        <w:rPr>
          <w:b/>
          <w:sz w:val="22"/>
        </w:rPr>
        <w:t>Supports:</w:t>
      </w:r>
      <w:r>
        <w:rPr>
          <w:sz w:val="22"/>
        </w:rPr>
        <w:t xml:space="preserve"> Book 11 labs, Book 13 labs · Module B6 · slots 4 — telemetry (KSI-MLA) and 6 — security (KSI-CMT)</w:t>
      </w:r>
    </w:p>
    <w:p>
      <w:pPr>
        <w:pStyle w:val="Heading3"/>
      </w:pPr>
      <w:r>
        <w:rPr>
          <w:color w:val="0D1B2E"/>
        </w:rPr>
        <w:t>Step 1 — workspace + Sentinel</w:t>
      </w:r>
    </w:p>
    <w:p>
      <w:pPr>
        <w:shd w:val="clear" w:fill="F2F4F7"/>
        <w:spacing w:before="0" w:after="0"/>
        <w:ind w:left="360"/>
      </w:pPr>
      <w:r>
        <w:rPr>
          <w:rFonts w:ascii="Consolas" w:hAnsi="Consolas"/>
          <w:sz w:val="18"/>
        </w:rPr>
        <w:t>az group create -n rg-aan-lab -l eastus</w:t>
      </w:r>
    </w:p>
    <w:p>
      <w:pPr>
        <w:shd w:val="clear" w:fill="F2F4F7"/>
        <w:spacing w:before="0" w:after="0"/>
        <w:ind w:left="360"/>
      </w:pPr>
      <w:r>
        <w:rPr>
          <w:rFonts w:ascii="Consolas" w:hAnsi="Consolas"/>
          <w:sz w:val="18"/>
        </w:rPr>
        <w:t>az monitor log-analytics workspace create -g rg-aan-lab -n law-aan-lab --retention-time 90</w:t>
      </w:r>
    </w:p>
    <w:p>
      <w:pPr>
        <w:shd w:val="clear" w:fill="F2F4F7"/>
        <w:spacing w:before="0" w:after="0"/>
        <w:ind w:left="360"/>
      </w:pPr>
      <w:r>
        <w:rPr>
          <w:rFonts w:ascii="Consolas" w:hAnsi="Consolas"/>
          <w:sz w:val="18"/>
        </w:rPr>
        <w:t>az sentinel onboarding-state create -g rg-aan-lab --workspace-name law-aan-lab -n default</w:t>
      </w:r>
    </w:p>
    <w:p>
      <w:pPr>
        <w:shd w:val="clear" w:fill="F2F4F7"/>
        <w:spacing w:before="0" w:after="0"/>
        <w:ind w:left="360"/>
      </w:pPr>
      <w:r>
        <w:rPr>
          <w:rFonts w:ascii="Consolas" w:hAnsi="Consolas"/>
          <w:sz w:val="18"/>
        </w:rPr>
        <w:t># Connect the Entra ID data connector (sign-in + audit logs) in the portal:</w:t>
      </w:r>
    </w:p>
    <w:p>
      <w:pPr>
        <w:shd w:val="clear" w:fill="F2F4F7"/>
        <w:spacing w:before="0" w:after="0"/>
        <w:ind w:left="360"/>
      </w:pPr>
      <w:r>
        <w:rPr>
          <w:rFonts w:ascii="Consolas" w:hAnsi="Consolas"/>
          <w:sz w:val="18"/>
        </w:rPr>
        <w:t># Sentinel → Content hub → "Microsoft Entra ID" → install → connector page → connect.</w:t>
      </w:r>
    </w:p>
    <w:p>
      <w:pPr>
        <w:spacing w:before="80" w:after="80"/>
      </w:pPr>
      <w:r>
        <w:rPr>
          <w:sz w:val="22"/>
        </w:rPr>
        <w:t>The 90-day interactive retention mirrors Book 13's hot tier; archive and WORM tiers are portal exercises noted below.</w:t>
      </w:r>
    </w:p>
    <w:p>
      <w:pPr>
        <w:pStyle w:val="Heading3"/>
      </w:pPr>
      <w:r>
        <w:rPr>
          <w:color w:val="0D1B2E"/>
        </w:rPr>
        <w:t>Step 2 — the detection, with the tuning-window discipline</w:t>
      </w:r>
    </w:p>
    <w:p>
      <w:pPr>
        <w:spacing w:before="80" w:after="80"/>
      </w:pPr>
      <w:r>
        <w:rPr>
          <w:sz w:val="22"/>
        </w:rPr>
        <w:t xml:space="preserve">Book 13's MFA-fatigue rule, deployed the way the book requires — </w:t>
      </w:r>
      <w:r>
        <w:rPr>
          <w:b/>
          <w:sz w:val="22"/>
        </w:rPr>
        <w:t>incident creation off for the tuning window</w:t>
      </w:r>
      <w:r>
        <w:rPr>
          <w:sz w:val="22"/>
        </w:rPr>
        <w:t>:</w:t>
      </w:r>
    </w:p>
    <w:p>
      <w:pPr>
        <w:shd w:val="clear" w:fill="F2F4F7"/>
        <w:spacing w:before="0" w:after="0"/>
        <w:ind w:left="360"/>
      </w:pPr>
      <w:r>
        <w:rPr>
          <w:rFonts w:ascii="Consolas" w:hAnsi="Consolas"/>
          <w:sz w:val="18"/>
        </w:rPr>
        <w:t>az sentinel alert-rule create -g rg-aan-lab --workspace-name law-aan-lab -n mfa-fatigue \</w:t>
      </w:r>
    </w:p>
    <w:p>
      <w:pPr>
        <w:shd w:val="clear" w:fill="F2F4F7"/>
        <w:spacing w:before="0" w:after="0"/>
        <w:ind w:left="360"/>
      </w:pPr>
      <w:r>
        <w:rPr>
          <w:rFonts w:ascii="Consolas" w:hAnsi="Consolas"/>
          <w:sz w:val="18"/>
        </w:rPr>
        <w:t xml:space="preserve">  --scheduled '{</w:t>
      </w:r>
    </w:p>
    <w:p>
      <w:pPr>
        <w:shd w:val="clear" w:fill="F2F4F7"/>
        <w:spacing w:before="0" w:after="0"/>
        <w:ind w:left="360"/>
      </w:pPr>
      <w:r>
        <w:rPr>
          <w:rFonts w:ascii="Consolas" w:hAnsi="Consolas"/>
          <w:sz w:val="18"/>
        </w:rPr>
        <w:t xml:space="preserve">    "displayName": "MFA fatigue: &gt;10 denied/timeout MFA prompts in 20m",</w:t>
      </w:r>
    </w:p>
    <w:p>
      <w:pPr>
        <w:shd w:val="clear" w:fill="F2F4F7"/>
        <w:spacing w:before="0" w:after="0"/>
        <w:ind w:left="360"/>
      </w:pPr>
      <w:r>
        <w:rPr>
          <w:rFonts w:ascii="Consolas" w:hAnsi="Consolas"/>
          <w:sz w:val="18"/>
        </w:rPr>
        <w:t xml:space="preserve">    "enabled": true, "severity": "Medium",</w:t>
      </w:r>
    </w:p>
    <w:p>
      <w:pPr>
        <w:shd w:val="clear" w:fill="F2F4F7"/>
        <w:spacing w:before="0" w:after="0"/>
        <w:ind w:left="360"/>
      </w:pPr>
      <w:r>
        <w:rPr>
          <w:rFonts w:ascii="Consolas" w:hAnsi="Consolas"/>
          <w:sz w:val="18"/>
        </w:rPr>
        <w:t xml:space="preserve">    "query": "SigninLogs | where ResultType in (\"500121\") | summarize prompts=count() by UserPrincipalName, bin(TimeGenerated, 20m) | where prompts &gt; 10",</w:t>
      </w:r>
    </w:p>
    <w:p>
      <w:pPr>
        <w:shd w:val="clear" w:fill="F2F4F7"/>
        <w:spacing w:before="0" w:after="0"/>
        <w:ind w:left="360"/>
      </w:pPr>
      <w:r>
        <w:rPr>
          <w:rFonts w:ascii="Consolas" w:hAnsi="Consolas"/>
          <w:sz w:val="18"/>
        </w:rPr>
        <w:t xml:space="preserve">    "queryFrequency": "PT20M", "queryPeriod": "PT20M",</w:t>
      </w:r>
    </w:p>
    <w:p>
      <w:pPr>
        <w:shd w:val="clear" w:fill="F2F4F7"/>
        <w:spacing w:before="0" w:after="0"/>
        <w:ind w:left="360"/>
      </w:pPr>
      <w:r>
        <w:rPr>
          <w:rFonts w:ascii="Consolas" w:hAnsi="Consolas"/>
          <w:sz w:val="18"/>
        </w:rPr>
        <w:t xml:space="preserve">    "triggerOperator": "GreaterThan", "triggerThreshold": 0,</w:t>
      </w:r>
    </w:p>
    <w:p>
      <w:pPr>
        <w:shd w:val="clear" w:fill="F2F4F7"/>
        <w:spacing w:before="0" w:after="0"/>
        <w:ind w:left="360"/>
      </w:pPr>
      <w:r>
        <w:rPr>
          <w:rFonts w:ascii="Consolas" w:hAnsi="Consolas"/>
          <w:sz w:val="18"/>
        </w:rPr>
        <w:t xml:space="preserve">    "suppressionEnabled": false, "suppressionDuration": "PT1H",</w:t>
      </w:r>
    </w:p>
    <w:p>
      <w:pPr>
        <w:shd w:val="clear" w:fill="F2F4F7"/>
        <w:spacing w:before="0" w:after="0"/>
        <w:ind w:left="360"/>
      </w:pPr>
      <w:r>
        <w:rPr>
          <w:rFonts w:ascii="Consolas" w:hAnsi="Consolas"/>
          <w:sz w:val="18"/>
        </w:rPr>
        <w:t xml:space="preserve">    "incidentConfiguration": {"createIncident": false}</w:t>
      </w:r>
    </w:p>
    <w:p>
      <w:pPr>
        <w:shd w:val="clear" w:fill="F2F4F7"/>
        <w:spacing w:before="0" w:after="0"/>
        <w:ind w:left="360"/>
      </w:pPr>
      <w:r>
        <w:rPr>
          <w:rFonts w:ascii="Consolas" w:hAnsi="Consolas"/>
          <w:sz w:val="18"/>
        </w:rPr>
        <w:t xml:space="preserve">  }'</w:t>
      </w:r>
    </w:p>
    <w:p>
      <w:pPr>
        <w:spacing w:before="80" w:after="80"/>
      </w:pPr>
      <w:r>
        <w:rPr>
          <w:sz w:val="22"/>
        </w:rPr>
        <w:t xml:space="preserve">Seed the signal: from a test account with MFA enabled, deny/ignore the push prompt repeatedly (or replay exported </w:t>
      </w:r>
      <w:r>
        <w:rPr>
          <w:rFonts w:ascii="Consolas" w:hAnsi="Consolas"/>
          <w:sz w:val="22"/>
        </w:rPr>
        <w:t>SigninLogs</w:t>
      </w:r>
      <w:r>
        <w:rPr>
          <w:sz w:val="22"/>
        </w:rPr>
        <w:t xml:space="preserve"> fixtures into a custom table with the Logs Ingestion API if you can't generate real prompts). Watch the rule fire in </w:t>
      </w:r>
      <w:r>
        <w:rPr>
          <w:b/>
          <w:sz w:val="22"/>
        </w:rPr>
        <w:t>Analytics → rule → results</w:t>
      </w:r>
      <w:r>
        <w:rPr>
          <w:sz w:val="22"/>
        </w:rPr>
        <w:t xml:space="preserve">, tune the threshold, and only then flip </w:t>
      </w:r>
      <w:r>
        <w:rPr>
          <w:rFonts w:ascii="Consolas" w:hAnsi="Consolas"/>
          <w:sz w:val="22"/>
        </w:rPr>
        <w:t>createIncident</w:t>
      </w:r>
      <w:r>
        <w:rPr>
          <w:sz w:val="22"/>
        </w:rPr>
        <w:t xml:space="preserve"> to </w:t>
      </w:r>
      <w:r>
        <w:rPr>
          <w:rFonts w:ascii="Consolas" w:hAnsi="Consolas"/>
          <w:sz w:val="22"/>
        </w:rPr>
        <w:t>true</w:t>
      </w:r>
      <w:r>
        <w:rPr>
          <w:sz w:val="22"/>
        </w:rPr>
        <w:t xml:space="preserve"> — that flip is the Book 13 promotion gate.</w:t>
      </w:r>
    </w:p>
    <w:p>
      <w:pPr>
        <w:pStyle w:val="Heading3"/>
      </w:pPr>
      <w:r>
        <w:rPr>
          <w:color w:val="0D1B2E"/>
        </w:rPr>
        <w:t>Step 3 — KEV cross-reference exercise (Book 11)</w:t>
      </w:r>
    </w:p>
    <w:p>
      <w:pPr>
        <w:spacing w:before="80" w:after="80"/>
      </w:pPr>
      <w:r>
        <w:rPr>
          <w:sz w:val="22"/>
        </w:rPr>
        <w:t>Runs anywhere with Python; produces the prioritization artifact:</w:t>
      </w:r>
    </w:p>
    <w:p>
      <w:pPr>
        <w:shd w:val="clear" w:fill="F2F4F7"/>
        <w:spacing w:before="0" w:after="0"/>
        <w:ind w:left="360"/>
      </w:pPr>
      <w:r>
        <w:rPr>
          <w:rFonts w:ascii="Consolas" w:hAnsi="Consolas"/>
          <w:sz w:val="18"/>
        </w:rPr>
        <w:t># kev_check.py — is a finding KEV-listed? (NVD/CVSS and KEV are unlinked)</w:t>
      </w:r>
    </w:p>
    <w:p>
      <w:pPr>
        <w:shd w:val="clear" w:fill="F2F4F7"/>
        <w:spacing w:before="0" w:after="0"/>
        <w:ind w:left="360"/>
      </w:pPr>
      <w:r>
        <w:rPr>
          <w:rFonts w:ascii="Consolas" w:hAnsi="Consolas"/>
          <w:sz w:val="18"/>
        </w:rPr>
        <w:t>import json, urllib.request, datetime</w:t>
      </w:r>
    </w:p>
    <w:p>
      <w:pPr>
        <w:shd w:val="clear" w:fill="F2F4F7"/>
        <w:spacing w:before="0" w:after="0"/>
        <w:ind w:left="360"/>
      </w:pPr>
      <w:r>
        <w:rPr>
          <w:rFonts w:ascii="Consolas" w:hAnsi="Consolas"/>
          <w:sz w:val="18"/>
        </w:rPr>
        <w:t>kev = json.load(urllib.request.urlopen(</w:t>
      </w:r>
    </w:p>
    <w:p>
      <w:pPr>
        <w:shd w:val="clear" w:fill="F2F4F7"/>
        <w:spacing w:before="0" w:after="0"/>
        <w:ind w:left="360"/>
      </w:pPr>
      <w:r>
        <w:rPr>
          <w:rFonts w:ascii="Consolas" w:hAnsi="Consolas"/>
          <w:sz w:val="18"/>
        </w:rPr>
        <w:t xml:space="preserve">    "https://www.cisa.gov/sites/default/files/feeds/known_exploited_vulnerabilities.json"))</w:t>
      </w:r>
    </w:p>
    <w:p>
      <w:pPr>
        <w:shd w:val="clear" w:fill="F2F4F7"/>
        <w:spacing w:before="0" w:after="0"/>
        <w:ind w:left="360"/>
      </w:pPr>
      <w:r>
        <w:rPr>
          <w:rFonts w:ascii="Consolas" w:hAnsi="Consolas"/>
          <w:sz w:val="18"/>
        </w:rPr>
        <w:t>kev_ids = {v["cveID"]: v for v in kev["vulnerabilities"]}</w:t>
      </w:r>
    </w:p>
    <w:p>
      <w:pPr>
        <w:shd w:val="clear" w:fill="F2F4F7"/>
        <w:spacing w:before="0" w:after="0"/>
        <w:ind w:left="360"/>
      </w:pPr>
      <w:r>
        <w:rPr>
          <w:rFonts w:ascii="Consolas" w:hAnsi="Consolas"/>
          <w:sz w:val="18"/>
        </w:rPr>
        <w:t xml:space="preserve"> </w:t>
      </w:r>
    </w:p>
    <w:p>
      <w:pPr>
        <w:shd w:val="clear" w:fill="F2F4F7"/>
        <w:spacing w:before="0" w:after="0"/>
        <w:ind w:left="360"/>
      </w:pPr>
      <w:r>
        <w:rPr>
          <w:rFonts w:ascii="Consolas" w:hAnsi="Consolas"/>
          <w:sz w:val="18"/>
        </w:rPr>
        <w:t>findings = [  # pretend scanner output: (cve, cvss, internet_facing)</w:t>
      </w:r>
    </w:p>
    <w:p>
      <w:pPr>
        <w:shd w:val="clear" w:fill="F2F4F7"/>
        <w:spacing w:before="0" w:after="0"/>
        <w:ind w:left="360"/>
      </w:pPr>
      <w:r>
        <w:rPr>
          <w:rFonts w:ascii="Consolas" w:hAnsi="Consolas"/>
          <w:sz w:val="18"/>
        </w:rPr>
        <w:t xml:space="preserve">    ("CVE-2023-23397", 9.8, True), ("CVE-2024-99999", 9.0, True), ("CVE-2021-44228", 10.0, False),</w:t>
      </w:r>
    </w:p>
    <w:p>
      <w:pPr>
        <w:shd w:val="clear" w:fill="F2F4F7"/>
        <w:spacing w:before="0" w:after="0"/>
        <w:ind w:left="360"/>
      </w:pPr>
      <w:r>
        <w:rPr>
          <w:rFonts w:ascii="Consolas" w:hAnsi="Consolas"/>
          <w:sz w:val="18"/>
        </w:rPr>
        <w:t>]</w:t>
      </w:r>
    </w:p>
    <w:p>
      <w:pPr>
        <w:shd w:val="clear" w:fill="F2F4F7"/>
        <w:spacing w:before="0" w:after="0"/>
        <w:ind w:left="360"/>
      </w:pPr>
      <w:r>
        <w:rPr>
          <w:rFonts w:ascii="Consolas" w:hAnsi="Consolas"/>
          <w:sz w:val="18"/>
        </w:rPr>
        <w:t>for cve, cvss, exposed in findings:</w:t>
      </w:r>
    </w:p>
    <w:p>
      <w:pPr>
        <w:shd w:val="clear" w:fill="F2F4F7"/>
        <w:spacing w:before="0" w:after="0"/>
        <w:ind w:left="360"/>
      </w:pPr>
      <w:r>
        <w:rPr>
          <w:rFonts w:ascii="Consolas" w:hAnsi="Consolas"/>
          <w:sz w:val="18"/>
        </w:rPr>
        <w:t xml:space="preserve">    if cve in kev_ids:</w:t>
      </w:r>
    </w:p>
    <w:p>
      <w:pPr>
        <w:shd w:val="clear" w:fill="F2F4F7"/>
        <w:spacing w:before="0" w:after="0"/>
        <w:ind w:left="360"/>
      </w:pPr>
      <w:r>
        <w:rPr>
          <w:rFonts w:ascii="Consolas" w:hAnsi="Consolas"/>
          <w:sz w:val="18"/>
        </w:rPr>
        <w:t xml:space="preserve">        sla_days = 14 if exposed else 28   # BOD 22-01</w:t>
      </w:r>
    </w:p>
    <w:p>
      <w:pPr>
        <w:shd w:val="clear" w:fill="F2F4F7"/>
        <w:spacing w:before="0" w:after="0"/>
        <w:ind w:left="360"/>
      </w:pPr>
      <w:r>
        <w:rPr>
          <w:rFonts w:ascii="Consolas" w:hAnsi="Consolas"/>
          <w:sz w:val="18"/>
        </w:rPr>
        <w:t xml:space="preserve">        due = datetime.date.today() + datetime.timedelta(days=sla_days)</w:t>
      </w:r>
    </w:p>
    <w:p>
      <w:pPr>
        <w:shd w:val="clear" w:fill="F2F4F7"/>
        <w:spacing w:before="0" w:after="0"/>
        <w:ind w:left="360"/>
      </w:pPr>
      <w:r>
        <w:rPr>
          <w:rFonts w:ascii="Consolas" w:hAnsi="Consolas"/>
          <w:sz w:val="18"/>
        </w:rPr>
        <w:t xml:space="preserve">        print(f"P0 {cve} cvss={cvss} KEV ✅ due {due}")</w:t>
      </w:r>
    </w:p>
    <w:p>
      <w:pPr>
        <w:shd w:val="clear" w:fill="F2F4F7"/>
        <w:spacing w:before="0" w:after="0"/>
        <w:ind w:left="360"/>
      </w:pPr>
      <w:r>
        <w:rPr>
          <w:rFonts w:ascii="Consolas" w:hAnsi="Consolas"/>
          <w:sz w:val="18"/>
        </w:rPr>
        <w:t xml:space="preserve">    else:</w:t>
      </w:r>
    </w:p>
    <w:p>
      <w:pPr>
        <w:shd w:val="clear" w:fill="F2F4F7"/>
        <w:spacing w:before="0" w:after="0"/>
        <w:ind w:left="360"/>
      </w:pPr>
      <w:r>
        <w:rPr>
          <w:rFonts w:ascii="Consolas" w:hAnsi="Consolas"/>
          <w:sz w:val="18"/>
        </w:rPr>
        <w:t xml:space="preserve">        print(f"P2+ {cve} cvss={cvss} (not KEV — CVSS alone does not set the SLA)")</w:t>
      </w:r>
    </w:p>
    <w:p>
      <w:pPr>
        <w:spacing w:before="80" w:after="80"/>
      </w:pPr>
      <w:r>
        <w:rPr>
          <w:sz w:val="22"/>
        </w:rPr>
        <w:t xml:space="preserve">Note the outcome Book 11 predicts: a CVSS 9.0 non-KEV ranks </w:t>
      </w:r>
      <w:r>
        <w:rPr>
          <w:b/>
          <w:sz w:val="22"/>
        </w:rPr>
        <w:t>below</w:t>
      </w:r>
      <w:r>
        <w:rPr>
          <w:sz w:val="22"/>
        </w:rPr>
        <w:t xml:space="preserve"> a lower-scored KEV entry.</w:t>
      </w:r>
    </w:p>
    <w:p>
      <w:pPr>
        <w:pStyle w:val="Heading3"/>
      </w:pPr>
      <w:r>
        <w:rPr>
          <w:color w:val="0D1B2E"/>
        </w:rPr>
        <w:t>Step 4 — retention tiers (portal exercise)</w:t>
      </w:r>
    </w:p>
    <w:p>
      <w:pPr>
        <w:spacing w:before="80" w:after="80"/>
      </w:pPr>
      <w:r>
        <w:rPr>
          <w:sz w:val="22"/>
        </w:rPr>
        <w:t xml:space="preserve">Set one table (e.g., </w:t>
      </w:r>
      <w:r>
        <w:rPr>
          <w:rFonts w:ascii="Consolas" w:hAnsi="Consolas"/>
          <w:sz w:val="22"/>
        </w:rPr>
        <w:t>SigninLogs</w:t>
      </w:r>
      <w:r>
        <w:rPr>
          <w:sz w:val="22"/>
        </w:rPr>
        <w:t>) to 90-day interactive + total retention 730 days (Tables → retention), and create a storage account container with an immutability policy for the WORM export — Book 13's three-tier AU-11 architecture in miniature.</w:t>
      </w:r>
    </w:p>
    <w:p>
      <w:pPr>
        <w:pStyle w:val="Heading3"/>
      </w:pPr>
      <w:r>
        <w:rPr>
          <w:color w:val="0D1B2E"/>
        </w:rPr>
        <w:t>Bind the evidence</w:t>
      </w:r>
    </w:p>
    <w:p>
      <w:pPr>
        <w:spacing w:before="80" w:after="80"/>
      </w:pPr>
      <w:r>
        <w:rPr>
          <w:sz w:val="22"/>
        </w:rPr>
        <w:t>Export the fired-rule results and the incident (once promoted) — that chain (alert → incident → closure note) is the AU-6 evidence Book 13 says assessors actually probe. Score against the slot 4 and slot 6 rubrics.</w:t>
      </w:r>
    </w:p>
    <w:p>
      <w:pPr>
        <w:pStyle w:val="Heading3"/>
      </w:pPr>
      <w:r>
        <w:rPr>
          <w:color w:val="0D1B2E"/>
        </w:rPr>
        <w:t>Teardown</w:t>
      </w:r>
    </w:p>
    <w:p>
      <w:pPr>
        <w:shd w:val="clear" w:fill="F2F4F7"/>
        <w:spacing w:before="0" w:after="0"/>
        <w:ind w:left="360"/>
      </w:pPr>
      <w:r>
        <w:rPr>
          <w:rFonts w:ascii="Consolas" w:hAnsi="Consolas"/>
          <w:sz w:val="18"/>
        </w:rPr>
        <w:t>az group delete -n rg-aan-lab --yes --no-wait</w:t>
      </w:r>
    </w:p>
    <w:p>
      <w:r>
        <w:br w:type="page"/>
      </w:r>
    </w:p>
    <w:p>
      <w:pPr>
        <w:pStyle w:val="Heading1"/>
      </w:pPr>
      <w:r>
        <w:rPr>
          <w:color w:val="0D1B2E"/>
        </w:rPr>
        <w:t>Lab environment — Purview data protection (Module B6)</w:t>
      </w:r>
    </w:p>
    <w:p>
      <w:r>
        <w:rPr>
          <w:i/>
          <w:color w:val="5A5A5A"/>
          <w:sz w:val="24"/>
        </w:rPr>
        <w:t>Label taxonomy, simulation-first auto-labeling and DLP, and a CMK in Key Vault Premium</w:t>
      </w:r>
    </w:p>
    <w:p>
      <w:r>
        <w:rPr>
          <w:color w:val="1E8C8C"/>
          <w:sz w:val="18"/>
        </w:rPr>
        <w:t>Federal AAN Training Program — companion material for the federal AAN book series; not part of UIAO.</w:t>
      </w:r>
    </w:p>
    <w:p>
      <w:pPr>
        <w:ind w:left="432"/>
        <w:shd w:val="clear" w:fill="F7F9FC"/>
      </w:pPr>
      <w:r>
        <w:rPr>
          <w:i/>
          <w:sz w:val="20"/>
        </w:rPr>
        <w:t xml:space="preserve">Part of the AAN Training Program — companion material for the federal AAN book series, not part of UIAO. Read the lab hub safety rules first. </w:t>
      </w:r>
      <w:r>
        <w:rPr>
          <w:b/>
          <w:i/>
          <w:sz w:val="20"/>
        </w:rPr>
        <w:t>Tier T: trial M365 E5 tenant + trial Azure subscription. Never production — DLP enforcement and label publishing are tenant-wide behaviors.</w:t>
      </w:r>
    </w:p>
    <w:p>
      <w:pPr>
        <w:spacing w:before="80" w:after="80"/>
      </w:pPr>
      <w:r>
        <w:rPr>
          <w:b/>
          <w:sz w:val="22"/>
        </w:rPr>
        <w:t>Supports:</w:t>
      </w:r>
      <w:r>
        <w:rPr>
          <w:sz w:val="22"/>
        </w:rPr>
        <w:t xml:space="preserve"> Book 12 labs · Module B6 · slot 4 — telemetry (KSI-MLA)</w:t>
      </w:r>
    </w:p>
    <w:p>
      <w:pPr>
        <w:pStyle w:val="Heading3"/>
      </w:pPr>
      <w:r>
        <w:rPr>
          <w:color w:val="0D1B2E"/>
        </w:rPr>
        <w:t>Prerequisites</w:t>
      </w:r>
    </w:p>
    <w:p>
      <w:pPr>
        <w:shd w:val="clear" w:fill="F2F4F7"/>
        <w:spacing w:before="0" w:after="0"/>
        <w:ind w:left="360"/>
      </w:pPr>
      <w:r>
        <w:rPr>
          <w:rFonts w:ascii="Consolas" w:hAnsi="Consolas"/>
          <w:sz w:val="18"/>
        </w:rPr>
        <w:t>Install-Module ExchangeOnlineManagement -Scope CurrentUser</w:t>
      </w:r>
    </w:p>
    <w:p>
      <w:pPr>
        <w:shd w:val="clear" w:fill="F2F4F7"/>
        <w:spacing w:before="0" w:after="0"/>
        <w:ind w:left="360"/>
      </w:pPr>
      <w:r>
        <w:rPr>
          <w:rFonts w:ascii="Consolas" w:hAnsi="Consolas"/>
          <w:sz w:val="18"/>
        </w:rPr>
        <w:t>Connect-IPPSSession   # Security &amp; Compliance PowerShell</w:t>
      </w:r>
    </w:p>
    <w:p>
      <w:pPr>
        <w:pStyle w:val="Heading3"/>
      </w:pPr>
      <w:r>
        <w:rPr>
          <w:color w:val="0D1B2E"/>
        </w:rPr>
        <w:t>Step 1 — the four-tier label taxonomy (Book 12's CUI mapping)</w:t>
      </w:r>
    </w:p>
    <w:p>
      <w:pPr>
        <w:shd w:val="clear" w:fill="F2F4F7"/>
        <w:spacing w:before="0" w:after="0"/>
        <w:ind w:left="360"/>
      </w:pPr>
      <w:r>
        <w:rPr>
          <w:rFonts w:ascii="Consolas" w:hAnsi="Consolas"/>
          <w:sz w:val="18"/>
        </w:rPr>
        <w:t>New-Label -Name "Public"        -DisplayName "Public"        -Tooltip "Approved for release"</w:t>
      </w:r>
    </w:p>
    <w:p>
      <w:pPr>
        <w:shd w:val="clear" w:fill="F2F4F7"/>
        <w:spacing w:before="0" w:after="0"/>
        <w:ind w:left="360"/>
      </w:pPr>
      <w:r>
        <w:rPr>
          <w:rFonts w:ascii="Consolas" w:hAnsi="Consolas"/>
          <w:sz w:val="18"/>
        </w:rPr>
        <w:t>New-Label -Name "Internal"      -DisplayName "Internal"      -Tooltip "Business data, not for release"</w:t>
      </w:r>
    </w:p>
    <w:p>
      <w:pPr>
        <w:shd w:val="clear" w:fill="F2F4F7"/>
        <w:spacing w:before="0" w:after="0"/>
        <w:ind w:left="360"/>
      </w:pPr>
      <w:r>
        <w:rPr>
          <w:rFonts w:ascii="Consolas" w:hAnsi="Consolas"/>
          <w:sz w:val="18"/>
        </w:rPr>
        <w:t>New-Label -Name "CUI-Basic"     -DisplayName "CUI Basic"     -Tooltip "NARA CUI Registry - basic" `</w:t>
      </w:r>
    </w:p>
    <w:p>
      <w:pPr>
        <w:shd w:val="clear" w:fill="F2F4F7"/>
        <w:spacing w:before="0" w:after="0"/>
        <w:ind w:left="360"/>
      </w:pPr>
      <w:r>
        <w:rPr>
          <w:rFonts w:ascii="Consolas" w:hAnsi="Consolas"/>
          <w:sz w:val="18"/>
        </w:rPr>
        <w:t xml:space="preserve">          -EncryptionEnabled $true -EncryptionProtectionType Template</w:t>
      </w:r>
    </w:p>
    <w:p>
      <w:pPr>
        <w:shd w:val="clear" w:fill="F2F4F7"/>
        <w:spacing w:before="0" w:after="0"/>
        <w:ind w:left="360"/>
      </w:pPr>
      <w:r>
        <w:rPr>
          <w:rFonts w:ascii="Consolas" w:hAnsi="Consolas"/>
          <w:sz w:val="18"/>
        </w:rPr>
        <w:t>New-Label -Name "CUI-Specified" -DisplayName "CUI Specified" -Tooltip "NARA CUI Registry - specified" `</w:t>
      </w:r>
    </w:p>
    <w:p>
      <w:pPr>
        <w:shd w:val="clear" w:fill="F2F4F7"/>
        <w:spacing w:before="0" w:after="0"/>
        <w:ind w:left="360"/>
      </w:pPr>
      <w:r>
        <w:rPr>
          <w:rFonts w:ascii="Consolas" w:hAnsi="Consolas"/>
          <w:sz w:val="18"/>
        </w:rPr>
        <w:t xml:space="preserve">          -EncryptionEnabled $true -EncryptionProtectionType Template</w:t>
      </w:r>
    </w:p>
    <w:p>
      <w:pPr>
        <w:shd w:val="clear" w:fill="F2F4F7"/>
        <w:spacing w:before="0" w:after="0"/>
        <w:ind w:left="360"/>
      </w:pPr>
      <w:r>
        <w:rPr>
          <w:rFonts w:ascii="Consolas" w:hAnsi="Consolas"/>
          <w:sz w:val="18"/>
        </w:rPr>
        <w:t xml:space="preserve"> </w:t>
      </w:r>
    </w:p>
    <w:p>
      <w:pPr>
        <w:shd w:val="clear" w:fill="F2F4F7"/>
        <w:spacing w:before="0" w:after="0"/>
        <w:ind w:left="360"/>
      </w:pPr>
      <w:r>
        <w:rPr>
          <w:rFonts w:ascii="Consolas" w:hAnsi="Consolas"/>
          <w:sz w:val="18"/>
        </w:rPr>
        <w:t># Publish EVERYWHERE from day one — Book 12's first pitfall is single-location publishing</w:t>
      </w:r>
    </w:p>
    <w:p>
      <w:pPr>
        <w:shd w:val="clear" w:fill="F2F4F7"/>
        <w:spacing w:before="0" w:after="0"/>
        <w:ind w:left="360"/>
      </w:pPr>
      <w:r>
        <w:rPr>
          <w:rFonts w:ascii="Consolas" w:hAnsi="Consolas"/>
          <w:sz w:val="18"/>
        </w:rPr>
        <w:t>New-LabelPolicy -Name "AAN-Lab-Labels" -Labels "Public","Internal","CUI-Basic","CUI-Specified" `</w:t>
      </w:r>
    </w:p>
    <w:p>
      <w:pPr>
        <w:shd w:val="clear" w:fill="F2F4F7"/>
        <w:spacing w:before="0" w:after="0"/>
        <w:ind w:left="360"/>
      </w:pPr>
      <w:r>
        <w:rPr>
          <w:rFonts w:ascii="Consolas" w:hAnsi="Consolas"/>
          <w:sz w:val="18"/>
        </w:rPr>
        <w:t xml:space="preserve">                -ExchangeLocation All -SharePointLocation All -OneDriveLocation All</w:t>
      </w:r>
    </w:p>
    <w:p>
      <w:pPr>
        <w:pStyle w:val="Heading3"/>
      </w:pPr>
      <w:r>
        <w:rPr>
          <w:color w:val="0D1B2E"/>
        </w:rPr>
        <w:t>Step 2 — custom SIT + DLP in simulation mode</w:t>
      </w:r>
    </w:p>
    <w:p>
      <w:pPr>
        <w:spacing w:before="80" w:after="80"/>
      </w:pPr>
      <w:r>
        <w:rPr>
          <w:sz w:val="22"/>
        </w:rPr>
        <w:t xml:space="preserve">A corroborated custom SIT (pattern + keyword) and a DLP policy that starts in </w:t>
      </w:r>
      <w:r>
        <w:rPr>
          <w:b/>
          <w:sz w:val="22"/>
        </w:rPr>
        <w:t>simulation</w:t>
      </w:r>
      <w:r>
        <w:rPr>
          <w:sz w:val="22"/>
        </w:rPr>
        <w:t>, per Book 12's discipline:</w:t>
      </w:r>
    </w:p>
    <w:p>
      <w:pPr>
        <w:shd w:val="clear" w:fill="F2F4F7"/>
        <w:spacing w:before="0" w:after="0"/>
        <w:ind w:left="360"/>
      </w:pPr>
      <w:r>
        <w:rPr>
          <w:rFonts w:ascii="Consolas" w:hAnsi="Consolas"/>
          <w:sz w:val="18"/>
        </w:rPr>
        <w:t># Custom SIT: employee ID "EMP" + 9 digits, corroborated by a keyword</w:t>
      </w:r>
    </w:p>
    <w:p>
      <w:pPr>
        <w:shd w:val="clear" w:fill="F2F4F7"/>
        <w:spacing w:before="0" w:after="0"/>
        <w:ind w:left="360"/>
      </w:pPr>
      <w:r>
        <w:rPr>
          <w:rFonts w:ascii="Consolas" w:hAnsi="Consolas"/>
          <w:sz w:val="18"/>
        </w:rPr>
        <w:t>$rulePack = New-DlpSensitiveInformationTypeRulePackage -FileData ([byte[]](Get-Content .\emp-sit.xml -Encoding Byte))</w:t>
      </w:r>
    </w:p>
    <w:p>
      <w:pPr>
        <w:shd w:val="clear" w:fill="F2F4F7"/>
        <w:spacing w:before="0" w:after="0"/>
        <w:ind w:left="360"/>
      </w:pPr>
      <w:r>
        <w:rPr>
          <w:rFonts w:ascii="Consolas" w:hAnsi="Consolas"/>
          <w:sz w:val="18"/>
        </w:rPr>
        <w:t xml:space="preserve"> </w:t>
      </w:r>
    </w:p>
    <w:p>
      <w:pPr>
        <w:shd w:val="clear" w:fill="F2F4F7"/>
        <w:spacing w:before="0" w:after="0"/>
        <w:ind w:left="360"/>
      </w:pPr>
      <w:r>
        <w:rPr>
          <w:rFonts w:ascii="Consolas" w:hAnsi="Consolas"/>
          <w:sz w:val="18"/>
        </w:rPr>
        <w:t>New-DlpCompliancePolicy -Name "AAN-Lab-CUI-DLP" -Mode TestWithNotifications `</w:t>
      </w:r>
    </w:p>
    <w:p>
      <w:pPr>
        <w:shd w:val="clear" w:fill="F2F4F7"/>
        <w:spacing w:before="0" w:after="0"/>
        <w:ind w:left="360"/>
      </w:pPr>
      <w:r>
        <w:rPr>
          <w:rFonts w:ascii="Consolas" w:hAnsi="Consolas"/>
          <w:sz w:val="18"/>
        </w:rPr>
        <w:t xml:space="preserve">    -ExchangeLocation All -SharePointLocation All -OneDriveLocation All</w:t>
      </w:r>
    </w:p>
    <w:p>
      <w:pPr>
        <w:shd w:val="clear" w:fill="F2F4F7"/>
        <w:spacing w:before="0" w:after="0"/>
        <w:ind w:left="360"/>
      </w:pPr>
      <w:r>
        <w:rPr>
          <w:rFonts w:ascii="Consolas" w:hAnsi="Consolas"/>
          <w:sz w:val="18"/>
        </w:rPr>
        <w:t>New-DlpComplianceRule -Name "Block external CUI share" -Policy "AAN-Lab-CUI-DLP" `</w:t>
      </w:r>
    </w:p>
    <w:p>
      <w:pPr>
        <w:shd w:val="clear" w:fill="F2F4F7"/>
        <w:spacing w:before="0" w:after="0"/>
        <w:ind w:left="360"/>
      </w:pPr>
      <w:r>
        <w:rPr>
          <w:rFonts w:ascii="Consolas" w:hAnsi="Consolas"/>
          <w:sz w:val="18"/>
        </w:rPr>
        <w:t xml:space="preserve">    -ContentContainsSensitiveInformation @{Name="U.S. Social Security Number (SSN)"; minCount="1"} `</w:t>
      </w:r>
    </w:p>
    <w:p>
      <w:pPr>
        <w:shd w:val="clear" w:fill="F2F4F7"/>
        <w:spacing w:before="0" w:after="0"/>
        <w:ind w:left="360"/>
      </w:pPr>
      <w:r>
        <w:rPr>
          <w:rFonts w:ascii="Consolas" w:hAnsi="Consolas"/>
          <w:sz w:val="18"/>
        </w:rPr>
        <w:t xml:space="preserve">    -BlockAccess $true -BlockAccessScope PerUser -NotifyUser Owner</w:t>
      </w:r>
    </w:p>
    <w:p>
      <w:pPr>
        <w:spacing w:before="80" w:after="80"/>
      </w:pPr>
      <w:r>
        <w:rPr>
          <w:sz w:val="22"/>
        </w:rPr>
        <w:t>Seed SharePoint with test documents containing fake SSNs (</w:t>
      </w:r>
      <w:r>
        <w:rPr>
          <w:rFonts w:ascii="Consolas" w:hAnsi="Consolas"/>
          <w:sz w:val="22"/>
        </w:rPr>
        <w:t>078-05-1120</w:t>
      </w:r>
      <w:r>
        <w:rPr>
          <w:sz w:val="22"/>
        </w:rPr>
        <w:t xml:space="preserve"> style test values), wait for the simulation report, and review false positives </w:t>
      </w:r>
      <w:r>
        <w:rPr>
          <w:b/>
          <w:sz w:val="22"/>
        </w:rPr>
        <w:t>before</w:t>
      </w:r>
      <w:r>
        <w:rPr>
          <w:sz w:val="22"/>
        </w:rPr>
        <w:t xml:space="preserve"> switching </w:t>
      </w:r>
      <w:r>
        <w:rPr>
          <w:rFonts w:ascii="Consolas" w:hAnsi="Consolas"/>
          <w:sz w:val="22"/>
        </w:rPr>
        <w:t>-Mode</w:t>
      </w:r>
      <w:r>
        <w:rPr>
          <w:sz w:val="22"/>
        </w:rPr>
        <w:t xml:space="preserve"> to </w:t>
      </w:r>
      <w:r>
        <w:rPr>
          <w:rFonts w:ascii="Consolas" w:hAnsi="Consolas"/>
          <w:sz w:val="22"/>
        </w:rPr>
        <w:t>Enforce</w:t>
      </w:r>
      <w:r>
        <w:rPr>
          <w:sz w:val="22"/>
        </w:rPr>
        <w:t xml:space="preserve"> — mislabeling at scale is the pitfall Book 12 calls out.</w:t>
      </w:r>
    </w:p>
    <w:p>
      <w:pPr>
        <w:pStyle w:val="Heading3"/>
      </w:pPr>
      <w:r>
        <w:rPr>
          <w:color w:val="0D1B2E"/>
        </w:rPr>
        <w:t>Step 3 — Key Vault Premium + rotating CMK</w:t>
      </w:r>
    </w:p>
    <w:p>
      <w:pPr>
        <w:shd w:val="clear" w:fill="F2F4F7"/>
        <w:spacing w:before="0" w:after="0"/>
        <w:ind w:left="360"/>
      </w:pPr>
      <w:r>
        <w:rPr>
          <w:rFonts w:ascii="Consolas" w:hAnsi="Consolas"/>
          <w:sz w:val="18"/>
        </w:rPr>
        <w:t>az group create -n rg-aan-purview-lab -l eastus</w:t>
      </w:r>
    </w:p>
    <w:p>
      <w:pPr>
        <w:shd w:val="clear" w:fill="F2F4F7"/>
        <w:spacing w:before="0" w:after="0"/>
        <w:ind w:left="360"/>
      </w:pPr>
      <w:r>
        <w:rPr>
          <w:rFonts w:ascii="Consolas" w:hAnsi="Consolas"/>
          <w:sz w:val="18"/>
        </w:rPr>
        <w:t>az keyvault create -n kv-aan-lab-$RANDOM -g rg-aan-purview-lab --sku premium \</w:t>
      </w:r>
    </w:p>
    <w:p>
      <w:pPr>
        <w:shd w:val="clear" w:fill="F2F4F7"/>
        <w:spacing w:before="0" w:after="0"/>
        <w:ind w:left="360"/>
      </w:pPr>
      <w:r>
        <w:rPr>
          <w:rFonts w:ascii="Consolas" w:hAnsi="Consolas"/>
          <w:sz w:val="18"/>
        </w:rPr>
        <w:t xml:space="preserve">    --enable-purge-protection true --enable-rbac-authorization true</w:t>
      </w:r>
    </w:p>
    <w:p>
      <w:pPr>
        <w:shd w:val="clear" w:fill="F2F4F7"/>
        <w:spacing w:before="0" w:after="0"/>
        <w:ind w:left="360"/>
      </w:pPr>
      <w:r>
        <w:rPr>
          <w:rFonts w:ascii="Consolas" w:hAnsi="Consolas"/>
          <w:sz w:val="18"/>
        </w:rPr>
        <w:t>az keyvault key create --vault-name &lt;vault&gt; -n cmk-sql-tde --kty RSA-HSM --size 2048</w:t>
      </w:r>
    </w:p>
    <w:p>
      <w:pPr>
        <w:shd w:val="clear" w:fill="F2F4F7"/>
        <w:spacing w:before="0" w:after="0"/>
        <w:ind w:left="360"/>
      </w:pPr>
      <w:r>
        <w:rPr>
          <w:rFonts w:ascii="Consolas" w:hAnsi="Consolas"/>
          <w:sz w:val="18"/>
        </w:rPr>
        <w:t>az keyvault key rotation-policy update --vault-name &lt;vault&gt; -n cmk-sql-tde --value '{</w:t>
      </w:r>
    </w:p>
    <w:p>
      <w:pPr>
        <w:shd w:val="clear" w:fill="F2F4F7"/>
        <w:spacing w:before="0" w:after="0"/>
        <w:ind w:left="360"/>
      </w:pPr>
      <w:r>
        <w:rPr>
          <w:rFonts w:ascii="Consolas" w:hAnsi="Consolas"/>
          <w:sz w:val="18"/>
        </w:rPr>
        <w:t xml:space="preserve">  "lifetimeActions": [{"trigger": {"timeBeforeExpiry": "P30D"}, "action": {"type": "Rotate"}}],</w:t>
      </w:r>
    </w:p>
    <w:p>
      <w:pPr>
        <w:shd w:val="clear" w:fill="F2F4F7"/>
        <w:spacing w:before="0" w:after="0"/>
        <w:ind w:left="360"/>
      </w:pPr>
      <w:r>
        <w:rPr>
          <w:rFonts w:ascii="Consolas" w:hAnsi="Consolas"/>
          <w:sz w:val="18"/>
        </w:rPr>
        <w:t xml:space="preserve">  "attributes": {"expiryTime": "P12M"}</w:t>
      </w:r>
    </w:p>
    <w:p>
      <w:pPr>
        <w:shd w:val="clear" w:fill="F2F4F7"/>
        <w:spacing w:before="0" w:after="0"/>
        <w:ind w:left="360"/>
      </w:pPr>
      <w:r>
        <w:rPr>
          <w:rFonts w:ascii="Consolas" w:hAnsi="Consolas"/>
          <w:sz w:val="18"/>
        </w:rPr>
        <w:t>}'</w:t>
      </w:r>
    </w:p>
    <w:p>
      <w:pPr>
        <w:spacing w:before="80" w:after="80"/>
      </w:pPr>
      <w:r>
        <w:rPr>
          <w:sz w:val="22"/>
        </w:rPr>
        <w:t>Optional extension: point an Azure SQL test server's TDE protector at the key (</w:t>
      </w:r>
      <w:r>
        <w:rPr>
          <w:rFonts w:ascii="Consolas" w:hAnsi="Consolas"/>
          <w:sz w:val="22"/>
        </w:rPr>
        <w:t>az sql server tde-key set --server-key-type AzureKeyVault</w:t>
      </w:r>
      <w:r>
        <w:rPr>
          <w:sz w:val="22"/>
        </w:rPr>
        <w:t>) and confirm key operations land in the vault's diagnostic logs — Book 12's AU-12-vs-AU-10 distinction made concrete.</w:t>
      </w:r>
    </w:p>
    <w:p>
      <w:pPr>
        <w:pStyle w:val="Heading3"/>
      </w:pPr>
      <w:r>
        <w:rPr>
          <w:color w:val="0D1B2E"/>
        </w:rPr>
        <w:t>Bind the evidence</w:t>
      </w:r>
    </w:p>
    <w:p>
      <w:pPr>
        <w:spacing w:before="80" w:after="80"/>
      </w:pPr>
      <w:r>
        <w:rPr>
          <w:sz w:val="22"/>
        </w:rPr>
        <w:t>Three artifacts: the label policy export (</w:t>
      </w:r>
      <w:r>
        <w:rPr>
          <w:rFonts w:ascii="Consolas" w:hAnsi="Consolas"/>
          <w:sz w:val="22"/>
        </w:rPr>
        <w:t>Get-LabelPolicy | ConvertTo-Json</w:t>
      </w:r>
      <w:r>
        <w:rPr>
          <w:sz w:val="22"/>
        </w:rPr>
        <w:t>), the DLP simulation report, and the vault's key-rotation policy JSON. Together they evidence the MP/SC-12/28 closures Book 12 claims; score against the slot 4 rubric.</w:t>
      </w:r>
    </w:p>
    <w:p>
      <w:pPr>
        <w:pStyle w:val="Heading3"/>
      </w:pPr>
      <w:r>
        <w:rPr>
          <w:color w:val="0D1B2E"/>
        </w:rPr>
        <w:t>Teardown</w:t>
      </w:r>
    </w:p>
    <w:p>
      <w:pPr>
        <w:shd w:val="clear" w:fill="F2F4F7"/>
        <w:spacing w:before="0" w:after="0"/>
        <w:ind w:left="360"/>
      </w:pPr>
      <w:r>
        <w:rPr>
          <w:rFonts w:ascii="Consolas" w:hAnsi="Consolas"/>
          <w:sz w:val="18"/>
        </w:rPr>
        <w:t>Remove-DlpCompliancePolicy -Identity "AAN-Lab-CUI-DLP"</w:t>
      </w:r>
    </w:p>
    <w:p>
      <w:pPr>
        <w:shd w:val="clear" w:fill="F2F4F7"/>
        <w:spacing w:before="0" w:after="0"/>
        <w:ind w:left="360"/>
      </w:pPr>
      <w:r>
        <w:rPr>
          <w:rFonts w:ascii="Consolas" w:hAnsi="Consolas"/>
          <w:sz w:val="18"/>
        </w:rPr>
        <w:t>Remove-LabelPolicy -Identity "AAN-Lab-Labels"</w:t>
      </w:r>
    </w:p>
    <w:p>
      <w:pPr>
        <w:shd w:val="clear" w:fill="F2F4F7"/>
        <w:spacing w:before="0" w:after="0"/>
        <w:ind w:left="360"/>
      </w:pPr>
      <w:r>
        <w:rPr>
          <w:rFonts w:ascii="Consolas" w:hAnsi="Consolas"/>
          <w:sz w:val="18"/>
        </w:rPr>
        <w:t>"Public","Internal","CUI-Basic","CUI-Specified" | ForEach-Object { Remove-Label -Identity $_ }</w:t>
      </w:r>
    </w:p>
    <w:p>
      <w:pPr>
        <w:shd w:val="clear" w:fill="F2F4F7"/>
        <w:spacing w:before="0" w:after="0"/>
        <w:ind w:left="360"/>
      </w:pPr>
      <w:r>
        <w:rPr>
          <w:rFonts w:ascii="Consolas" w:hAnsi="Consolas"/>
          <w:sz w:val="18"/>
        </w:rPr>
        <w:t>az group delete -n rg-aan-purview-lab --yes --no-wait   # purge-protected vault ages out on its own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