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3A5C"/>
        </w:rPr>
        <w:t>The UIAO Seven-Layer Model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This model defines the architectural stack for the modernization efforts at . Each layer represents a functional domain, and the three UIAO pillars (Identity, Addressing, Overlay) are highlighted to show where vendor-specific integration occurs.</w:t>
      </w:r>
    </w:p>
    <w:p>
      <w:pPr>
        <w:spacing w:before="120" w:after="120" w:line="276" w:lineRule="auto"/>
      </w:pPr>
      <w:r>
        <w:rPr>
          <w:rFonts w:ascii="Calibri" w:hAnsi="Calibri"/>
          <w:b w:val="0"/>
          <w:i/>
          <w:sz w:val="22"/>
        </w:rPr>
        <w:t>End of Seven-Layer Model v1.0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4"/>
      </w:rPr>
      <w:t>CUI | UIAO Program | Generated 2026-04-10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800000"/>
        <w:sz w:val="16"/>
      </w:rPr>
      <w:t>CUI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