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4.png" ContentType="image/png"/>
  <Override PartName="/word/media/rId9.png" ContentType="image/png"/>
  <Override PartName="/word/media/rId27.png" ContentType="image/png"/>
  <Override PartName="/word/media/rId36.png" ContentType="image/png"/>
  <Override PartName="/word/media/rId48.png" ContentType="image/png"/>
  <Override PartName="/word/media/rId61.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5716ceb934c46d0ddf6c7e950446c3049c94a27"/>
    <w:p>
      <w:pPr>
        <w:pStyle w:val="Heading2"/>
      </w:pPr>
      <w:r>
        <w:t xml:space="preserve">2.2 What Multipath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5"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4"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4"/>
    <w:bookmarkEnd w:id="45"/>
    <w:bookmarkStart w:id="58" w:name="X5640bec4ca7d998923d0137acff7faca70a4b04"/>
    <w:p>
      <w:pPr>
        <w:pStyle w:val="Heading1"/>
      </w:pPr>
      <w:r>
        <w:t xml:space="preserve">4. Certificate Lifecycle Automation — The End of the Spreadsheet CA</w:t>
      </w:r>
    </w:p>
    <w:bookmarkStart w:id="46"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6"/>
    <w:bookmarkStart w:id="47"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7"/>
    <w:bookmarkStart w:id="52"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1" w:name="fig-ct03"/>
          <w:p>
            <w:pPr>
              <w:pStyle w:val="Compact"/>
              <w:jc w:val="center"/>
            </w:pPr>
            <w:r>
              <w:drawing>
                <wp:inline>
                  <wp:extent cx="5334000" cy="3000375"/>
                  <wp:effectExtent b="0" l="0" r="0" t="0"/>
                  <wp:docPr descr="" title="" id="49" name="Picture"/>
                  <a:graphic>
                    <a:graphicData uri="http://schemas.openxmlformats.org/drawingml/2006/picture">
                      <pic:pic>
                        <pic:nvPicPr>
                          <pic:cNvPr descr="figs/ct-fig-03-acme-lifecycle.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51"/>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2"/>
    <w:bookmarkStart w:id="53"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3"/>
    <w:bookmarkStart w:id="57"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7"/>
    <w:bookmarkEnd w:id="58"/>
    <w:bookmarkStart w:id="67" w:name="Xc9df5656c1d4a669725636b29f1a4c4eceb5ea4"/>
    <w:p>
      <w:pPr>
        <w:pStyle w:val="Heading1"/>
      </w:pPr>
      <w:r>
        <w:t xml:space="preserve">5. Token-Based Identity — OAuth 2.0, OIDC, and Phishing-Resistant MFA</w:t>
      </w:r>
    </w:p>
    <w:bookmarkStart w:id="59"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9"/>
    <w:bookmarkStart w:id="60"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0"/>
    <w:bookmarkStart w:id="65"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64" w:name="fig-ct04"/>
          <w:p>
            <w:pPr>
              <w:pStyle w:val="Compact"/>
              <w:jc w:val="center"/>
            </w:pPr>
            <w:r>
              <w:drawing>
                <wp:inline>
                  <wp:extent cx="5334000" cy="3000375"/>
                  <wp:effectExtent b="0" l="0" r="0" t="0"/>
                  <wp:docPr descr="" title="" id="62" name="Picture"/>
                  <a:graphic>
                    <a:graphicData uri="http://schemas.openxmlformats.org/drawingml/2006/picture">
                      <pic:pic>
                        <pic:nvPicPr>
                          <pic:cNvPr descr="figs/ct-fig-04-token-issuance-gate.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64"/>
        </w:tc>
      </w:tr>
    </w:tbl>
    <w:bookmarkEnd w:id="65"/>
    <w:bookmarkStart w:id="66"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6"/>
    <w:bookmarkEnd w:id="67"/>
    <w:bookmarkStart w:id="70"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0"/>
    <w:bookmarkStart w:id="78" w:name="machine-and-workload-identity"/>
    <w:p>
      <w:pPr>
        <w:pStyle w:val="Heading1"/>
      </w:pPr>
      <w:r>
        <w:t xml:space="preserve">7. Machine and Workload Identity</w:t>
      </w:r>
    </w:p>
    <w:bookmarkStart w:id="75"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fig-ct05"/>
          <w:p>
            <w:pPr>
              <w:pStyle w:val="Compact"/>
              <w:jc w:val="center"/>
            </w:pPr>
            <w:r>
              <w:drawing>
                <wp:inline>
                  <wp:extent cx="5334000" cy="3000375"/>
                  <wp:effectExtent b="0" l="0" r="0" t="0"/>
                  <wp:docPr descr="" title="" id="72" name="Picture"/>
                  <a:graphic>
                    <a:graphicData uri="http://schemas.openxmlformats.org/drawingml/2006/picture">
                      <pic:pic>
                        <pic:nvPicPr>
                          <pic:cNvPr descr="figs/ct-fig-05-workload-identity.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74"/>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5"/>
    <w:bookmarkStart w:id="76"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6"/>
    <w:bookmarkStart w:id="77"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7"/>
    <w:bookmarkEnd w:id="78"/>
    <w:bookmarkStart w:id="83"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9"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9"/>
    <w:bookmarkStart w:id="80"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80"/>
    <w:bookmarkStart w:id="81"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81"/>
    <w:bookmarkStart w:id="82"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82"/>
    <w:bookmarkEnd w:id="83"/>
    <w:bookmarkStart w:id="88"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note.png" id="8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6">
              <w:r>
                <w:rPr>
                  <w:rStyle w:val="Hyperlink"/>
                </w:rPr>
                <w:t xml:space="preserve">Book 00</w:t>
              </w:r>
            </w:hyperlink>
            <w:r>
              <w:t xml:space="preserve">;</w:t>
            </w:r>
            <w:r>
              <w:t xml:space="preserve"> </w:t>
            </w:r>
            <w:hyperlink r:id="rId87">
              <w:r>
                <w:rPr>
                  <w:rStyle w:val="Hyperlink"/>
                </w:rPr>
                <w:t xml:space="preserve">Book 19</w:t>
              </w:r>
            </w:hyperlink>
            <w:r>
              <w:t xml:space="preserve"> </w:t>
            </w:r>
            <w:r>
              <w:t xml:space="preserve">carries the evidence procedures behind it.</w:t>
            </w:r>
          </w:p>
          <w:p/>
        </w:tc>
      </w:tr>
    </w:tbl>
    <w:bookmarkEnd w:id="88"/>
    <w:bookmarkStart w:id="91"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89">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7">
        <w:r>
          <w:rPr>
            <w:rStyle w:val="Hyperlink"/>
          </w:rPr>
          <w:t xml:space="preserve">Book 19</w:t>
        </w:r>
      </w:hyperlink>
      <w:r>
        <w:t xml:space="preserve"> </w:t>
      </w:r>
      <w:r>
        <w:t xml:space="preserve">assembles it into the authorization package.</w:t>
      </w:r>
    </w:p>
    <w:bookmarkStart w:id="90"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4" Target="media/rId54.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2026-07-06T13:55:34Z</dcterms:created>
  <dcterms:modified xsi:type="dcterms:W3CDTF">2026-07-06T13:55:34Z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