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45.png" ContentType="image/png"/>
  <Override PartName="/word/media/rId39.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OPM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4" w:name="opm-hrit-as-the-system-of-record"/>
    <w:p>
      <w:pPr>
        <w:pStyle w:val="Heading1"/>
      </w:pPr>
      <w:r>
        <w:t xml:space="preserve">3. OPM HRIT as the System of Record</w:t>
      </w:r>
    </w:p>
    <w:bookmarkStart w:id="35" w:name="Xa1873eb4a1167556c476690d08b815773990656"/>
    <w:p>
      <w:pPr>
        <w:pStyle w:val="Heading2"/>
      </w:pPr>
      <w:r>
        <w:t xml:space="preserve">3.1 What a Human Capital System Actually Owns</w:t>
      </w:r>
    </w:p>
    <w:p>
      <w:pPr>
        <w:pStyle w:val="FirstParagraph"/>
      </w:pPr>
      <w:r>
        <w:t xml:space="preserve">The human capital platform — OPM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35"/>
    <w:bookmarkStart w:id="36" w:name="X3d3e9d1c8db61c7bae23b3aaba7f9f959ab63a4"/>
    <w:p>
      <w:pPr>
        <w:pStyle w:val="Heading2"/>
      </w:pPr>
      <w:r>
        <w:t xml:space="preserve">3.2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36"/>
    <w:bookmarkStart w:id="37" w:name="effective-dating-truth-with-a-timeline"/>
    <w:p>
      <w:pPr>
        <w:pStyle w:val="Heading2"/>
      </w:pPr>
      <w:r>
        <w:t xml:space="preserve">3.3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37"/>
    <w:bookmarkStart w:id="43" w:name="authoritative-versus-derived-attributes"/>
    <w:p>
      <w:pPr>
        <w:pStyle w:val="Heading2"/>
      </w:pPr>
      <w:r>
        <w:t xml:space="preserve">3.4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38">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42" w:name="fig-hrit03"/>
          <w:p>
            <w:pPr>
              <w:pStyle w:val="Compact"/>
              <w:jc w:val="center"/>
            </w:pPr>
            <w:r>
              <w:drawing>
                <wp:inline>
                  <wp:extent cx="5334000" cy="3000375"/>
                  <wp:effectExtent b="0" l="0" r="0" t="0"/>
                  <wp:docPr descr="" title="" id="40" name="Picture"/>
                  <a:graphic>
                    <a:graphicData uri="http://schemas.openxmlformats.org/drawingml/2006/picture">
                      <pic:pic>
                        <pic:nvPicPr>
                          <pic:cNvPr descr="figs/hrit-fig-03-attribute-authority-map.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attribute authority map — each identity attribute and the plane that owns it</w:t>
            </w:r>
          </w:p>
          <w:bookmarkEnd w:id="42"/>
        </w:tc>
      </w:tr>
    </w:tbl>
    <w:bookmarkEnd w:id="43"/>
    <w:bookmarkEnd w:id="44"/>
    <w:bookmarkStart w:id="55" w:name="the-identity-ssot"/>
    <w:p>
      <w:pPr>
        <w:pStyle w:val="Heading1"/>
      </w:pPr>
      <w:r>
        <w:t xml:space="preserve">4. The Identity SSOT</w:t>
      </w:r>
    </w:p>
    <w:bookmarkStart w:id="49" w:name="the-lifecycle-is-an-event-stream"/>
    <w:p>
      <w:pPr>
        <w:pStyle w:val="Heading2"/>
      </w:pPr>
      <w:r>
        <w:t xml:space="preserve">4.1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hrit02"/>
          <w:p>
            <w:pPr>
              <w:pStyle w:val="Compact"/>
              <w:jc w:val="center"/>
            </w:pPr>
            <w:r>
              <w:drawing>
                <wp:inline>
                  <wp:extent cx="5334000" cy="3000375"/>
                  <wp:effectExtent b="0" l="0" r="0" t="0"/>
                  <wp:docPr descr="" title="" id="46" name="Picture"/>
                  <a:graphic>
                    <a:graphicData uri="http://schemas.openxmlformats.org/drawingml/2006/picture">
                      <pic:pic>
                        <pic:nvPicPr>
                          <pic:cNvPr descr="figs/hrit-fig-02-jml-event-flow.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joiner-mover-leaver event flow from HR record to identity action</w:t>
            </w:r>
          </w:p>
          <w:bookmarkEnd w:id="48"/>
        </w:tc>
      </w:tr>
    </w:tbl>
    <w:bookmarkEnd w:id="49"/>
    <w:bookmarkStart w:id="50" w:name="X448f77dc5d62c73b880d5374cd77a9bd610a269"/>
    <w:p>
      <w:pPr>
        <w:pStyle w:val="Heading2"/>
      </w:pPr>
      <w:r>
        <w:t xml:space="preserve">4.2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bookmarkEnd w:id="50"/>
    <w:bookmarkStart w:id="51" w:name="one-person-one-identifier"/>
    <w:p>
      <w:pPr>
        <w:pStyle w:val="Heading2"/>
      </w:pPr>
      <w:r>
        <w:t xml:space="preserve">4.3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51"/>
    <w:bookmarkStart w:id="52" w:name="the-worker-type-boundary"/>
    <w:p>
      <w:pPr>
        <w:pStyle w:val="Heading2"/>
      </w:pPr>
      <w:r>
        <w:t xml:space="preserve">4.4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52"/>
    <w:bookmarkStart w:id="53" w:name="X6425fd18b5c4f116f10f22295a2c67df893cf44"/>
    <w:p>
      <w:pPr>
        <w:pStyle w:val="Heading2"/>
      </w:pPr>
      <w:r>
        <w:t xml:space="preserve">4.5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6"/>
        </w:numPr>
      </w:pPr>
      <w:r>
        <w:rPr>
          <w:b/>
          <w:bCs/>
        </w:rPr>
        <w:t xml:space="preserve">Disable the account</w:t>
      </w:r>
      <w:r>
        <w:t xml:space="preserve"> </w:t>
      </w:r>
      <w:r>
        <w:t xml:space="preserve">— the sign-in gate closes first.</w:t>
      </w:r>
    </w:p>
    <w:p>
      <w:pPr>
        <w:pStyle w:val="Compact"/>
        <w:numPr>
          <w:ilvl w:val="0"/>
          <w:numId w:val="1006"/>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6"/>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6"/>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6"/>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6"/>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53"/>
    <w:bookmarkStart w:id="54" w:name="the-measured-lifecycle"/>
    <w:p>
      <w:pPr>
        <w:pStyle w:val="Heading2"/>
      </w:pPr>
      <w:r>
        <w:t xml:space="preserve">4.6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54"/>
    <w:bookmarkEnd w:id="55"/>
    <w:bookmarkStart w:id="63" w:name="the-organizational-ssot"/>
    <w:p>
      <w:pPr>
        <w:pStyle w:val="Heading1"/>
      </w:pPr>
      <w:r>
        <w:t xml:space="preserve">5. The Organizational SSOT</w:t>
      </w:r>
    </w:p>
    <w:bookmarkStart w:id="56" w:name="structure-as-queryable-truth"/>
    <w:p>
      <w:pPr>
        <w:pStyle w:val="Heading2"/>
      </w:pPr>
      <w:r>
        <w:t xml:space="preserve">5.1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07"/>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07"/>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07"/>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56"/>
    <w:bookmarkStart w:id="57" w:name="X1c44efed6f59a195bc8d7df37c3cec34f95e174"/>
    <w:p>
      <w:pPr>
        <w:pStyle w:val="Heading2"/>
      </w:pPr>
      <w:r>
        <w:t xml:space="preserve">5.2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08"/>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08"/>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08"/>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57"/>
    <w:bookmarkStart w:id="62" w:name="attestation-lands-on-the-same-rail"/>
    <w:p>
      <w:pPr>
        <w:pStyle w:val="Heading2"/>
      </w:pPr>
      <w:r>
        <w:t xml:space="preserve">5.3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09"/>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09"/>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09"/>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61" w:name="fig-hrit04"/>
          <w:p>
            <w:pPr>
              <w:pStyle w:val="Compact"/>
              <w:jc w:val="center"/>
            </w:pPr>
            <w:r>
              <w:drawing>
                <wp:inline>
                  <wp:extent cx="5334000" cy="3000375"/>
                  <wp:effectExtent b="0" l="0" r="0" t="0"/>
                  <wp:docPr descr="" title="" id="59" name="Picture"/>
                  <a:graphic>
                    <a:graphicData uri="http://schemas.openxmlformats.org/drawingml/2006/picture">
                      <pic:pic>
                        <pic:nvPicPr>
                          <pic:cNvPr descr="figs/hrit-fig-04-org-ssot-derivation.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organizational SSOT derivation chain from HR record to entitlement</w:t>
            </w:r>
          </w:p>
          <w:bookmarkEnd w:id="61"/>
        </w:tc>
      </w:tr>
    </w:tbl>
    <w:bookmarkEnd w:id="62"/>
    <w:bookmarkEnd w:id="63"/>
    <w:bookmarkStart w:id="69" w:name="X65448c4ef8c56761744cefe28de67a9bb67265e"/>
    <w:p>
      <w:pPr>
        <w:pStyle w:val="Heading1"/>
      </w:pPr>
      <w:r>
        <w:t xml:space="preserve">6.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68" w:name="what-this-sets-up"/>
    <w:p>
      <w:pPr>
        <w:pStyle w:val="Heading2"/>
      </w:pPr>
      <w:r>
        <w:t xml:space="preserve">6.1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64">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65">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68"/>
    <w:bookmarkEnd w:id="69"/>
    <w:bookmarkStart w:id="75" w:name="phased-implementation"/>
    <w:p>
      <w:pPr>
        <w:pStyle w:val="Heading1"/>
      </w:pPr>
      <w:r>
        <w:t xml:space="preserve">7.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bookmarkStart w:id="70" w:name="X26f02255fa42d4b39ecb8211c828a6e302e49b3"/>
    <w:p>
      <w:pPr>
        <w:pStyle w:val="Heading2"/>
      </w:pPr>
      <w:r>
        <w:t xml:space="preserve">7.1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70"/>
    <w:bookmarkStart w:id="71" w:name="X3efec994e51c0649d4baf2b0039fc8ce2ae55ca"/>
    <w:p>
      <w:pPr>
        <w:pStyle w:val="Heading2"/>
      </w:pPr>
      <w:r>
        <w:t xml:space="preserve">7.2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71"/>
    <w:bookmarkStart w:id="72" w:name="phase-3-lifecycle-automation-weeks-1526"/>
    <w:p>
      <w:pPr>
        <w:pStyle w:val="Heading2"/>
      </w:pPr>
      <w:r>
        <w:t xml:space="preserve">7.3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72"/>
    <w:bookmarkStart w:id="73" w:name="X48c517921ac74c40755f2dc42874752b45ab423"/>
    <w:p>
      <w:pPr>
        <w:pStyle w:val="Heading2"/>
      </w:pPr>
      <w:r>
        <w:t xml:space="preserve">7.4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73"/>
    <w:bookmarkStart w:id="74" w:name="the-program-at-a-glance"/>
    <w:p>
      <w:pPr>
        <w:pStyle w:val="Heading2"/>
      </w:pPr>
      <w:r>
        <w:t xml:space="preserve">7.5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74"/>
    <w:bookmarkEnd w:id="75"/>
    <w:bookmarkStart w:id="78" w:name="nist-sp-800-53-rev-5-control-closure"/>
    <w:p>
      <w:pPr>
        <w:pStyle w:val="Heading1"/>
      </w:pPr>
      <w:r>
        <w:t xml:space="preserve">8.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OPM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65">
              <w:r>
                <w:rPr>
                  <w:rStyle w:val="Hyperlink"/>
                </w:rPr>
                <w:t xml:space="preserve">Book 19</w:t>
              </w:r>
            </w:hyperlink>
            <w:r>
              <w:t xml:space="preserve"> </w:t>
            </w:r>
            <w:r>
              <w:t xml:space="preserve">carries the evidence procedures behind it.</w:t>
            </w:r>
          </w:p>
          <w:p/>
        </w:tc>
      </w:tr>
    </w:tbl>
    <w:bookmarkEnd w:id="78"/>
    <w:bookmarkStart w:id="80" w:name="series-context-part-4-of-19"/>
    <w:p>
      <w:pPr>
        <w:pStyle w:val="Heading1"/>
      </w:pPr>
      <w:r>
        <w:t xml:space="preserve">9. Series Context — Part 4 of 19</w:t>
      </w:r>
    </w:p>
    <w:p>
      <w:pPr>
        <w:pStyle w:val="FirstParagraph"/>
      </w:pPr>
      <w:r>
        <w:t xml:space="preserve">This part completes the substrate on which the fifteen parts that follow are built:</w:t>
      </w:r>
    </w:p>
    <w:p>
      <w:pPr>
        <w:pStyle w:val="Compact"/>
        <w:numPr>
          <w:ilvl w:val="0"/>
          <w:numId w:val="1010"/>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0"/>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0"/>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0"/>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64">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65">
        <w:r>
          <w:rPr>
            <w:rStyle w:val="Hyperlink"/>
          </w:rPr>
          <w:t xml:space="preserve">Book 19</w:t>
        </w:r>
      </w:hyperlink>
      <w:r>
        <w:t xml:space="preserve"> </w:t>
      </w:r>
      <w:r>
        <w:t xml:space="preserve">packages the lifecycle evidence this book emits.</w:t>
      </w:r>
    </w:p>
    <w:bookmarkStart w:id="79" w:name="Xad7833ad9d3f8a98c7b789d14bc1caec63be7d1"/>
    <w:p>
      <w:pPr>
        <w:pStyle w:val="Heading2"/>
      </w:pPr>
      <w:r>
        <w:t xml:space="preserve">9.1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64" Target="Book_07_FedAAN_SQL_Server_Authentication_Modernization.qmd" TargetMode="External" /><Relationship Type="http://schemas.openxmlformats.org/officeDocument/2006/relationships/hyperlink" Id="rId65"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64" Target="Book_07_FedAAN_SQL_Server_Authentication_Modernization.qmd" TargetMode="External" /><Relationship Type="http://schemas.openxmlformats.org/officeDocument/2006/relationships/hyperlink" Id="rId65"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2026-07-06T13:55:37Z</dcterms:created>
  <dcterms:modified xsi:type="dcterms:W3CDTF">2026-07-06T13:55:37Z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