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5, 2026 — Internal UIAO Working Document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 layer</w:t>
      </w:r>
      <w:r>
        <w:t xml:space="preserve"> </w:t>
      </w:r>
      <w:r>
        <w:t xml:space="preserve">for</w:t>
      </w:r>
      <w:r>
        <w:t xml:space="preserve"> </w:t>
      </w:r>
      <w:r>
        <w:t xml:space="preserve">FedRAMP 20x continuous monitoring.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FedRAMP 20x CR26 KSI rules</w:t>
      </w:r>
      <w:r>
        <w:t xml:space="preserve"> </w:t>
      </w:r>
      <w:r>
        <w:t xml:space="preserve">— zero scaffold rules remain. Part 18 (Book_18) delivered the AT family training</w:t>
      </w:r>
      <w:r>
        <w:t xml:space="preserve"> </w:t>
      </w:r>
      <w:r>
        <w:t xml:space="preserve">evidence and closed KSI-022 (KSI-CED-RAT). Part 19 (Book_19) assembled the</w:t>
      </w:r>
      <w:r>
        <w:t xml:space="preserve"> </w:t>
      </w:r>
      <w:r>
        <w:t xml:space="preserve">authorization package — OSCAL bundle (29/29 satisfied, 0 open risks, 0 POA&amp;M</w:t>
      </w:r>
      <w:r>
        <w:t xml:space="preserve"> </w:t>
      </w:r>
      <w:r>
        <w:t xml:space="preserve">items), BOD 26-04 VDR/VER submission procedure, and CA-7 ConMon program. All 29</w:t>
      </w:r>
      <w:r>
        <w:t xml:space="preserve"> </w:t>
      </w:r>
      <w:r>
        <w:t xml:space="preserve">KSIs are satisfied at high confidence.</w:t>
      </w:r>
      <w:r>
        <w:t xml:space="preserve"> </w:t>
      </w:r>
      <w:r>
        <w:rPr>
          <w:b/>
          <w:bCs/>
        </w:rPr>
        <w:t xml:space="preserve">The series is complete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authorization package is ready for FedRAMP PMO submission.</w:t>
      </w:r>
    </w:p>
    <w:p>
      <w:r>
        <w:pict>
          <v:rect style="width:0;height:1.5pt" o:hralign="center" o:hrstd="t" o:hr="t"/>
        </w:pict>
      </w:r>
    </w:p>
    <w:bookmarkEnd w:id="9"/>
    <w:bookmarkStart w:id="10" w:name="hard-deadlines"/>
    <w:p>
      <w:pPr>
        <w:pStyle w:val="Heading2"/>
      </w:pPr>
      <w:r>
        <w:t xml:space="preserve">Hard Deadlines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GCC Moderate systems can begin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t xml:space="preserve">BOD 26-04 VDR/VER deadline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t xml:space="preserve">FedRAMP 20x mandatory</w:t>
            </w:r>
          </w:p>
        </w:tc>
        <w:tc>
          <w:tcPr/>
          <w:p>
            <w:pPr>
              <w:pStyle w:val="Compact"/>
            </w:pPr>
            <w:r>
              <w:t xml:space="preserve">All new authorizations must use 20x; legacy Rev 5 path closes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 after this 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1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1"/>
    <w:bookmarkStart w:id="12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2"/>
    <w:bookmarkStart w:id="13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15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15"/>
    <w:bookmarkStart w:id="16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sequenced-implementation-plan"/>
    <w:p>
      <w:pPr>
        <w:pStyle w:val="Heading2"/>
      </w:pPr>
      <w:r>
        <w:t xml:space="preserve">Sequenced Implementation Plan</w:t>
      </w:r>
    </w:p>
    <w:bookmarkStart w:id="18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1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2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3"/>
        </w:numPr>
      </w:pPr>
      <w:r>
        <w:t xml:space="preserve">Conformance Adapter surface slots 1–4 bound to AAN evidence</w:t>
      </w:r>
    </w:p>
    <w:bookmarkEnd w:id="18"/>
    <w:bookmarkStart w:id="19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4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5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6"/>
        </w:numPr>
      </w:pPr>
      <w:r>
        <w:t xml:space="preserve">KSI-011–014 mapping confidence upgraded low → high (VER contract via Part 15 + slot-06)</w:t>
      </w:r>
    </w:p>
    <w:bookmarkEnd w:id="19"/>
    <w:bookmarkStart w:id="20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7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08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09"/>
        </w:numPr>
      </w:pPr>
      <w:r>
        <w:t xml:space="preserve">CR26 rules for SR/PM families (KSI-015 KSI-SCR-MIT + KSI-016 KSI-SCR-MON → active)</w:t>
      </w:r>
    </w:p>
    <w:bookmarkEnd w:id="20"/>
    <w:bookmarkStart w:id="21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0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1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2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1"/>
    <w:bookmarkStart w:id="22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3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4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5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7"/>
        </w:numPr>
      </w:pPr>
      <w:r>
        <w:t xml:space="preserve">All 10 KSI themes now have local-rule coverage (zero-gap themes: none)</w:t>
      </w:r>
    </w:p>
    <w:bookmarkEnd w:id="22"/>
    <w:bookmarkStart w:id="23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18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19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0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1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3"/>
        </w:numPr>
      </w:pPr>
      <w:r>
        <w:t xml:space="preserve">Book_00 Executive Summary updated to fifteen-book series</w:t>
      </w:r>
    </w:p>
    <w:bookmarkEnd w:id="23"/>
    <w:bookmarkStart w:id="24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4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5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6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28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29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0"/>
        </w:numPr>
      </w:pPr>
      <w:r>
        <w:t xml:space="preserve">Book_00 Executive Summary updated to sixteen-book series; Phase 6 roadmap added</w:t>
      </w:r>
    </w:p>
    <w:bookmarkEnd w:id="24"/>
    <w:bookmarkStart w:id="25" w:name="Xd47729c270b0dba4d0f5d41c78a329feea5265f"/>
    <w:p>
      <w:pPr>
        <w:pStyle w:val="Heading3"/>
      </w:pPr>
      <w:r>
        <w:t xml:space="preserve">Phase 7 — Authorization Package Submission (FedRAMP PMO)</w:t>
      </w:r>
    </w:p>
    <w:p>
      <w:pPr>
        <w:pStyle w:val="Compact"/>
        <w:numPr>
          <w:ilvl w:val="0"/>
          <w:numId w:val="1031"/>
        </w:numPr>
      </w:pPr>
      <w:r>
        <w:t xml:space="preserve">Authorization package submitted to FedRAMP PMO (Class B+C window — Aug 31, 2026+)</w:t>
      </w:r>
    </w:p>
    <w:p>
      <w:pPr>
        <w:pStyle w:val="Compact"/>
        <w:numPr>
          <w:ilvl w:val="0"/>
          <w:numId w:val="1032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3"/>
        </w:numPr>
      </w:pPr>
      <w:r>
        <w:t xml:space="preserve">FedRAMP 20x ATO issued (all 29 KSI rules satisfied in AR)</w:t>
      </w:r>
    </w:p>
    <w:bookmarkEnd w:id="25"/>
    <w:bookmarkStart w:id="26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4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5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6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7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38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2026-07-06T13:56:14Z</dcterms:created>
  <dcterms:modified xsi:type="dcterms:W3CDTF">2026-07-06T13:56:14Z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