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b8777d6b2b285de06fa4aceefac20fd7504645c"/>
    <w:p>
      <w:pPr>
        <w:pStyle w:val="Heading1"/>
      </w:pPr>
      <w:r>
        <w:t xml:space="preserve">Unified Identity-Addressing-Overlay Architecture - Control Plane Architecture</w:t>
      </w:r>
    </w:p>
    <w:p>
      <w:pPr>
        <w:pStyle w:val="FirstParagraph"/>
      </w:pPr>
      <w:r>
        <w:t xml:space="preserve">Canonical definitions for the six control planes that form the unified modernization architecture.</w:t>
      </w:r>
    </w:p>
    <w:p>
      <w:r>
        <w:pict>
          <v:rect style="width:0;height:1.5pt" o:hralign="center" o:hrstd="t" o:hr="t"/>
        </w:pict>
      </w:r>
    </w:p>
    <w:bookmarkStart w:id="24" w:name="identity-control-plane"/>
    <w:p>
      <w:pPr>
        <w:pStyle w:val="Heading2"/>
      </w:pPr>
      <w:r>
        <w:t xml:space="preserve">Identity Control Plane</w:t>
      </w:r>
    </w:p>
    <w:p>
      <w:pPr>
        <w:pStyle w:val="FirstParagraph"/>
      </w:pPr>
      <w:r>
        <w:rPr>
          <w:bCs/>
          <w:b/>
        </w:rPr>
        <w:t xml:space="preserve">Entra ID + ICAM + Zero Trust</w:t>
      </w:r>
    </w:p>
    <w:p>
      <w:pPr>
        <w:pStyle w:val="BodyText"/>
      </w:pPr>
      <w:r>
        <w:t xml:space="preserve">The authoritative identity control plane for the Unified Modernization Program</w:t>
      </w:r>
    </w:p>
    <w:bookmarkStart w:id="20" w:name="components"/>
    <w:p>
      <w:pPr>
        <w:pStyle w:val="Heading3"/>
      </w:pPr>
      <w:r>
        <w:t xml:space="preserve">Components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Microsoft Entra ID</w:t>
      </w:r>
      <w:r>
        <w:t xml:space="preserve"> </w:t>
      </w:r>
      <w:r>
        <w:t xml:space="preserve">— Primary Identity Provider</w:t>
      </w:r>
    </w:p>
    <w:p>
      <w:pPr>
        <w:numPr>
          <w:ilvl w:val="1"/>
          <w:numId w:val="1002"/>
        </w:numPr>
      </w:pPr>
      <w:r>
        <w:t xml:space="preserve">Conditional Access (CA)</w:t>
      </w:r>
    </w:p>
    <w:p>
      <w:pPr>
        <w:numPr>
          <w:ilvl w:val="1"/>
          <w:numId w:val="1002"/>
        </w:numPr>
      </w:pPr>
      <w:r>
        <w:t xml:space="preserve">MFA / SSPR</w:t>
      </w:r>
    </w:p>
    <w:p>
      <w:pPr>
        <w:numPr>
          <w:ilvl w:val="1"/>
          <w:numId w:val="1002"/>
        </w:numPr>
      </w:pPr>
      <w:r>
        <w:t xml:space="preserve">Identity Protection</w:t>
      </w:r>
    </w:p>
    <w:p>
      <w:pPr>
        <w:numPr>
          <w:ilvl w:val="1"/>
          <w:numId w:val="1002"/>
        </w:numPr>
      </w:pPr>
      <w:r>
        <w:t xml:space="preserve">Authentication Strength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ICAM Governance</w:t>
      </w:r>
      <w:r>
        <w:t xml:space="preserve"> </w:t>
      </w:r>
      <w:r>
        <w:t xml:space="preserve">— Identity governance and compliance</w:t>
      </w:r>
    </w:p>
    <w:p>
      <w:pPr>
        <w:numPr>
          <w:ilvl w:val="1"/>
          <w:numId w:val="1003"/>
        </w:numPr>
      </w:pPr>
      <w:r>
        <w:t xml:space="preserve">NIST 800-63 Alignment</w:t>
      </w:r>
    </w:p>
    <w:p>
      <w:pPr>
        <w:numPr>
          <w:ilvl w:val="1"/>
          <w:numId w:val="1003"/>
        </w:numPr>
      </w:pPr>
      <w:r>
        <w:t xml:space="preserve">OMB M-19-17 Compliance</w:t>
      </w:r>
    </w:p>
    <w:p>
      <w:pPr>
        <w:numPr>
          <w:ilvl w:val="1"/>
          <w:numId w:val="1003"/>
        </w:numPr>
      </w:pPr>
      <w:r>
        <w:t xml:space="preserve">Credentialing</w:t>
      </w:r>
    </w:p>
    <w:p>
      <w:pPr>
        <w:numPr>
          <w:ilvl w:val="1"/>
          <w:numId w:val="1003"/>
        </w:numPr>
      </w:pPr>
      <w:r>
        <w:t xml:space="preserve">Access Reviews</w:t>
      </w:r>
    </w:p>
    <w:p>
      <w:pPr>
        <w:numPr>
          <w:ilvl w:val="1"/>
          <w:numId w:val="1003"/>
        </w:numPr>
      </w:pPr>
      <w:r>
        <w:t xml:space="preserve">Privileged Identity Management (PIM)</w:t>
      </w:r>
    </w:p>
    <w:p>
      <w:pPr>
        <w:numPr>
          <w:ilvl w:val="1"/>
          <w:numId w:val="1003"/>
        </w:numPr>
      </w:pPr>
      <w:r>
        <w:t xml:space="preserve">Joiner/Mover/Leaver Automation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Zero Trust Policy Engine</w:t>
      </w:r>
      <w:r>
        <w:t xml:space="preserve"> </w:t>
      </w:r>
      <w:r>
        <w:t xml:space="preserve">— Continuous access evaluation</w:t>
      </w:r>
    </w:p>
    <w:p>
      <w:pPr>
        <w:numPr>
          <w:ilvl w:val="1"/>
          <w:numId w:val="1004"/>
        </w:numPr>
      </w:pPr>
      <w:r>
        <w:t xml:space="preserve">Identity + Device + Location + Risk</w:t>
      </w:r>
    </w:p>
    <w:p>
      <w:pPr>
        <w:numPr>
          <w:ilvl w:val="1"/>
          <w:numId w:val="1004"/>
        </w:numPr>
      </w:pPr>
      <w:r>
        <w:t xml:space="preserve">Continuous Access Evaluation (CAE)</w:t>
      </w:r>
    </w:p>
    <w:p>
      <w:pPr>
        <w:numPr>
          <w:ilvl w:val="1"/>
          <w:numId w:val="1004"/>
        </w:numPr>
      </w:pPr>
      <w:r>
        <w:t xml:space="preserve">Policy decisions exported to SD-WAN + Telemetry</w:t>
      </w:r>
    </w:p>
    <w:bookmarkEnd w:id="20"/>
    <w:bookmarkStart w:id="21" w:name="core-responsibilities"/>
    <w:p>
      <w:pPr>
        <w:pStyle w:val="Heading3"/>
      </w:pPr>
      <w:r>
        <w:t xml:space="preserve">Core Responsibilities</w:t>
      </w:r>
    </w:p>
    <w:bookmarkEnd w:id="21"/>
    <w:bookmarkStart w:id="22" w:name="integrations"/>
    <w:p>
      <w:pPr>
        <w:pStyle w:val="Heading3"/>
      </w:pPr>
      <w:r>
        <w:t xml:space="preserve">Integrations</w:t>
      </w:r>
    </w:p>
    <w:p>
      <w:pPr>
        <w:pStyle w:val="FirstParagraph"/>
      </w:pPr>
      <w:r>
        <w:t xml:space="preserve">Integrates with: network, addressing, telemetry</w:t>
      </w:r>
    </w:p>
    <w:bookmarkEnd w:id="22"/>
    <w:bookmarkStart w:id="23" w:name="notes"/>
    <w:p>
      <w:pPr>
        <w:pStyle w:val="Heading3"/>
      </w:pPr>
      <w:r>
        <w:t xml:space="preserve">Notes</w:t>
      </w:r>
    </w:p>
    <w:p>
      <w:pPr>
        <w:numPr>
          <w:ilvl w:val="0"/>
          <w:numId w:val="1005"/>
        </w:numPr>
      </w:pPr>
      <w:r>
        <w:t xml:space="preserve">Identity is the first control plane in the modernization program</w:t>
      </w:r>
    </w:p>
    <w:p>
      <w:pPr>
        <w:numPr>
          <w:ilvl w:val="0"/>
          <w:numId w:val="1005"/>
        </w:numPr>
      </w:pPr>
      <w:r>
        <w:t xml:space="preserve">All other planes consume identity signals</w:t>
      </w:r>
    </w:p>
    <w:p>
      <w:pPr>
        <w:numPr>
          <w:ilvl w:val="0"/>
          <w:numId w:val="1005"/>
        </w:numPr>
      </w:pPr>
      <w:r>
        <w:t xml:space="preserve">Aligned to Zero Trust, TIC 3.0, and INR requirements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addressing-control-plane"/>
    <w:p>
      <w:pPr>
        <w:pStyle w:val="Heading2"/>
      </w:pPr>
      <w:r>
        <w:t xml:space="preserve">Addressing Control Plane</w:t>
      </w:r>
    </w:p>
    <w:p>
      <w:pPr>
        <w:pStyle w:val="FirstParagraph"/>
      </w:pPr>
      <w:r>
        <w:rPr>
          <w:bCs/>
          <w:b/>
        </w:rPr>
        <w:t xml:space="preserve">InfoBlox IPAM</w:t>
      </w:r>
    </w:p>
    <w:p>
      <w:pPr>
        <w:pStyle w:val="BodyText"/>
      </w:pPr>
      <w:r>
        <w:t xml:space="preserve">The authoritative source of truth for identity-anchored addressing, DNS, DHCP, and cross-cloud reconciliation</w:t>
      </w:r>
    </w:p>
    <w:bookmarkStart w:id="25" w:name="components-1"/>
    <w:p>
      <w:pPr>
        <w:pStyle w:val="Heading3"/>
      </w:pPr>
      <w:r>
        <w:t xml:space="preserve">Components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InfoBlox IPAM</w:t>
      </w:r>
      <w:r>
        <w:t xml:space="preserve"> </w:t>
      </w:r>
      <w:r>
        <w:t xml:space="preserve">— Authoritative Source of Truth</w:t>
      </w:r>
    </w:p>
    <w:p>
      <w:pPr>
        <w:numPr>
          <w:ilvl w:val="1"/>
          <w:numId w:val="1007"/>
        </w:numPr>
      </w:pPr>
      <w:r>
        <w:t xml:space="preserve">IP address allocation and tracking</w:t>
      </w:r>
    </w:p>
    <w:p>
      <w:pPr>
        <w:numPr>
          <w:ilvl w:val="1"/>
          <w:numId w:val="1007"/>
        </w:numPr>
      </w:pPr>
      <w:r>
        <w:t xml:space="preserve">Subnet creation and lifecycle management</w:t>
      </w:r>
    </w:p>
    <w:p>
      <w:pPr>
        <w:numPr>
          <w:ilvl w:val="1"/>
          <w:numId w:val="1007"/>
        </w:numPr>
      </w:pPr>
      <w:r>
        <w:t xml:space="preserve">DNS zone management and record authority</w:t>
      </w:r>
    </w:p>
    <w:p>
      <w:pPr>
        <w:numPr>
          <w:ilvl w:val="1"/>
          <w:numId w:val="1007"/>
        </w:numPr>
      </w:pPr>
      <w:r>
        <w:t xml:space="preserve">DHCP scope governance and lease evidence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DNS Management</w:t>
      </w:r>
      <w:r>
        <w:t xml:space="preserve"> </w:t>
      </w:r>
      <w:r>
        <w:t xml:space="preserve">— Authoritative DNS zones</w:t>
      </w:r>
    </w:p>
    <w:p>
      <w:pPr>
        <w:numPr>
          <w:ilvl w:val="1"/>
          <w:numId w:val="1008"/>
        </w:numPr>
      </w:pPr>
      <w:r>
        <w:t xml:space="preserve">Internal zones managed by InfoBlox</w:t>
      </w:r>
    </w:p>
    <w:p>
      <w:pPr>
        <w:numPr>
          <w:ilvl w:val="1"/>
          <w:numId w:val="1008"/>
        </w:numPr>
      </w:pPr>
      <w:r>
        <w:t xml:space="preserve">Split-horizon DNS</w:t>
      </w:r>
    </w:p>
    <w:p>
      <w:pPr>
        <w:numPr>
          <w:ilvl w:val="1"/>
          <w:numId w:val="1008"/>
        </w:numPr>
      </w:pPr>
      <w:r>
        <w:t xml:space="preserve">DNS evidence tied to identity/subnet/location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DHCP Management</w:t>
      </w:r>
      <w:r>
        <w:t xml:space="preserve"> </w:t>
      </w:r>
      <w:r>
        <w:t xml:space="preserve">— Scope governance</w:t>
      </w:r>
    </w:p>
    <w:p>
      <w:pPr>
        <w:numPr>
          <w:ilvl w:val="1"/>
          <w:numId w:val="1009"/>
        </w:numPr>
      </w:pPr>
      <w:r>
        <w:t xml:space="preserve">Scopes defined and owned by IPAM</w:t>
      </w:r>
    </w:p>
    <w:p>
      <w:pPr>
        <w:numPr>
          <w:ilvl w:val="1"/>
          <w:numId w:val="1009"/>
        </w:numPr>
      </w:pPr>
      <w:r>
        <w:t xml:space="preserve">Lease durations aligned with device identity</w:t>
      </w:r>
    </w:p>
    <w:p>
      <w:pPr>
        <w:numPr>
          <w:ilvl w:val="1"/>
          <w:numId w:val="1009"/>
        </w:numPr>
      </w:pPr>
      <w:r>
        <w:t xml:space="preserve">Automatic DNS record creation from DHCP leases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Cloud IPAM Reconciliation</w:t>
      </w:r>
      <w:r>
        <w:t xml:space="preserve"> </w:t>
      </w:r>
      <w:r>
        <w:t xml:space="preserve">— Multi-cloud addressing truth</w:t>
      </w:r>
    </w:p>
    <w:bookmarkEnd w:id="25"/>
    <w:bookmarkStart w:id="26" w:name="core-responsibilities-1"/>
    <w:p>
      <w:pPr>
        <w:pStyle w:val="Heading3"/>
      </w:pPr>
      <w:r>
        <w:t xml:space="preserve">Core Responsibilities</w:t>
      </w:r>
    </w:p>
    <w:p>
      <w:pPr>
        <w:numPr>
          <w:ilvl w:val="0"/>
          <w:numId w:val="1010"/>
        </w:numPr>
      </w:pPr>
      <w:r>
        <w:t xml:space="preserve">IP lifecycle: allocation &gt; assignment &gt; reclamation</w:t>
      </w:r>
    </w:p>
    <w:p>
      <w:pPr>
        <w:numPr>
          <w:ilvl w:val="0"/>
          <w:numId w:val="1010"/>
        </w:numPr>
      </w:pPr>
      <w:r>
        <w:t xml:space="preserve">Authoritative DNS and DHCP services</w:t>
      </w:r>
    </w:p>
    <w:p>
      <w:pPr>
        <w:numPr>
          <w:ilvl w:val="0"/>
          <w:numId w:val="1010"/>
        </w:numPr>
      </w:pPr>
      <w:r>
        <w:t xml:space="preserve">Cloud-native IPAM reconciliation</w:t>
      </w:r>
    </w:p>
    <w:p>
      <w:pPr>
        <w:numPr>
          <w:ilvl w:val="0"/>
          <w:numId w:val="1010"/>
        </w:numPr>
      </w:pPr>
      <w:r>
        <w:t xml:space="preserve">Deterministic addressing for devices/workloads/apps</w:t>
      </w:r>
    </w:p>
    <w:p>
      <w:pPr>
        <w:numPr>
          <w:ilvl w:val="0"/>
          <w:numId w:val="1010"/>
        </w:numPr>
      </w:pPr>
      <w:r>
        <w:t xml:space="preserve">Subnet ownership and segmentation alignment</w:t>
      </w:r>
    </w:p>
    <w:p>
      <w:pPr>
        <w:numPr>
          <w:ilvl w:val="0"/>
          <w:numId w:val="1010"/>
        </w:numPr>
      </w:pPr>
      <w:r>
        <w:t xml:space="preserve">Emit addressing evidence to Telemetry Plane</w:t>
      </w:r>
    </w:p>
    <w:bookmarkEnd w:id="26"/>
    <w:bookmarkStart w:id="27" w:name="integrations-1"/>
    <w:p>
      <w:pPr>
        <w:pStyle w:val="Heading3"/>
      </w:pPr>
      <w:r>
        <w:t xml:space="preserve">Integrations</w:t>
      </w:r>
    </w:p>
    <w:p>
      <w:pPr>
        <w:pStyle w:val="FirstParagraph"/>
      </w:pPr>
      <w:r>
        <w:t xml:space="preserve">Integrates with: identity, network, telemetry</w:t>
      </w:r>
    </w:p>
    <w:bookmarkEnd w:id="27"/>
    <w:bookmarkStart w:id="28" w:name="notes-1"/>
    <w:p>
      <w:pPr>
        <w:pStyle w:val="Heading3"/>
      </w:pPr>
      <w:r>
        <w:t xml:space="preserve">Notes</w:t>
      </w:r>
    </w:p>
    <w:p>
      <w:pPr>
        <w:numPr>
          <w:ilvl w:val="0"/>
          <w:numId w:val="1011"/>
        </w:numPr>
      </w:pPr>
      <w:r>
        <w:t xml:space="preserve">InfoBlox is the single source of truth; cloud IPAMs are reconciled, not authoritative</w:t>
      </w:r>
    </w:p>
    <w:p>
      <w:pPr>
        <w:numPr>
          <w:ilvl w:val="0"/>
          <w:numId w:val="1011"/>
        </w:numPr>
      </w:pPr>
      <w:r>
        <w:t xml:space="preserve">DNS and DHCP are identity and location evidence systems</w:t>
      </w:r>
    </w:p>
    <w:p>
      <w:pPr>
        <w:numPr>
          <w:ilvl w:val="0"/>
          <w:numId w:val="1011"/>
        </w:numPr>
      </w:pPr>
      <w:r>
        <w:t xml:space="preserve">IP-to-location inference is foundational for Zero Trust, INR, and compliance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network-control-plane"/>
    <w:p>
      <w:pPr>
        <w:pStyle w:val="Heading2"/>
      </w:pPr>
      <w:r>
        <w:t xml:space="preserve">Network Control Plane</w:t>
      </w:r>
    </w:p>
    <w:p>
      <w:pPr>
        <w:pStyle w:val="FirstParagraph"/>
      </w:pPr>
      <w:r>
        <w:rPr>
          <w:bCs/>
          <w:b/>
        </w:rPr>
        <w:t xml:space="preserve">Cisco Catalyst SD-WAN (Viptela/vManage)</w:t>
      </w:r>
    </w:p>
    <w:p>
      <w:pPr>
        <w:pStyle w:val="BodyText"/>
      </w:pPr>
      <w:r>
        <w:t xml:space="preserve">A governed, identity-anchored, telemetry-driven routing and segmentation system</w:t>
      </w:r>
    </w:p>
    <w:bookmarkStart w:id="30" w:name="components-2"/>
    <w:p>
      <w:pPr>
        <w:pStyle w:val="Heading3"/>
      </w:pPr>
      <w:r>
        <w:t xml:space="preserve">Components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vManage</w:t>
      </w:r>
      <w:r>
        <w:t xml:space="preserve"> </w:t>
      </w:r>
      <w:r>
        <w:t xml:space="preserve">— Centralized policy engine</w:t>
      </w:r>
    </w:p>
    <w:p>
      <w:pPr>
        <w:numPr>
          <w:ilvl w:val="1"/>
          <w:numId w:val="1013"/>
        </w:numPr>
      </w:pPr>
      <w:r>
        <w:t xml:space="preserve">Pushes routing/segmentation/security policies to WAN edges</w:t>
      </w:r>
    </w:p>
    <w:p>
      <w:pPr>
        <w:numPr>
          <w:ilvl w:val="1"/>
          <w:numId w:val="1013"/>
        </w:numPr>
      </w:pPr>
      <w:r>
        <w:t xml:space="preserve">Integrates with identity and telemetry for INR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vSmart</w:t>
      </w:r>
      <w:r>
        <w:t xml:space="preserve"> </w:t>
      </w:r>
      <w:r>
        <w:t xml:space="preserve">— Control-plane orchestrator</w:t>
      </w:r>
    </w:p>
    <w:p>
      <w:pPr>
        <w:numPr>
          <w:ilvl w:val="1"/>
          <w:numId w:val="1014"/>
        </w:numPr>
      </w:pPr>
      <w:r>
        <w:t xml:space="preserve">OMP route distribution</w:t>
      </w:r>
    </w:p>
    <w:p>
      <w:pPr>
        <w:numPr>
          <w:ilvl w:val="1"/>
          <w:numId w:val="1014"/>
        </w:numPr>
      </w:pPr>
      <w:r>
        <w:t xml:space="preserve">Security and segmentation policy distribution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vBond</w:t>
      </w:r>
      <w:r>
        <w:t xml:space="preserve"> </w:t>
      </w:r>
      <w:r>
        <w:t xml:space="preserve">— Secure orchestration</w:t>
      </w:r>
    </w:p>
    <w:p>
      <w:pPr>
        <w:numPr>
          <w:ilvl w:val="1"/>
          <w:numId w:val="1015"/>
        </w:numPr>
      </w:pPr>
      <w:r>
        <w:t xml:space="preserve">Secure control-plane connections</w:t>
      </w:r>
    </w:p>
    <w:p>
      <w:pPr>
        <w:numPr>
          <w:ilvl w:val="1"/>
          <w:numId w:val="1015"/>
        </w:numPr>
      </w:pPr>
      <w:r>
        <w:t xml:space="preserve">WAN edge device authentication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WAN Edge Devices</w:t>
      </w:r>
      <w:r>
        <w:t xml:space="preserve"> </w:t>
      </w:r>
      <w:r>
        <w:t xml:space="preserve">— Enforcement points</w:t>
      </w:r>
    </w:p>
    <w:p>
      <w:pPr>
        <w:numPr>
          <w:ilvl w:val="1"/>
          <w:numId w:val="1016"/>
        </w:numPr>
      </w:pPr>
      <w:r>
        <w:t xml:space="preserve">Segmentation and routing enforcement</w:t>
      </w:r>
    </w:p>
    <w:p>
      <w:pPr>
        <w:numPr>
          <w:ilvl w:val="1"/>
          <w:numId w:val="1016"/>
        </w:numPr>
      </w:pPr>
      <w:r>
        <w:t xml:space="preserve">IPSEC/GRE overlay maintenance</w:t>
      </w:r>
    </w:p>
    <w:p>
      <w:pPr>
        <w:numPr>
          <w:ilvl w:val="1"/>
          <w:numId w:val="1016"/>
        </w:numPr>
      </w:pPr>
      <w:r>
        <w:t xml:space="preserve">Telemetry emission</w:t>
      </w:r>
    </w:p>
    <w:bookmarkEnd w:id="30"/>
    <w:bookmarkStart w:id="31" w:name="core-responsibilities-2"/>
    <w:p>
      <w:pPr>
        <w:pStyle w:val="Heading3"/>
      </w:pPr>
      <w:r>
        <w:t xml:space="preserve">Core Responsibilities</w:t>
      </w:r>
    </w:p>
    <w:bookmarkEnd w:id="31"/>
    <w:bookmarkStart w:id="32" w:name="integrations-2"/>
    <w:p>
      <w:pPr>
        <w:pStyle w:val="Heading3"/>
      </w:pPr>
      <w:r>
        <w:t xml:space="preserve">Integrations</w:t>
      </w:r>
    </w:p>
    <w:p>
      <w:pPr>
        <w:pStyle w:val="FirstParagraph"/>
      </w:pPr>
      <w:r>
        <w:t xml:space="preserve">Integrates with: identity, addressing, telemetry</w:t>
      </w:r>
    </w:p>
    <w:bookmarkEnd w:id="32"/>
    <w:bookmarkStart w:id="33" w:name="notes-2"/>
    <w:p>
      <w:pPr>
        <w:pStyle w:val="Heading3"/>
      </w:pPr>
      <w:r>
        <w:t xml:space="preserve">Notes</w:t>
      </w:r>
    </w:p>
    <w:p>
      <w:pPr>
        <w:numPr>
          <w:ilvl w:val="0"/>
          <w:numId w:val="1017"/>
        </w:numPr>
      </w:pPr>
      <w:r>
        <w:t xml:space="preserve">SD-WAN is the orchestration substrate, not the source of truth</w:t>
      </w:r>
    </w:p>
    <w:p>
      <w:pPr>
        <w:numPr>
          <w:ilvl w:val="0"/>
          <w:numId w:val="1017"/>
        </w:numPr>
      </w:pPr>
      <w:r>
        <w:t xml:space="preserve">INR is the convergence point where identity, telemetry, and routing unify</w:t>
      </w:r>
    </w:p>
    <w:p>
      <w:pPr>
        <w:numPr>
          <w:ilvl w:val="0"/>
          <w:numId w:val="1017"/>
        </w:numPr>
      </w:pPr>
      <w:r>
        <w:t xml:space="preserve">TIC 3.0 compliance through identity-anchored routing and telemetry-driven governance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telemetry-control-plane"/>
    <w:p>
      <w:pPr>
        <w:pStyle w:val="Heading2"/>
      </w:pPr>
      <w:r>
        <w:t xml:space="preserve">Telemetry Control Plane</w:t>
      </w:r>
    </w:p>
    <w:p>
      <w:pPr>
        <w:pStyle w:val="FirstParagraph"/>
      </w:pPr>
      <w:r>
        <w:rPr>
          <w:bCs/>
          <w:b/>
        </w:rPr>
        <w:t xml:space="preserve">Detection, diagnosis, governance, and automation</w:t>
      </w:r>
    </w:p>
    <w:p>
      <w:pPr>
        <w:pStyle w:val="BodyText"/>
      </w:pPr>
      <w:r>
        <w:t xml:space="preserve">The substrate of truth for detection, diagnosis, governance, and automation</w:t>
      </w:r>
    </w:p>
    <w:bookmarkStart w:id="35" w:name="components-3"/>
    <w:p>
      <w:pPr>
        <w:pStyle w:val="Heading3"/>
      </w:pPr>
      <w:r>
        <w:t xml:space="preserve">Components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Splunk / Sentinel</w:t>
      </w:r>
      <w:r>
        <w:t xml:space="preserve"> </w:t>
      </w:r>
      <w:r>
        <w:t xml:space="preserve">— Aggregation, correlation, compliance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Azure Monitor / CloudWatch</w:t>
      </w:r>
      <w:r>
        <w:t xml:space="preserve"> </w:t>
      </w:r>
      <w:r>
        <w:t xml:space="preserve">— Cloud-native telemetry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ThousandEyes / Riverbed</w:t>
      </w:r>
      <w:r>
        <w:t xml:space="preserve"> </w:t>
      </w:r>
      <w:r>
        <w:t xml:space="preserve">— Network path truth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InfoBlox</w:t>
      </w:r>
      <w:r>
        <w:t xml:space="preserve"> </w:t>
      </w:r>
      <w:r>
        <w:t xml:space="preserve">— DNS/DHCP/IPAM evidence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Defender / MINR</w:t>
      </w:r>
      <w:r>
        <w:t xml:space="preserve"> </w:t>
      </w:r>
      <w:r>
        <w:t xml:space="preserve">— Endpoint truth</w:t>
      </w:r>
    </w:p>
    <w:bookmarkEnd w:id="35"/>
    <w:bookmarkStart w:id="36" w:name="core-responsibilities-3"/>
    <w:p>
      <w:pPr>
        <w:pStyle w:val="Heading3"/>
      </w:pPr>
      <w:r>
        <w:t xml:space="preserve">Core Responsibilities</w:t>
      </w:r>
    </w:p>
    <w:p>
      <w:pPr>
        <w:numPr>
          <w:ilvl w:val="0"/>
          <w:numId w:val="1019"/>
        </w:numPr>
      </w:pPr>
      <w:r>
        <w:t xml:space="preserve">Collect, normalize, and correlate telemetry across all domains</w:t>
      </w:r>
    </w:p>
    <w:p>
      <w:pPr>
        <w:numPr>
          <w:ilvl w:val="0"/>
          <w:numId w:val="1019"/>
        </w:numPr>
      </w:pPr>
      <w:r>
        <w:t xml:space="preserve">Tamper-proof storage for audit and compliance</w:t>
      </w:r>
    </w:p>
    <w:p>
      <w:pPr>
        <w:numPr>
          <w:ilvl w:val="0"/>
          <w:numId w:val="1019"/>
        </w:numPr>
      </w:pPr>
      <w:r>
        <w:t xml:space="preserve">Real-time signals to Identity, Network, and Addressing planes</w:t>
      </w:r>
    </w:p>
    <w:p>
      <w:pPr>
        <w:numPr>
          <w:ilvl w:val="0"/>
          <w:numId w:val="1019"/>
        </w:numPr>
      </w:pPr>
      <w:r>
        <w:t xml:space="preserve">Detect anomalies, drift, and misconfigurations</w:t>
      </w:r>
    </w:p>
    <w:p>
      <w:pPr>
        <w:numPr>
          <w:ilvl w:val="0"/>
          <w:numId w:val="1019"/>
        </w:numPr>
      </w:pPr>
      <w:r>
        <w:t xml:space="preserve">Enable closed-loop automation and remediation</w:t>
      </w:r>
    </w:p>
    <w:p>
      <w:pPr>
        <w:numPr>
          <w:ilvl w:val="0"/>
          <w:numId w:val="1019"/>
        </w:numPr>
      </w:pPr>
      <w:r>
        <w:t xml:space="preserve">Dashboards that express operational truth</w:t>
      </w:r>
    </w:p>
    <w:bookmarkEnd w:id="36"/>
    <w:bookmarkStart w:id="37" w:name="integrations-3"/>
    <w:p>
      <w:pPr>
        <w:pStyle w:val="Heading3"/>
      </w:pPr>
      <w:r>
        <w:t xml:space="preserve">Integrations</w:t>
      </w:r>
    </w:p>
    <w:p>
      <w:pPr>
        <w:pStyle w:val="FirstParagraph"/>
      </w:pPr>
      <w:r>
        <w:t xml:space="preserve">Integrates with: identity, network, addressing, endpoint</w:t>
      </w:r>
    </w:p>
    <w:bookmarkEnd w:id="37"/>
    <w:bookmarkStart w:id="38" w:name="notes-3"/>
    <w:p>
      <w:pPr>
        <w:pStyle w:val="Heading3"/>
      </w:pPr>
      <w:r>
        <w:t xml:space="preserve">Notes</w:t>
      </w:r>
    </w:p>
    <w:p>
      <w:pPr>
        <w:numPr>
          <w:ilvl w:val="0"/>
          <w:numId w:val="1020"/>
        </w:numPr>
      </w:pPr>
      <w:r>
        <w:t xml:space="preserve">Telemetry is the control plane that validates all other planes</w:t>
      </w:r>
    </w:p>
    <w:p>
      <w:pPr>
        <w:numPr>
          <w:ilvl w:val="0"/>
          <w:numId w:val="1020"/>
        </w:numPr>
      </w:pPr>
      <w:r>
        <w:t xml:space="preserve">No signal is trusted unless correlated across identity, addressing, and network context</w:t>
      </w:r>
    </w:p>
    <w:p>
      <w:pPr>
        <w:numPr>
          <w:ilvl w:val="0"/>
          <w:numId w:val="1020"/>
        </w:numPr>
      </w:pPr>
      <w:r>
        <w:t xml:space="preserve">Dashboards must express truth, not noise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endpoint-control-plane"/>
    <w:p>
      <w:pPr>
        <w:pStyle w:val="Heading2"/>
      </w:pPr>
      <w:r>
        <w:t xml:space="preserve">Endpoint Control Plane</w:t>
      </w:r>
    </w:p>
    <w:p>
      <w:pPr>
        <w:pStyle w:val="FirstParagraph"/>
      </w:pPr>
      <w:r>
        <w:rPr>
          <w:bCs/>
          <w:b/>
        </w:rPr>
        <w:t xml:space="preserve">Identity-anchored, telemetry-driven device governance</w:t>
      </w:r>
    </w:p>
    <w:p>
      <w:pPr>
        <w:pStyle w:val="BodyText"/>
      </w:pPr>
      <w:r>
        <w:t xml:space="preserve">The identity-anchored, telemetry-driven governance layer for all devices</w:t>
      </w:r>
    </w:p>
    <w:bookmarkStart w:id="40" w:name="components-4"/>
    <w:p>
      <w:pPr>
        <w:pStyle w:val="Heading3"/>
      </w:pPr>
      <w:r>
        <w:t xml:space="preserve">Components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Defender / MINR</w:t>
      </w:r>
      <w:r>
        <w:t xml:space="preserve"> </w:t>
      </w:r>
      <w:r>
        <w:t xml:space="preserve">— Endpoint detection and response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Intune</w:t>
      </w:r>
      <w:r>
        <w:t xml:space="preserve"> </w:t>
      </w:r>
      <w:r>
        <w:t xml:space="preserve">— Configuration and compliance management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Entra ID Device Objects</w:t>
      </w:r>
      <w:r>
        <w:t xml:space="preserve"> </w:t>
      </w:r>
      <w:r>
        <w:t xml:space="preserve">— Device identity anchoring</w:t>
      </w:r>
    </w:p>
    <w:bookmarkEnd w:id="40"/>
    <w:bookmarkStart w:id="41" w:name="core-responsibilities-4"/>
    <w:p>
      <w:pPr>
        <w:pStyle w:val="Heading3"/>
      </w:pPr>
      <w:r>
        <w:t xml:space="preserve">Core Responsibilities</w:t>
      </w:r>
    </w:p>
    <w:p>
      <w:pPr>
        <w:numPr>
          <w:ilvl w:val="0"/>
          <w:numId w:val="1022"/>
        </w:numPr>
      </w:pPr>
      <w:r>
        <w:t xml:space="preserve">Device identity and compliance posture</w:t>
      </w:r>
    </w:p>
    <w:p>
      <w:pPr>
        <w:numPr>
          <w:ilvl w:val="0"/>
          <w:numId w:val="1022"/>
        </w:numPr>
      </w:pPr>
      <w:r>
        <w:t xml:space="preserve">Configuration baselines and OS hardening</w:t>
      </w:r>
    </w:p>
    <w:p>
      <w:pPr>
        <w:numPr>
          <w:ilvl w:val="0"/>
          <w:numId w:val="1022"/>
        </w:numPr>
      </w:pPr>
      <w:r>
        <w:t xml:space="preserve">Application control, patching, vulnerability remediation</w:t>
      </w:r>
    </w:p>
    <w:p>
      <w:pPr>
        <w:numPr>
          <w:ilvl w:val="0"/>
          <w:numId w:val="1022"/>
        </w:numPr>
      </w:pPr>
      <w:r>
        <w:t xml:space="preserve">Emit endpoint telemetry to Telemetry Plane</w:t>
      </w:r>
    </w:p>
    <w:p>
      <w:pPr>
        <w:numPr>
          <w:ilvl w:val="0"/>
          <w:numId w:val="1022"/>
        </w:numPr>
      </w:pPr>
      <w:r>
        <w:t xml:space="preserve">Provide device evidence to Identity and Network planes</w:t>
      </w:r>
    </w:p>
    <w:p>
      <w:pPr>
        <w:numPr>
          <w:ilvl w:val="0"/>
          <w:numId w:val="1022"/>
        </w:numPr>
      </w:pPr>
      <w:r>
        <w:t xml:space="preserve">Support Zero Trust segmentation and INR</w:t>
      </w:r>
    </w:p>
    <w:bookmarkEnd w:id="41"/>
    <w:bookmarkStart w:id="42" w:name="integrations-4"/>
    <w:p>
      <w:pPr>
        <w:pStyle w:val="Heading3"/>
      </w:pPr>
      <w:r>
        <w:t xml:space="preserve">Integrations</w:t>
      </w:r>
    </w:p>
    <w:p>
      <w:pPr>
        <w:pStyle w:val="FirstParagraph"/>
      </w:pPr>
      <w:r>
        <w:t xml:space="preserve">Integrates with: identity, network, addressing, telemetry</w:t>
      </w:r>
    </w:p>
    <w:bookmarkEnd w:id="42"/>
    <w:bookmarkStart w:id="43" w:name="notes-4"/>
    <w:p>
      <w:pPr>
        <w:pStyle w:val="Heading3"/>
      </w:pPr>
      <w:r>
        <w:t xml:space="preserve">Notes</w:t>
      </w:r>
    </w:p>
    <w:p>
      <w:pPr>
        <w:numPr>
          <w:ilvl w:val="0"/>
          <w:numId w:val="1023"/>
        </w:numPr>
      </w:pPr>
      <w:r>
        <w:t xml:space="preserve">Endpoint identity is the foundation of Zero Trust</w:t>
      </w:r>
    </w:p>
    <w:p>
      <w:pPr>
        <w:numPr>
          <w:ilvl w:val="0"/>
          <w:numId w:val="1023"/>
        </w:numPr>
      </w:pPr>
      <w:r>
        <w:t xml:space="preserve">No device is trusted unless identity-anchored, telemetry-visible, and policy-compliant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security-control-plane"/>
    <w:p>
      <w:pPr>
        <w:pStyle w:val="Heading2"/>
      </w:pPr>
      <w:r>
        <w:t xml:space="preserve">Security Control Plane</w:t>
      </w:r>
    </w:p>
    <w:p>
      <w:pPr>
        <w:pStyle w:val="FirstParagraph"/>
      </w:pPr>
      <w:r>
        <w:rPr>
          <w:bCs/>
          <w:b/>
        </w:rPr>
        <w:t xml:space="preserve">Zero Trust enforcement, validation, and assurance</w:t>
      </w:r>
    </w:p>
    <w:p>
      <w:pPr>
        <w:pStyle w:val="BodyText"/>
      </w:pPr>
      <w:r>
        <w:t xml:space="preserve">The enforcement, validation, and assurance substrate for Zero Trust across all systems, identities, networks, and workloads</w:t>
      </w:r>
    </w:p>
    <w:bookmarkStart w:id="45" w:name="components-5"/>
    <w:p>
      <w:pPr>
        <w:pStyle w:val="Heading3"/>
      </w:pPr>
      <w:r>
        <w:t xml:space="preserve">Components</w:t>
      </w:r>
    </w:p>
    <w:bookmarkEnd w:id="45"/>
    <w:bookmarkStart w:id="46" w:name="core-responsibilities-5"/>
    <w:p>
      <w:pPr>
        <w:pStyle w:val="Heading3"/>
      </w:pPr>
      <w:r>
        <w:t xml:space="preserve">Core Responsibilities</w:t>
      </w:r>
    </w:p>
    <w:p>
      <w:pPr>
        <w:numPr>
          <w:ilvl w:val="0"/>
          <w:numId w:val="1024"/>
        </w:numPr>
      </w:pPr>
      <w:r>
        <w:t xml:space="preserve">Authentication, authorization, and access control</w:t>
      </w:r>
    </w:p>
    <w:p>
      <w:pPr>
        <w:numPr>
          <w:ilvl w:val="0"/>
          <w:numId w:val="1024"/>
        </w:numPr>
      </w:pPr>
      <w:r>
        <w:t xml:space="preserve">Zero Trust segmentation across identity, network, and endpoint</w:t>
      </w:r>
    </w:p>
    <w:p>
      <w:pPr>
        <w:numPr>
          <w:ilvl w:val="0"/>
          <w:numId w:val="1024"/>
        </w:numPr>
      </w:pPr>
      <w:r>
        <w:t xml:space="preserve">Continuous risk evaluation and adaptive policy enforcement</w:t>
      </w:r>
    </w:p>
    <w:p>
      <w:pPr>
        <w:numPr>
          <w:ilvl w:val="0"/>
          <w:numId w:val="1024"/>
        </w:numPr>
      </w:pPr>
      <w:r>
        <w:t xml:space="preserve">Threat detection and response using correlated telemetry</w:t>
      </w:r>
    </w:p>
    <w:p>
      <w:pPr>
        <w:numPr>
          <w:ilvl w:val="0"/>
          <w:numId w:val="1024"/>
        </w:numPr>
      </w:pPr>
      <w:r>
        <w:t xml:space="preserve">Vulnerability management and attack-surface reduction</w:t>
      </w:r>
    </w:p>
    <w:p>
      <w:pPr>
        <w:numPr>
          <w:ilvl w:val="0"/>
          <w:numId w:val="1024"/>
        </w:numPr>
      </w:pPr>
      <w:r>
        <w:t xml:space="preserve">Audit-ready evidence for compliance and governance</w:t>
      </w:r>
    </w:p>
    <w:bookmarkEnd w:id="46"/>
    <w:bookmarkStart w:id="47" w:name="integrations-5"/>
    <w:p>
      <w:pPr>
        <w:pStyle w:val="Heading3"/>
      </w:pPr>
      <w:r>
        <w:t xml:space="preserve">Integrations</w:t>
      </w:r>
    </w:p>
    <w:p>
      <w:pPr>
        <w:pStyle w:val="FirstParagraph"/>
      </w:pPr>
      <w:r>
        <w:t xml:space="preserve">Integrates with: identity, network, addressing, telemetry, endpoint</w:t>
      </w:r>
    </w:p>
    <w:bookmarkEnd w:id="47"/>
    <w:bookmarkStart w:id="48" w:name="notes-5"/>
    <w:p>
      <w:pPr>
        <w:pStyle w:val="Heading3"/>
      </w:pPr>
      <w:r>
        <w:t xml:space="preserve">Notes</w:t>
      </w:r>
    </w:p>
    <w:p>
      <w:pPr>
        <w:numPr>
          <w:ilvl w:val="0"/>
          <w:numId w:val="1025"/>
        </w:numPr>
      </w:pPr>
      <w:r>
        <w:t xml:space="preserve">Security Plane is the enforcement substrate that ties all other planes together</w:t>
      </w:r>
    </w:p>
    <w:p>
      <w:pPr>
        <w:numPr>
          <w:ilvl w:val="0"/>
          <w:numId w:val="1025"/>
        </w:numPr>
      </w:pPr>
      <w:r>
        <w:t xml:space="preserve">All access, routing, and system behavior must be identity-anchored, policy-validated, and telemetry-verified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cross-plane-integration-matrix"/>
    <w:p>
      <w:pPr>
        <w:pStyle w:val="Heading2"/>
      </w:pPr>
      <w:r>
        <w:t xml:space="preserve">Cross-Plane Integration Matrix</w:t>
      </w:r>
    </w:p>
    <w:p>
      <w:pPr>
        <w:pStyle w:val="FirstParagraph"/>
      </w:pPr>
      <w:r>
        <w:rPr>
          <w:bCs/>
          <w:b/>
        </w:rPr>
        <w:t xml:space="preserve">Identity</w:t>
      </w:r>
      <w:r>
        <w:t xml:space="preserve">: User identity | Device identity | App identity | Conditional Access posture | Risk signals</w:t>
      </w:r>
    </w:p>
    <w:p>
      <w:pPr>
        <w:pStyle w:val="BodyText"/>
      </w:pPr>
      <w:r>
        <w:rPr>
          <w:bCs/>
          <w:b/>
        </w:rPr>
        <w:t xml:space="preserve">Addressing</w:t>
      </w:r>
      <w:r>
        <w:t xml:space="preserve">: IP-to-identity mapping | DNS evidence | Subnet classification | Location inference</w:t>
      </w:r>
    </w:p>
    <w:p>
      <w:pPr>
        <w:pStyle w:val="BodyText"/>
      </w:pPr>
      <w:r>
        <w:rPr>
          <w:bCs/>
          <w:b/>
        </w:rPr>
        <w:t xml:space="preserve">Network</w:t>
      </w:r>
      <w:r>
        <w:t xml:space="preserve">: Routing decisions | Segmentation enforcement | Tunnel health | Path performance</w:t>
      </w:r>
    </w:p>
    <w:p>
      <w:pPr>
        <w:pStyle w:val="BodyText"/>
      </w:pPr>
      <w:r>
        <w:rPr>
          <w:bCs/>
          <w:b/>
        </w:rPr>
        <w:t xml:space="preserve">Telemetry</w:t>
      </w:r>
      <w:r>
        <w:t xml:space="preserve">: Correlated evidence | Anomaly detection | Drift detection | Behavioral analysis</w:t>
      </w:r>
    </w:p>
    <w:p>
      <w:pPr>
        <w:pStyle w:val="BodyText"/>
      </w:pPr>
      <w:r>
        <w:rPr>
          <w:bCs/>
          <w:b/>
        </w:rPr>
        <w:t xml:space="preserve">Endpoint</w:t>
      </w:r>
      <w:r>
        <w:t xml:space="preserve">: Device compliance | Health posture | Authentication evidence | Process metrics</w:t>
      </w:r>
    </w:p>
    <w:p>
      <w:pPr>
        <w:pStyle w:val="BodyText"/>
      </w:pPr>
      <w:r>
        <w:rPr>
          <w:bCs/>
          <w:b/>
        </w:rPr>
        <w:t xml:space="preserve">Security</w:t>
      </w:r>
      <w:r>
        <w:t xml:space="preserve">: Zero Trust enforcement | Threat detection | Access control | Audit evidence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2026-03-20T15:00:23Z</dcterms:created>
  <dcterms:modified xsi:type="dcterms:W3CDTF">2026-03-20T15:00:23Z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