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deefac2464eea54bde8ab586e4a4943a1951049"/>
    <w:p>
      <w:pPr>
        <w:pStyle w:val="Heading1"/>
      </w:pPr>
      <w:r>
        <w:t xml:space="preserve">Executive FAQ: Modernization Atlas &amp; uiao-core</w:t>
      </w:r>
    </w:p>
    <w:p>
      <w:pPr>
        <w:pStyle w:val="FirstParagraph"/>
      </w:pPr>
      <w:r>
        <w:t xml:space="preserve">This document addresses the most frequent strategic and operational questions regarding the agency’s transition to the</w:t>
      </w:r>
      <w:r>
        <w:t xml:space="preserve"> </w:t>
      </w:r>
      <w:r>
        <w:rPr>
          <w:bCs/>
          <w:b/>
        </w:rPr>
        <w:t xml:space="preserve">uiao-core</w:t>
      </w:r>
      <w:r>
        <w:t xml:space="preserve"> </w:t>
      </w:r>
      <w:r>
        <w:t xml:space="preserve">infrastructure model.</w:t>
      </w:r>
    </w:p>
    <w:p>
      <w:r>
        <w:pict>
          <v:rect style="width:0;height:1.5pt" o:hralign="center" o:hrstd="t" o:hr="t"/>
        </w:pict>
      </w:r>
    </w:p>
    <w:bookmarkStart w:id="20" w:name="strategic-alignment-compliance"/>
    <w:p>
      <w:pPr>
        <w:pStyle w:val="Heading3"/>
      </w:pPr>
      <w:r>
        <w:t xml:space="preserve">1. Strategic Alignment &amp; Compliance</w:t>
      </w:r>
    </w:p>
    <w:p>
      <w:pPr>
        <w:pStyle w:val="FirstParagraph"/>
      </w:pPr>
      <w:r>
        <w:rPr>
          <w:bCs/>
          <w:b/>
        </w:rPr>
        <w:t xml:space="preserve">Q: How does this project align with current federal mandates?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uiao-core is specifically engineered to meet the requirements of</w:t>
      </w:r>
      <w:r>
        <w:t xml:space="preserve"> </w:t>
      </w:r>
      <w:r>
        <w:rPr>
          <w:bCs/>
          <w:b/>
        </w:rPr>
        <w:t xml:space="preserve">Executive Order 14028</w:t>
      </w:r>
      <w:r>
        <w:t xml:space="preserve"> </w:t>
      </w:r>
      <w:r>
        <w:t xml:space="preserve">(Improving the Nation’s Cybersecurity) and the</w:t>
      </w:r>
      <w:r>
        <w:t xml:space="preserve"> </w:t>
      </w:r>
      <w:r>
        <w:rPr>
          <w:bCs/>
          <w:b/>
        </w:rPr>
        <w:t xml:space="preserve">FedRAMP 20x Phase 2 Pilot</w:t>
      </w:r>
      <w:r>
        <w:t xml:space="preserve">. By decoupling infrastructure into programmable planes, we achieve the granular visibility and identity-based access control mandated by the OMB and CISA.</w:t>
      </w:r>
    </w:p>
    <w:p>
      <w:pPr>
        <w:pStyle w:val="BodyText"/>
      </w:pPr>
      <w:r>
        <w:rPr>
          <w:bCs/>
          <w:b/>
        </w:rPr>
        <w:t xml:space="preserve">Q: What is the significance of FedRAMP 20x Phase 2?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We are currently in the</w:t>
      </w:r>
      <w:r>
        <w:t xml:space="preserve"> </w:t>
      </w:r>
      <w:r>
        <w:rPr>
          <w:bCs/>
          <w:b/>
        </w:rPr>
        <w:t xml:space="preserve">FedRAMP 20x Phase 2 Pilot</w:t>
      </w:r>
      <w:r>
        <w:t xml:space="preserve">, which concludes on</w:t>
      </w:r>
      <w:r>
        <w:t xml:space="preserve"> </w:t>
      </w:r>
      <w:r>
        <w:rPr>
          <w:bCs/>
          <w:b/>
        </w:rPr>
        <w:t xml:space="preserve">March 31, 2026</w:t>
      </w:r>
      <w:r>
        <w:t xml:space="preserve">. This phase focuses on validating our automated security controls and identity-mapping logic. Successful completion of this pilot is a prerequisite for our transition to</w:t>
      </w:r>
      <w:r>
        <w:t xml:space="preserve"> </w:t>
      </w:r>
      <w:r>
        <w:rPr>
          <w:bCs/>
          <w:b/>
        </w:rPr>
        <w:t xml:space="preserve">Phase 3 in Q3 2026</w:t>
      </w:r>
      <w:r>
        <w:t xml:space="preserve">, where we will scale these patterns across multi-cloud environments.</w:t>
      </w:r>
    </w:p>
    <w:p>
      <w:r>
        <w:pict>
          <v:rect style="width:0;height:1.5pt" o:hralign="center" o:hrstd="t" o:hr="t"/>
        </w:pict>
      </w:r>
    </w:p>
    <w:bookmarkEnd w:id="20"/>
    <w:bookmarkStart w:id="21" w:name="fiscal-impact-value"/>
    <w:p>
      <w:pPr>
        <w:pStyle w:val="Heading3"/>
      </w:pPr>
      <w:r>
        <w:t xml:space="preserve">2. Fiscal Impact &amp; Value</w:t>
      </w:r>
    </w:p>
    <w:p>
      <w:pPr>
        <w:pStyle w:val="FirstParagraph"/>
      </w:pPr>
      <w:r>
        <w:rPr>
          <w:bCs/>
          <w:b/>
        </w:rPr>
        <w:t xml:space="preserve">Q: How is the investment in uiao-core justified compared to our legacy approach?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The legacy approach relies on</w:t>
      </w:r>
      <w:r>
        <w:t xml:space="preserve"> </w:t>
      </w:r>
      <w:r>
        <w:t xml:space="preserve">“</w:t>
      </w:r>
      <w:r>
        <w:t xml:space="preserve">bespoke</w:t>
      </w:r>
      <w:r>
        <w:t xml:space="preserve">”</w:t>
      </w:r>
      <w:r>
        <w:t xml:space="preserve"> </w:t>
      </w:r>
      <w:r>
        <w:t xml:space="preserve">configurations that create massive technical debt and require significant manual labor.</w:t>
      </w:r>
      <w:r>
        <w:t xml:space="preserve"> </w:t>
      </w:r>
      <w:r>
        <w:rPr>
          <w:bCs/>
          <w:b/>
        </w:rPr>
        <w:t xml:space="preserve">uiao-core</w:t>
      </w:r>
      <w:r>
        <w:t xml:space="preserve"> </w:t>
      </w:r>
      <w:r>
        <w:t xml:space="preserve">utilizes the</w:t>
      </w:r>
      <w:r>
        <w:t xml:space="preserve"> </w:t>
      </w:r>
      <w:r>
        <w:rPr>
          <w:bCs/>
          <w:b/>
        </w:rPr>
        <w:t xml:space="preserve">Appendix Canon</w:t>
      </w:r>
      <w:r>
        <w:t xml:space="preserve">—a library of immutable, pre-approved patterns. This reduces site deployment time by</w:t>
      </w:r>
      <w:r>
        <w:t xml:space="preserve"> </w:t>
      </w:r>
      <w:r>
        <w:rPr>
          <w:bCs/>
          <w:b/>
        </w:rPr>
        <w:t xml:space="preserve">60%</w:t>
      </w:r>
      <w:r>
        <w:t xml:space="preserve"> </w:t>
      </w:r>
      <w:r>
        <w:t xml:space="preserve">and long-term maintenance costs by</w:t>
      </w:r>
      <w:r>
        <w:t xml:space="preserve"> </w:t>
      </w:r>
      <w:r>
        <w:rPr>
          <w:bCs/>
          <w:b/>
        </w:rPr>
        <w:t xml:space="preserve">40%</w:t>
      </w:r>
      <w:r>
        <w:t xml:space="preserve"> </w:t>
      </w:r>
      <w:r>
        <w:t xml:space="preserve">through deterministic troubleshooting and automation.</w:t>
      </w:r>
    </w:p>
    <w:p>
      <w:pPr>
        <w:pStyle w:val="BodyText"/>
      </w:pPr>
      <w:r>
        <w:rPr>
          <w:bCs/>
          <w:b/>
        </w:rPr>
        <w:t xml:space="preserve">Q: What are the primary success metrics for this initiative?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We measure success through three KPIs: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Time-to-Mission:</w:t>
      </w:r>
      <w:r>
        <w:t xml:space="preserve"> </w:t>
      </w:r>
      <w:r>
        <w:t xml:space="preserve">Reduction in the interval between hardware arrival and operational status.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Security Posture:</w:t>
      </w:r>
      <w:r>
        <w:t xml:space="preserve"> </w:t>
      </w:r>
      <w:r>
        <w:t xml:space="preserve">100% adherence to</w:t>
      </w:r>
      <w:r>
        <w:t xml:space="preserve"> </w:t>
      </w:r>
      <w:r>
        <w:rPr>
          <w:bCs/>
          <w:b/>
        </w:rPr>
        <w:t xml:space="preserve">Zero-Trust</w:t>
      </w:r>
      <w:r>
        <w:t xml:space="preserve"> </w:t>
      </w:r>
      <w:r>
        <w:t xml:space="preserve">identity tagging (SGTs).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Configuration Integrity:</w:t>
      </w:r>
      <w:r>
        <w:t xml:space="preserve"> </w:t>
      </w:r>
      <w:r>
        <w:t xml:space="preserve">Zero instances of</w:t>
      </w:r>
      <w:r>
        <w:t xml:space="preserve"> </w:t>
      </w:r>
      <w:r>
        <w:t xml:space="preserve">“</w:t>
      </w:r>
      <w:r>
        <w:t xml:space="preserve">Configuration Drift</w:t>
      </w:r>
      <w:r>
        <w:t xml:space="preserve">”</w:t>
      </w:r>
      <w:r>
        <w:t xml:space="preserve"> </w:t>
      </w:r>
      <w:r>
        <w:t xml:space="preserve">across regional sites.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security"/>
    <w:p>
      <w:pPr>
        <w:pStyle w:val="Heading3"/>
      </w:pPr>
      <w:r>
        <w:t xml:space="preserve">3. Architecture &amp; Security</w:t>
      </w:r>
    </w:p>
    <w:p>
      <w:pPr>
        <w:pStyle w:val="FirstParagraph"/>
      </w:pPr>
      <w:r>
        <w:rPr>
          <w:bCs/>
          <w:b/>
        </w:rPr>
        <w:t xml:space="preserve">Q: What exactly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Zero-Trust Architecture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this context?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In the Modernization Atlas, Zero-Trust means access is never granted based on physical location. Instead, our</w:t>
      </w:r>
      <w:r>
        <w:t xml:space="preserve"> </w:t>
      </w:r>
      <w:r>
        <w:rPr>
          <w:bCs/>
          <w:b/>
        </w:rPr>
        <w:t xml:space="preserve">Identity Plane (BA-01)</w:t>
      </w:r>
      <w:r>
        <w:t xml:space="preserve"> </w:t>
      </w:r>
      <w:r>
        <w:t xml:space="preserve">maps every user to a specific role-based tag. The network then enforces security rules (SGACLs) at the point of entry, ensuring that a contractor in a regional office has the same—and only the same—permissions as they would at HQ.</w:t>
      </w:r>
    </w:p>
    <w:p>
      <w:pPr>
        <w:pStyle w:val="BodyText"/>
      </w:pPr>
      <w:r>
        <w:rPr>
          <w:bCs/>
          <w:b/>
        </w:rPr>
        <w:t xml:space="preserve">Q: How does uiao-core mitigate the risk of a lateral-movement cyberattack?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Through</w:t>
      </w:r>
      <w:r>
        <w:t xml:space="preserve"> </w:t>
      </w:r>
      <w:r>
        <w:rPr>
          <w:bCs/>
          <w:b/>
        </w:rPr>
        <w:t xml:space="preserve">Micro-segmentation</w:t>
      </w:r>
      <w:r>
        <w:t xml:space="preserve">. By utilizing the</w:t>
      </w:r>
      <w:r>
        <w:t xml:space="preserve"> </w:t>
      </w:r>
      <w:r>
        <w:rPr>
          <w:bCs/>
          <w:b/>
        </w:rPr>
        <w:t xml:space="preserve">Overlay Pillar</w:t>
      </w:r>
      <w:r>
        <w:t xml:space="preserve">, we isolate workloads from one another. If a single device is compromised, our</w:t>
      </w:r>
      <w:r>
        <w:t xml:space="preserve"> </w:t>
      </w:r>
      <w:r>
        <w:t xml:space="preserve">“</w:t>
      </w:r>
      <w:r>
        <w:t xml:space="preserve">Default Deny</w:t>
      </w:r>
      <w:r>
        <w:t xml:space="preserve">”</w:t>
      </w:r>
      <w:r>
        <w:t xml:space="preserve"> </w:t>
      </w:r>
      <w:r>
        <w:t xml:space="preserve">posture (Appendix BA-02) prevents that threat from moving sideways into our sensitive database or financial systems.</w:t>
      </w:r>
    </w:p>
    <w:p>
      <w:r>
        <w:pict>
          <v:rect style="width:0;height:1.5pt" o:hralign="center" o:hrstd="t" o:hr="t"/>
        </w:pict>
      </w:r>
    </w:p>
    <w:bookmarkEnd w:id="22"/>
    <w:bookmarkStart w:id="23" w:name="implementation-governance"/>
    <w:p>
      <w:pPr>
        <w:pStyle w:val="Heading3"/>
      </w:pPr>
      <w:r>
        <w:t xml:space="preserve">4. Implementation &amp; Governance</w:t>
      </w:r>
    </w:p>
    <w:p>
      <w:pPr>
        <w:pStyle w:val="FirstParagraph"/>
      </w:pPr>
      <w:r>
        <w:rPr>
          <w:bCs/>
          <w:b/>
        </w:rPr>
        <w:t xml:space="preserve">Q: What is the migration path for our existing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Legacy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workloads?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Migration follows a</w:t>
      </w:r>
      <w:r>
        <w:t xml:space="preserve"> </w:t>
      </w:r>
      <w:r>
        <w:t xml:space="preserve">“</w:t>
      </w:r>
      <w:r>
        <w:t xml:space="preserve">Pattern-First</w:t>
      </w:r>
      <w:r>
        <w:t xml:space="preserve">”</w:t>
      </w:r>
      <w:r>
        <w:t xml:space="preserve"> </w:t>
      </w:r>
      <w:r>
        <w:t xml:space="preserve">approach. We do not move</w:t>
      </w:r>
      <w:r>
        <w:t xml:space="preserve"> </w:t>
      </w:r>
      <w:r>
        <w:t xml:space="preserve">“</w:t>
      </w:r>
      <w:r>
        <w:t xml:space="preserve">broken</w:t>
      </w:r>
      <w:r>
        <w:t xml:space="preserve">”</w:t>
      </w:r>
      <w:r>
        <w:t xml:space="preserve"> </w:t>
      </w:r>
      <w:r>
        <w:t xml:space="preserve">configurations; we rebuild them using the</w:t>
      </w:r>
      <w:r>
        <w:t xml:space="preserve"> </w:t>
      </w:r>
      <w:r>
        <w:rPr>
          <w:bCs/>
          <w:b/>
        </w:rPr>
        <w:t xml:space="preserve">Appendix Canon</w:t>
      </w:r>
      <w:r>
        <w:t xml:space="preserve">. This ensures that as workloads move into the modernized datacenter, they are automatically compliant with</w:t>
      </w:r>
      <w:r>
        <w:t xml:space="preserve"> </w:t>
      </w:r>
      <w:r>
        <w:rPr>
          <w:bCs/>
          <w:b/>
        </w:rPr>
        <w:t xml:space="preserve">FedRAMP 20x Phase 2</w:t>
      </w:r>
      <w:r>
        <w:t xml:space="preserve"> </w:t>
      </w:r>
      <w:r>
        <w:t xml:space="preserve">standards.</w:t>
      </w:r>
    </w:p>
    <w:p>
      <w:pPr>
        <w:pStyle w:val="BodyText"/>
      </w:pPr>
      <w:r>
        <w:rPr>
          <w:bCs/>
          <w:b/>
        </w:rPr>
        <w:t xml:space="preserve">Q: Who governs the Modernization Atlas?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The Atlas follows a</w:t>
      </w:r>
      <w:r>
        <w:t xml:space="preserve"> </w:t>
      </w:r>
      <w:r>
        <w:rPr>
          <w:bCs/>
          <w:b/>
        </w:rPr>
        <w:t xml:space="preserve">Docs-as-Code</w:t>
      </w:r>
      <w:r>
        <w:t xml:space="preserve"> </w:t>
      </w:r>
      <w:r>
        <w:t xml:space="preserve">governance model. Technical standards are proposed via the</w:t>
      </w:r>
      <w:r>
        <w:t xml:space="preserve"> </w:t>
      </w:r>
      <w:r>
        <w:rPr>
          <w:bCs/>
          <w:b/>
        </w:rPr>
        <w:t xml:space="preserve">CONTRIBUTING.md</w:t>
      </w:r>
      <w:r>
        <w:t xml:space="preserve"> </w:t>
      </w:r>
      <w:r>
        <w:t xml:space="preserve">workflow, validated against our</w:t>
      </w:r>
      <w:r>
        <w:t xml:space="preserve"> </w:t>
      </w:r>
      <w:r>
        <w:rPr>
          <w:bCs/>
          <w:b/>
        </w:rPr>
        <w:t xml:space="preserve">Schema</w:t>
      </w:r>
      <w:r>
        <w:t xml:space="preserve">, and must be signed off by the</w:t>
      </w:r>
      <w:r>
        <w:t xml:space="preserve"> </w:t>
      </w:r>
      <w:r>
        <w:rPr>
          <w:bCs/>
          <w:b/>
        </w:rPr>
        <w:t xml:space="preserve">Architecture Review Board</w:t>
      </w:r>
      <w:r>
        <w:t xml:space="preserve"> </w:t>
      </w:r>
      <w:r>
        <w:t xml:space="preserve">before they are published to the live site.</w:t>
      </w:r>
    </w:p>
    <w:p>
      <w:pPr>
        <w:pStyle w:val="BodyText"/>
      </w:pPr>
      <w:r>
        <w:rPr>
          <w:bCs/>
          <w:b/>
        </w:rPr>
        <w:t xml:space="preserve">Q: What are the roles of the key stakeholders?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SES Leadership:</w:t>
      </w:r>
      <w:r>
        <w:t xml:space="preserve"> </w:t>
      </w:r>
      <w:r>
        <w:t xml:space="preserve">Provides strategic endorsement and resource allocation.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Architecture Board:</w:t>
      </w:r>
      <w:r>
        <w:t xml:space="preserve"> </w:t>
      </w:r>
      <w:r>
        <w:t xml:space="preserve">Approves and maintains the Appendix Canon.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Engineering Teams:</w:t>
      </w:r>
      <w:r>
        <w:t xml:space="preserve"> </w:t>
      </w:r>
      <w:r>
        <w:t xml:space="preserve">Execute deployments using Atlas-standardized snippets.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Security/CISO:</w:t>
      </w:r>
      <w:r>
        <w:t xml:space="preserve"> </w:t>
      </w:r>
      <w:r>
        <w:t xml:space="preserve">Validates NIST 800-53 control mappings and pilot compliance.</w:t>
      </w:r>
    </w:p>
    <w:p>
      <w:r>
        <w:pict>
          <v:rect style="width:0;height:1.5pt" o:hralign="center" o:hrstd="t" o:hr="t"/>
        </w:pict>
      </w:r>
    </w:p>
    <w:bookmarkEnd w:id="23"/>
    <w:bookmarkStart w:id="24" w:name="roadmap"/>
    <w:p>
      <w:pPr>
        <w:pStyle w:val="Heading3"/>
      </w:pPr>
      <w:r>
        <w:t xml:space="preserve">5. Roadmap</w:t>
      </w:r>
    </w:p>
    <w:p>
      <w:pPr>
        <w:pStyle w:val="FirstParagraph"/>
      </w:pPr>
      <w:r>
        <w:rPr>
          <w:bCs/>
          <w:b/>
        </w:rPr>
        <w:t xml:space="preserve">Q: What happens after the FedRAMP 20x Phase 2 Pilot ends on March 31?</w:t>
      </w:r>
      <w:r>
        <w:t xml:space="preserve"> </w:t>
      </w:r>
      <w:r>
        <w:rPr>
          <w:bCs/>
          <w:b/>
        </w:rPr>
        <w:t xml:space="preserve">A:</w:t>
      </w:r>
      <w:r>
        <w:t xml:space="preserve"> </w:t>
      </w:r>
      <w:r>
        <w:t xml:space="preserve">Upon completion of the pilot, we enter a</w:t>
      </w:r>
      <w:r>
        <w:t xml:space="preserve"> </w:t>
      </w:r>
      <w:r>
        <w:t xml:space="preserve">“</w:t>
      </w:r>
      <w:r>
        <w:t xml:space="preserve">Hardening</w:t>
      </w:r>
      <w:r>
        <w:t xml:space="preserve">”</w:t>
      </w:r>
      <w:r>
        <w:t xml:space="preserve"> </w:t>
      </w:r>
      <w:r>
        <w:t xml:space="preserve">period to prepare for the</w:t>
      </w:r>
      <w:r>
        <w:t xml:space="preserve"> </w:t>
      </w:r>
      <w:r>
        <w:rPr>
          <w:bCs/>
          <w:b/>
        </w:rPr>
        <w:t xml:space="preserve">Phase 3 Transition in Q3 2026</w:t>
      </w:r>
      <w:r>
        <w:t xml:space="preserve">. Phase 3 will focus on extending these same automated patterns into our public cloud edge (Azure/AWS), creating a truly unified agency fabric.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2026-03-21T20:39:14Z</dcterms:created>
  <dcterms:modified xsi:type="dcterms:W3CDTF">2026-03-21T20:39:14Z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