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png" ContentType="image/png"/>
  <Override PartName="/word/media/rId90.png" ContentType="image/png"/>
  <Override PartName="/word/media/rId9.png" ContentType="image/png"/>
  <Override PartName="/word/media/rId16.png" ContentType="image/png"/>
  <Override PartName="/word/media/rId33.png" ContentType="image/png"/>
  <Override PartName="/word/media/rId63.png" ContentType="image/png"/>
  <Override PartName="/word/media/rId67.png" ContentType="image/png"/>
  <Override PartName="/word/media/rId78.png" ContentType="image/png"/>
  <Override PartName="/word/media/rId54.png" ContentType="image/png"/>
  <Override PartName="/word/media/rId12.png" ContentType="image/png"/>
  <Override PartName="/word/media/rId21.png" ContentType="image/png"/>
  <Override PartName="/word/media/rId26.png" ContentType="image/png"/>
  <Override PartName="/word/media/rId36.png" ContentType="image/png"/>
  <Override PartName="/word/media/rId41.png" ContentType="image/png"/>
  <Override PartName="/word/media/rId57.png" ContentType="image/png"/>
  <Override PartName="/word/media/rId87.png" ContentType="image/png"/>
  <Override PartName="/word/media/rId96.png" ContentType="image/png"/>
  <Override PartName="/word/media/rId46.png" ContentType="image/png"/>
  <Override PartName="/word/media/rId50.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06 — Federal Telecommunications Modernization</w:t>
      </w:r>
    </w:p>
    <w:p>
      <w:pPr>
        <w:pStyle w:val="Subtitle"/>
      </w:pPr>
      <w:r>
        <w:t xml:space="preserve">Amazon Connect, Teams Phone, and the Network Architecture That Must Support Them</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16:04 ET</w:t>
            </w:r>
          </w:p>
          <w:p/>
        </w:tc>
      </w:tr>
    </w:tbl>
    <w:p>
      <w:pPr>
        <w:pStyle w:val="BodyText"/>
      </w:pPr>
      <w:r>
        <w:rPr>
          <w:b/>
          <w:bCs/>
        </w:rPr>
        <w:t xml:space="preserve">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Teams Phone simultaneously. That investment does not need to be made twice.</w:t>
      </w:r>
    </w:p>
    <w:p>
      <w:pPr>
        <w:pStyle w:val="BodyText"/>
      </w:pPr>
      <w:r>
        <w:rPr>
          <w:b/>
          <w:bCs/>
        </w:rPr>
        <w:t xml:space="preserve">Four things this document establishes:</w:t>
      </w:r>
    </w:p>
    <w:p>
      <w:pPr>
        <w:numPr>
          <w:ilvl w:val="0"/>
          <w:numId w:val="1001"/>
        </w:numPr>
      </w:pPr>
      <w:r>
        <w:rPr>
          <w:b/>
          <w:bCs/>
        </w:rPr>
        <w:t xml:space="preserve">Voice has a pass/fail threshold, not a performance preference.</w:t>
      </w:r>
      <w:r>
        <w:t xml:space="preserve"> </w:t>
      </w:r>
      <w:r>
        <w:t xml:space="preserve">ITU-T G.114 specifies one-way voice delay must not exceed 150 ms. Field office agents in western locations already exceed this limit before a call begins under MPLS hairpin architecture.</w:t>
      </w:r>
    </w:p>
    <w:p>
      <w:pPr>
        <w:numPr>
          <w:ilvl w:val="0"/>
          <w:numId w:val="1001"/>
        </w:numPr>
      </w:pPr>
      <w:r>
        <w:rPr>
          <w:b/>
          <w:bCs/>
        </w:rPr>
        <w:t xml:space="preserve">Amazon Connect runs on AWS commercial (.com) by specific authorized exception.</w:t>
      </w:r>
      <w:r>
        <w:t xml:space="preserve"> </w:t>
      </w:r>
      <w:r>
        <w:t xml:space="preserve">The exception is documented in the ATO, must be maintained at each renewal, and carries specific boundary obligations described in this document.</w:t>
      </w:r>
    </w:p>
    <w:p>
      <w:pPr>
        <w:numPr>
          <w:ilvl w:val="0"/>
          <w:numId w:val="1001"/>
        </w:numPr>
      </w:pPr>
      <w:r>
        <w:rPr>
          <w:b/>
          <w:bCs/>
        </w:rPr>
        <w:t xml:space="preserve">Teams Phone in GCC Moderate is the correct path for internal telephony replacement.</w:t>
      </w:r>
      <w:r>
        <w:t xml:space="preserve"> </w:t>
      </w:r>
      <w:r>
        <w:t xml:space="preserve">It introduces no new boundary complications but introduces network dependencies identical to Amazon Connect.</w:t>
      </w:r>
    </w:p>
    <w:p>
      <w:pPr>
        <w:numPr>
          <w:ilvl w:val="0"/>
          <w:numId w:val="1001"/>
        </w:numPr>
      </w:pPr>
      <w:r>
        <w:rPr>
          <w:b/>
          <w:bCs/>
        </w:rPr>
        <w:t xml:space="preserve">One network modernization investment enables both platforms.</w:t>
      </w:r>
      <w:r>
        <w:t xml:space="preserve"> </w:t>
      </w:r>
      <w:r>
        <w:t xml:space="preserve">SD-WAN local breakout, per-DSCP steering, active-active multipath, and FEC apply to both platforms without modification.</w:t>
      </w:r>
    </w:p>
    <w:bookmarkStart w:id="15" w:name="the-n8nn-the-front-door-to-the-agency"/>
    <w:p>
      <w:pPr>
        <w:pStyle w:val="Heading1"/>
      </w:pPr>
      <w:r>
        <w:t xml:space="preserve">1. The N8NN: The Front Door to the Agency</w:t>
      </w:r>
    </w:p>
    <w:p>
      <w:pPr>
        <w:pStyle w:val="CaptionedFigure"/>
      </w:pPr>
      <w:r>
        <w:drawing>
          <wp:inline>
            <wp:extent cx="5334000" cy="2844800"/>
            <wp:effectExtent b="0" l="0" r="0" t="0"/>
            <wp:docPr descr="The N8NN Call Journey: From Citizen to Agent" title="" id="13" name="Picture"/>
            <a:graphic>
              <a:graphicData uri="http://schemas.openxmlformats.org/drawingml/2006/picture">
                <pic:pic>
                  <pic:nvPicPr>
                    <pic:cNvPr descr="figs/tc-fig-07-citizen-journey.png" id="14" name="Picture"/>
                    <pic:cNvPicPr>
                      <a:picLocks noChangeArrowheads="1" noChangeAspect="1"/>
                    </pic:cNvPicPr>
                  </pic:nvPicPr>
                  <pic:blipFill>
                    <a:blip r:embed="rId1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N8NN Call Journey: From Citizen to Agent</w:t>
      </w:r>
    </w:p>
    <w:p>
      <w:pPr>
        <w:pStyle w:val="BodyText"/>
      </w:pPr>
      <w:r>
        <w:t xml:space="preserve">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pPr>
        <w:pStyle w:val="BodyText"/>
      </w:pPr>
      <w:r>
        <w:t xml:space="preserve">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pPr>
        <w:pStyle w:val="BlockText"/>
      </w:pPr>
      <w:r>
        <w:rPr>
          <w:b/>
          <w:bCs/>
        </w:rPr>
        <w:t xml:space="preserve">Why voice exposes network problems that other applications hide:</w:t>
      </w:r>
      <w:r>
        <w:t xml:space="preserve"> </w:t>
      </w:r>
      <w:r>
        <w:t xml:space="preserve">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monitoring.</w:t>
      </w:r>
      <w:r>
        <w:t xml:space="preserve"> </w:t>
      </w:r>
      <w:r>
        <w:rPr>
          <w:b/>
          <w:bCs/>
        </w:rPr>
        <w:t xml:space="preserve">That is why network modernization must begin with voice: voice is the canary.</w:t>
      </w:r>
    </w:p>
    <w:bookmarkEnd w:id="15"/>
    <w:bookmarkStart w:id="25" w:name="Xca87ad3e66249f197630568f46fbf6f37ec629f"/>
    <w:p>
      <w:pPr>
        <w:pStyle w:val="Heading1"/>
      </w:pPr>
      <w:r>
        <w:t xml:space="preserve">2. The Physics of Voice: Standards With a Pass/Fail Threshold</w:t>
      </w:r>
    </w:p>
    <w:p>
      <w:pPr>
        <w:pStyle w:val="FirstParagraph"/>
      </w:pPr>
      <w:r>
        <w:t xml:space="preserve">Unlike most enterprise applications, voice quality has internationally standardized, measurable pass/fail thresholds that are not preferences or benchmarks but engineering specifications with a direct relationship to intelligibility.</w:t>
      </w:r>
    </w:p>
    <w:p>
      <w:pPr>
        <w:pStyle w:val="CaptionedFigure"/>
      </w:pPr>
      <w:r>
        <w:drawing>
          <wp:inline>
            <wp:extent cx="5334000" cy="2844800"/>
            <wp:effectExtent b="0" l="0" r="0" t="0"/>
            <wp:docPr descr="Voice Quality: MOS Scale and G.114 One-Way Delay Budget" title="" id="17" name="Picture"/>
            <a:graphic>
              <a:graphicData uri="http://schemas.openxmlformats.org/drawingml/2006/picture">
                <pic:pic>
                  <pic:nvPicPr>
                    <pic:cNvPr descr="figs/tc-fig-01-voice-quality.png" id="18" name="Picture"/>
                    <pic:cNvPicPr>
                      <a:picLocks noChangeArrowheads="1" noChangeAspect="1"/>
                    </pic:cNvPicPr>
                  </pic:nvPicPr>
                  <pic:blipFill>
                    <a:blip r:embed="rId1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Voice Quality: MOS Scale and G.114 One-Way Delay Budget</w:t>
      </w:r>
    </w:p>
    <w:bookmarkStart w:id="19" w:name="itu-t-g.114-the-one-way-delay-limit"/>
    <w:p>
      <w:pPr>
        <w:pStyle w:val="Heading2"/>
      </w:pPr>
      <w:r>
        <w:t xml:space="preserve">2.1 ITU-T G.114: The One-Way Delay Limit</w:t>
      </w:r>
    </w:p>
    <w:p>
      <w:pPr>
        <w:pStyle w:val="FirstParagraph"/>
      </w:pPr>
      <w:r>
        <w:t xml:space="preserve">ITU-T G.114 is the international standard governing one-way delay in voice communications. Its specification:</w:t>
      </w:r>
      <w:r>
        <w:t xml:space="preserve"> </w:t>
      </w:r>
      <w:r>
        <w:rPr>
          <w:b/>
          <w:bCs/>
        </w:rPr>
        <w:t xml:space="preserve">one-way mouth-to-ear delay must not exceed 150 ms for most applications.</w:t>
      </w:r>
      <w:r>
        <w:t xml:space="preserve"> </w:t>
      </w:r>
      <w:r>
        <w:t xml:space="preserve">Above 150 ms, talker echo becomes perceptible and conversation degrades. Above 400 ms, the call becomes unusable for interactive conversation. These are not targets — they are ceilings.</w:t>
      </w:r>
    </w:p>
    <w:p>
      <w:pPr>
        <w:pStyle w:val="BodyText"/>
      </w:pPr>
      <w:r>
        <w:t xml:space="preserve">The 150 ms limit covers the entire path: codec encoding (~20 ms for Opus), network propagation and queuing, jitter buffer at the receiver (typically 50–80 ms adaptive), and decoding. This leaves approximately</w:t>
      </w:r>
      <w:r>
        <w:t xml:space="preserve"> </w:t>
      </w:r>
      <w:r>
        <w:rPr>
          <w:b/>
          <w:bCs/>
        </w:rPr>
        <w:t xml:space="preserve">50–80 ms of budget for the network itself.</w:t>
      </w:r>
      <w:r>
        <w:t xml:space="preserve"> </w:t>
      </w:r>
      <w:r>
        <w:t xml:space="preserve">That is the target.</w:t>
      </w:r>
    </w:p>
    <w:bookmarkEnd w:id="19"/>
    <w:bookmarkStart w:id="20" w:name="Xf57f72c6e8a3ffa36d8cca3ce9684e69654893e"/>
    <w:p>
      <w:pPr>
        <w:pStyle w:val="Heading2"/>
      </w:pPr>
      <w:r>
        <w:t xml:space="preserve">2.2 MOS and the E-Model: Quantifying Call Quality</w:t>
      </w:r>
    </w:p>
    <w:p>
      <w:pPr>
        <w:pStyle w:val="FirstParagraph"/>
      </w:pPr>
      <w:r>
        <w:t xml:space="preserve">The ITU-T G.107 E-model translates network conditions into an R-factor (0–100), which maps to the Mean Opinion Score (MOS, 1–5) reported by call quality monitoring systems.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R-Factor</w:t>
            </w:r>
          </w:p>
        </w:tc>
        <w:tc>
          <w:tcPr/>
          <w:p>
            <w:pPr>
              <w:pStyle w:val="Compact"/>
            </w:pPr>
            <w:r>
              <w:t xml:space="preserve">MOS</w:t>
            </w:r>
          </w:p>
        </w:tc>
        <w:tc>
          <w:tcPr/>
          <w:p>
            <w:pPr>
              <w:pStyle w:val="Compact"/>
            </w:pPr>
            <w:r>
              <w:t xml:space="preserve">Quality</w:t>
            </w:r>
          </w:p>
        </w:tc>
        <w:tc>
          <w:tcPr/>
          <w:p>
            <w:pPr>
              <w:pStyle w:val="Compact"/>
            </w:pPr>
            <w:r>
              <w:t xml:space="preserve">User Perception</w:t>
            </w:r>
          </w:p>
        </w:tc>
      </w:tr>
      <w:tr>
        <w:tc>
          <w:tcPr/>
          <w:p>
            <w:pPr>
              <w:pStyle w:val="Compact"/>
            </w:pPr>
            <w:r>
              <w:t xml:space="preserve">90–100</w:t>
            </w:r>
          </w:p>
        </w:tc>
        <w:tc>
          <w:tcPr/>
          <w:p>
            <w:pPr>
              <w:pStyle w:val="Compact"/>
            </w:pPr>
            <w:r>
              <w:t xml:space="preserve">4.3–5.0</w:t>
            </w:r>
          </w:p>
        </w:tc>
        <w:tc>
          <w:tcPr/>
          <w:p>
            <w:pPr>
              <w:pStyle w:val="Compact"/>
            </w:pPr>
            <w:r>
              <w:t xml:space="preserve">Excellent</w:t>
            </w:r>
          </w:p>
        </w:tc>
        <w:tc>
          <w:tcPr/>
          <w:p>
            <w:pPr>
              <w:pStyle w:val="Compact"/>
            </w:pPr>
            <w:r>
              <w:t xml:space="preserve">Imperceptible impairment</w:t>
            </w:r>
          </w:p>
        </w:tc>
      </w:tr>
      <w:tr>
        <w:tc>
          <w:tcPr/>
          <w:p>
            <w:pPr>
              <w:pStyle w:val="Compact"/>
            </w:pPr>
            <w:r>
              <w:t xml:space="preserve">80–90</w:t>
            </w:r>
          </w:p>
        </w:tc>
        <w:tc>
          <w:tcPr/>
          <w:p>
            <w:pPr>
              <w:pStyle w:val="Compact"/>
            </w:pPr>
            <w:r>
              <w:t xml:space="preserve">4.0–4.3</w:t>
            </w:r>
          </w:p>
        </w:tc>
        <w:tc>
          <w:tcPr/>
          <w:p>
            <w:pPr>
              <w:pStyle w:val="Compact"/>
            </w:pPr>
            <w:r>
              <w:t xml:space="preserve">Good</w:t>
            </w:r>
          </w:p>
        </w:tc>
        <w:tc>
          <w:tcPr/>
          <w:p>
            <w:pPr>
              <w:pStyle w:val="Compact"/>
            </w:pPr>
            <w:r>
              <w:t xml:space="preserve">Perceptible but not annoying</w:t>
            </w:r>
          </w:p>
        </w:tc>
      </w:tr>
      <w:tr>
        <w:tc>
          <w:tcPr/>
          <w:p>
            <w:pPr>
              <w:pStyle w:val="Compact"/>
            </w:pPr>
            <w:r>
              <w:t xml:space="preserve">70–80</w:t>
            </w:r>
          </w:p>
        </w:tc>
        <w:tc>
          <w:tcPr/>
          <w:p>
            <w:pPr>
              <w:pStyle w:val="Compact"/>
            </w:pPr>
            <w:r>
              <w:t xml:space="preserve">3.6–4.0</w:t>
            </w:r>
          </w:p>
        </w:tc>
        <w:tc>
          <w:tcPr/>
          <w:p>
            <w:pPr>
              <w:pStyle w:val="Compact"/>
            </w:pPr>
            <w:r>
              <w:t xml:space="preserve">Fair</w:t>
            </w:r>
          </w:p>
        </w:tc>
        <w:tc>
          <w:tcPr/>
          <w:p>
            <w:pPr>
              <w:pStyle w:val="Compact"/>
            </w:pPr>
            <w:r>
              <w:t xml:space="preserve">Slightly annoying</w:t>
            </w:r>
          </w:p>
        </w:tc>
      </w:tr>
      <w:tr>
        <w:tc>
          <w:tcPr/>
          <w:p>
            <w:pPr>
              <w:pStyle w:val="Compact"/>
            </w:pPr>
            <w:r>
              <w:t xml:space="preserve">60–70</w:t>
            </w:r>
          </w:p>
        </w:tc>
        <w:tc>
          <w:tcPr/>
          <w:p>
            <w:pPr>
              <w:pStyle w:val="Compact"/>
            </w:pPr>
            <w:r>
              <w:t xml:space="preserve">3.1–3.6</w:t>
            </w:r>
          </w:p>
        </w:tc>
        <w:tc>
          <w:tcPr/>
          <w:p>
            <w:pPr>
              <w:pStyle w:val="Compact"/>
            </w:pPr>
            <w:r>
              <w:t xml:space="preserve">Poor</w:t>
            </w:r>
          </w:p>
        </w:tc>
        <w:tc>
          <w:tcPr/>
          <w:p>
            <w:pPr>
              <w:pStyle w:val="Compact"/>
            </w:pPr>
            <w:r>
              <w:t xml:space="preserve">Annoying</w:t>
            </w:r>
          </w:p>
        </w:tc>
      </w:tr>
      <w:tr>
        <w:tc>
          <w:tcPr/>
          <w:p>
            <w:pPr>
              <w:pStyle w:val="Compact"/>
            </w:pPr>
            <w:r>
              <w:t xml:space="preserve">Below 60</w:t>
            </w:r>
          </w:p>
        </w:tc>
        <w:tc>
          <w:tcPr/>
          <w:p>
            <w:pPr>
              <w:pStyle w:val="Compact"/>
            </w:pPr>
            <w:r>
              <w:t xml:space="preserve">Below 3.1</w:t>
            </w:r>
          </w:p>
        </w:tc>
        <w:tc>
          <w:tcPr/>
          <w:p>
            <w:pPr>
              <w:pStyle w:val="Compact"/>
            </w:pPr>
            <w:r>
              <w:t xml:space="preserve">Bad</w:t>
            </w:r>
          </w:p>
        </w:tc>
        <w:tc>
          <w:tcPr/>
          <w:p>
            <w:pPr>
              <w:pStyle w:val="Compact"/>
            </w:pPr>
            <w:r>
              <w:t xml:space="preserve">Very annoying; many callers abandon</w:t>
            </w:r>
          </w:p>
        </w:tc>
      </w:tr>
    </w:tbl>
    <w:p>
      <w:pPr>
        <w:pStyle w:val="BodyText"/>
      </w:pPr>
      <w:r>
        <w:t xml:space="preserve">The N8NN contact center must sustain MOS above 4.0 consistently across all agent locations. Below 3.6 generates citizen complaints. Below 3.1, calls are abandoned and reported.</w:t>
      </w:r>
    </w:p>
    <w:bookmarkEnd w:id="20"/>
    <w:bookmarkStart w:id="24" w:name="jitter-and-packet-loss"/>
    <w:p>
      <w:pPr>
        <w:pStyle w:val="Heading2"/>
      </w:pPr>
      <w:r>
        <w:t xml:space="preserve">2.3 Jitter and Packet Loss</w:t>
      </w:r>
    </w:p>
    <w:p>
      <w:pPr>
        <w:pStyle w:val="CaptionedFigure"/>
      </w:pPr>
      <w:r>
        <w:drawing>
          <wp:inline>
            <wp:extent cx="5334000" cy="2726266"/>
            <wp:effectExtent b="0" l="0" r="0" t="0"/>
            <wp:docPr descr="Voice Packet Arrival: What Network Conditions Sound Like" title="" id="22" name="Picture"/>
            <a:graphic>
              <a:graphicData uri="http://schemas.openxmlformats.org/drawingml/2006/picture">
                <pic:pic>
                  <pic:nvPicPr>
                    <pic:cNvPr descr="figs/tc-fig-08-packet-jitter.png" id="23" name="Picture"/>
                    <pic:cNvPicPr>
                      <a:picLocks noChangeArrowheads="1" noChangeAspect="1"/>
                    </pic:cNvPicPr>
                  </pic:nvPicPr>
                  <pic:blipFill>
                    <a:blip r:embed="rId21"/>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Voice Packet Arrival: What Network Conditions Sound Like</w:t>
      </w:r>
    </w:p>
    <w:p>
      <w:pPr>
        <w:pStyle w:val="BodyText"/>
      </w:pPr>
      <w:r>
        <w:rPr>
          <w:b/>
          <w:bCs/>
        </w:rPr>
        <w:t xml:space="preserve">Jitter</w:t>
      </w:r>
      <w:r>
        <w:t xml:space="preserve"> </w:t>
      </w:r>
      <w:r>
        <w:t xml:space="preserve">—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pPr>
        <w:pStyle w:val="BodyText"/>
      </w:pPr>
      <w:r>
        <w:rPr>
          <w:b/>
          <w:bCs/>
        </w:rPr>
        <w:t xml:space="preserve">Packet loss</w:t>
      </w:r>
      <w:r>
        <w:t xml:space="preserve"> </w:t>
      </w:r>
      <w:r>
        <w:t xml:space="preserve">above 1% produces audible dropouts. Voice RTP does not retransmit lost packets — they are concealed or skipped. The Opus codec handles occasional single-packet loss gracefully; consecutive losses or rates above 3% produce gaps no concealment algorithm can hide.</w:t>
      </w:r>
    </w:p>
    <w:bookmarkEnd w:id="24"/>
    <w:bookmarkEnd w:id="25"/>
    <w:bookmarkStart w:id="45" w:name="Xe69dcf64720bd173cbba48f84c4f0f805c11880"/>
    <w:p>
      <w:pPr>
        <w:pStyle w:val="Heading1"/>
      </w:pPr>
      <w:r>
        <w:t xml:space="preserve">3. Amazon Connect: Architecture, .com Exception, and Network Dependencies</w:t>
      </w:r>
    </w:p>
    <w:bookmarkStart w:id="29" w:name="platform-overview"/>
    <w:p>
      <w:pPr>
        <w:pStyle w:val="Heading2"/>
      </w:pPr>
      <w:r>
        <w:t xml:space="preserve">3.1 Platform Overview</w:t>
      </w:r>
    </w:p>
    <w:p>
      <w:pPr>
        <w:pStyle w:val="FirstParagraph"/>
      </w:pPr>
      <w:r>
        <w:t xml:space="preserve">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pPr>
        <w:pStyle w:val="CaptionedFigure"/>
      </w:pPr>
      <w:r>
        <w:drawing>
          <wp:inline>
            <wp:extent cx="5334000" cy="2844800"/>
            <wp:effectExtent b="0" l="0" r="0" t="0"/>
            <wp:docPr descr="Amazon Connect: AWS GovCloud .us vs. AWS Commercial .com — The Authorized Exception" title="" id="27" name="Picture"/>
            <a:graphic>
              <a:graphicData uri="http://schemas.openxmlformats.org/drawingml/2006/picture">
                <pic:pic>
                  <pic:nvPicPr>
                    <pic:cNvPr descr="figs/tc-fig-09-aws-exception.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Amazon Connect: AWS GovCloud .us vs. AWS Commercial .com — The Authorized Exception</w:t>
      </w:r>
    </w:p>
    <w:bookmarkEnd w:id="29"/>
    <w:bookmarkStart w:id="30" w:name="X57dc57e6d8d433f201474365cce1ca7682cef30"/>
    <w:p>
      <w:pPr>
        <w:pStyle w:val="Heading2"/>
      </w:pPr>
      <w:r>
        <w:t xml:space="preserve">3.2 The .us vs. .com Decision and the Authorized Exception</w:t>
      </w:r>
    </w:p>
    <w:p>
      <w:pPr>
        <w:pStyle w:val="FirstParagraph"/>
      </w:pPr>
      <w:r>
        <w:t xml:space="preserve">AWS structures its federal cloud offerings differently from Microsoft and Oracle:</w:t>
      </w:r>
    </w:p>
    <w:tbl>
      <w:tblPr>
        <w:tblStyle w:val="Table"/>
        <w:tblW w:type="pct" w:w="5000"/>
        <w:tblLayout w:type="fixed"/>
        <w:tblLook w:firstRow="1" w:lastRow="0" w:firstColumn="0" w:lastColumn="0" w:noHBand="0" w:noVBand="0" w:val="0020"/>
      </w:tblPr>
      <w:tblGrid>
        <w:gridCol w:w="1414"/>
        <w:gridCol w:w="3394"/>
        <w:gridCol w:w="3111"/>
      </w:tblGrid>
      <w:tr>
        <w:trPr>
          <w:tblHeader w:val="on"/>
        </w:trPr>
        <w:tc>
          <w:tcPr/>
          <w:p>
            <w:pPr>
              <w:pStyle w:val="Compact"/>
            </w:pPr>
            <w:r>
              <w:t xml:space="preserve">Provider</w:t>
            </w:r>
          </w:p>
        </w:tc>
        <w:tc>
          <w:tcPr/>
          <w:p>
            <w:pPr>
              <w:pStyle w:val="Compact"/>
            </w:pPr>
            <w:r>
              <w:t xml:space="preserve">Moderate Delivery Model</w:t>
            </w:r>
          </w:p>
        </w:tc>
        <w:tc>
          <w:tcPr/>
          <w:p>
            <w:pPr>
              <w:pStyle w:val="Compact"/>
            </w:pPr>
            <w:r>
              <w:t xml:space="preserve">High / Sovereign Model</w:t>
            </w:r>
          </w:p>
        </w:tc>
      </w:tr>
      <w:tr>
        <w:tc>
          <w:tcPr/>
          <w:p>
            <w:pPr>
              <w:pStyle w:val="Compact"/>
            </w:pPr>
            <w:r>
              <w:t xml:space="preserve">AWS</w:t>
            </w:r>
          </w:p>
        </w:tc>
        <w:tc>
          <w:tcPr/>
          <w:p>
            <w:pPr>
              <w:pStyle w:val="Compact"/>
            </w:pPr>
            <w:r>
              <w:t xml:space="preserve">.us infrastructure (separate government regions)</w:t>
            </w:r>
          </w:p>
        </w:tc>
        <w:tc>
          <w:tcPr/>
          <w:p>
            <w:pPr>
              <w:pStyle w:val="Compact"/>
            </w:pPr>
            <w:r>
              <w:t xml:space="preserve">GovCloud (.gov); physically separate, screened personnel</w:t>
            </w:r>
          </w:p>
        </w:tc>
      </w:tr>
      <w:tr>
        <w:tc>
          <w:tcPr/>
          <w:p>
            <w:pPr>
              <w:pStyle w:val="Compact"/>
            </w:pPr>
            <w:r>
              <w:t xml:space="preserve">Microsoft</w:t>
            </w:r>
          </w:p>
        </w:tc>
        <w:tc>
          <w:tcPr/>
          <w:p>
            <w:pPr>
              <w:pStyle w:val="Compact"/>
            </w:pPr>
            <w:r>
              <w:t xml:space="preserve">Partitioned .com (GCC Moderate on Azure Commercial)</w:t>
            </w:r>
          </w:p>
        </w:tc>
        <w:tc>
          <w:tcPr/>
          <w:p>
            <w:pPr>
              <w:pStyle w:val="Compact"/>
            </w:pPr>
            <w:r>
              <w:t xml:space="preserve">GCC High / DoD on physically separate infrastructure</w:t>
            </w:r>
          </w:p>
        </w:tc>
      </w:tr>
      <w:tr>
        <w:tc>
          <w:tcPr/>
          <w:p>
            <w:pPr>
              <w:pStyle w:val="Compact"/>
            </w:pPr>
            <w:r>
              <w:t xml:space="preserve">Oracle</w:t>
            </w:r>
          </w:p>
        </w:tc>
        <w:tc>
          <w:tcPr/>
          <w:p>
            <w:pPr>
              <w:pStyle w:val="Compact"/>
            </w:pPr>
            <w:r>
              <w:t xml:space="preserve">Partitioned .com (OCI Moderate)</w:t>
            </w:r>
          </w:p>
        </w:tc>
        <w:tc>
          <w:tcPr/>
          <w:p>
            <w:pPr>
              <w:pStyle w:val="Compact"/>
            </w:pPr>
            <w:r>
              <w:t xml:space="preserve">OCI Government Cloud (separate)</w:t>
            </w:r>
          </w:p>
        </w:tc>
      </w:tr>
    </w:tbl>
    <w:p>
      <w:pPr>
        <w:pStyle w:val="BodyText"/>
      </w:pPr>
      <w:r>
        <w:t xml:space="preserve">Amazon Connect is available on the AWS .us infrastructure. At the time the agency evaluated platforms for the N8NN contact center, the .us version presented operational capability gaps relative to the commercial (.com) version in three categories:</w:t>
      </w:r>
    </w:p>
    <w:p>
      <w:pPr>
        <w:pStyle w:val="Compact"/>
        <w:numPr>
          <w:ilvl w:val="0"/>
          <w:numId w:val="1002"/>
        </w:numPr>
      </w:pPr>
      <w:r>
        <w:rPr>
          <w:b/>
          <w:bCs/>
        </w:rPr>
        <w:t xml:space="preserve">AI-assisted contact center capabilities:</w:t>
      </w:r>
      <w:r>
        <w:t xml:space="preserve"> </w:t>
      </w:r>
      <w:r>
        <w:t xml:space="preserve">Contact Lens (real-time speech transcription, sentiment analysis, supervisor alerting) and Amazon Q agent assist availability lagged .us at time of evaluation.</w:t>
      </w:r>
    </w:p>
    <w:p>
      <w:pPr>
        <w:pStyle w:val="Compact"/>
        <w:numPr>
          <w:ilvl w:val="0"/>
          <w:numId w:val="1002"/>
        </w:numPr>
      </w:pPr>
      <w:r>
        <w:rPr>
          <w:b/>
          <w:bCs/>
        </w:rPr>
        <w:t xml:space="preserve">Third-party integration ecosystem:</w:t>
      </w:r>
      <w:r>
        <w:t xml:space="preserve"> </w:t>
      </w:r>
      <w:r>
        <w:t xml:space="preserve">AWS Marketplace integrations for CRM connectors, workforce management, and reporting were predominantly certified for commercial Connect.</w:t>
      </w:r>
    </w:p>
    <w:p>
      <w:pPr>
        <w:pStyle w:val="Compact"/>
        <w:numPr>
          <w:ilvl w:val="0"/>
          <w:numId w:val="1002"/>
        </w:numPr>
      </w:pPr>
      <w:r>
        <w:rPr>
          <w:b/>
          <w:bCs/>
        </w:rPr>
        <w:t xml:space="preserve">Operational tooling and support maturity:</w:t>
      </w:r>
      <w:r>
        <w:t xml:space="preserve"> </w:t>
      </w:r>
      <w:r>
        <w:t xml:space="preserve">AWS support procedures and feature release cadence in .us lagged commercial, creating a growing capability gap.</w:t>
      </w:r>
    </w:p>
    <w:p>
      <w:pPr>
        <w:pStyle w:val="BlockText"/>
      </w:pPr>
      <w:r>
        <w:rPr>
          <w:b/>
          <w:bCs/>
        </w:rPr>
        <w:t xml:space="preserve">Current evaluation required before any new agency deployment.</w:t>
      </w:r>
      <w:r>
        <w:t xml:space="preserve"> </w:t>
      </w:r>
      <w:r>
        <w:t xml:space="preserve">AWS continuously updates its .us infrastructure. The capability gaps identified at the time of this agency’s evaluation may have closed. Any agency evaluating Amazon Connect for a new deployment</w:t>
      </w:r>
      <w:r>
        <w:t xml:space="preserve"> </w:t>
      </w:r>
      <w:r>
        <w:rPr>
          <w:b/>
          <w:bCs/>
        </w:rPr>
        <w:t xml:space="preserve">must conduct a current-state evaluation of .us Connect against its specific requirements</w:t>
      </w:r>
      <w:r>
        <w:t xml:space="preserve"> </w:t>
      </w:r>
      <w:r>
        <w:t xml:space="preserve">before concluding that a .com exception is necessary.</w:t>
      </w:r>
    </w:p>
    <w:bookmarkEnd w:id="30"/>
    <w:bookmarkStart w:id="31" w:name="Xde52b6885aeff57b147d7451abbc6886e45847a"/>
    <w:p>
      <w:pPr>
        <w:pStyle w:val="Heading2"/>
      </w:pPr>
      <w:r>
        <w:t xml:space="preserve">3.3 What the .com Exception Means Structurally</w:t>
      </w:r>
    </w:p>
    <w:p>
      <w:pPr>
        <w:pStyle w:val="FirstParagraph"/>
      </w:pPr>
      <w:r>
        <w:t xml:space="preserve">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pPr>
        <w:pStyle w:val="BodyText"/>
      </w:pPr>
      <w:r>
        <w:t xml:space="preserve">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bookmarkEnd w:id="31"/>
    <w:bookmarkStart w:id="32" w:name="the-call-path-from-citizen-to-agent"/>
    <w:p>
      <w:pPr>
        <w:pStyle w:val="Heading2"/>
      </w:pPr>
      <w:r>
        <w:t xml:space="preserve">3.4 The Call Path: From Citizen to Agent</w:t>
      </w:r>
    </w:p>
    <w:p>
      <w:pPr>
        <w:pStyle w:val="Compact"/>
        <w:numPr>
          <w:ilvl w:val="0"/>
          <w:numId w:val="1003"/>
        </w:numPr>
      </w:pPr>
      <w:r>
        <w:t xml:space="preserve">Citizen dials the N8NN from any PSTN telephone</w:t>
      </w:r>
    </w:p>
    <w:p>
      <w:pPr>
        <w:pStyle w:val="Compact"/>
        <w:numPr>
          <w:ilvl w:val="0"/>
          <w:numId w:val="1003"/>
        </w:numPr>
      </w:pPr>
      <w:r>
        <w:t xml:space="preserve">Call terminates at an AWS voice connector into Amazon Connect on AWS commercial</w:t>
      </w:r>
    </w:p>
    <w:p>
      <w:pPr>
        <w:pStyle w:val="Compact"/>
        <w:numPr>
          <w:ilvl w:val="0"/>
          <w:numId w:val="1003"/>
        </w:numPr>
      </w:pPr>
      <w:r>
        <w:t xml:space="preserve">Contact flow answers, runs IVR, and routes to a queue</w:t>
      </w:r>
    </w:p>
    <w:p>
      <w:pPr>
        <w:pStyle w:val="Compact"/>
        <w:numPr>
          <w:ilvl w:val="0"/>
          <w:numId w:val="1003"/>
        </w:numPr>
      </w:pPr>
      <w:r>
        <w:t xml:space="preserve">Agent selected; Connect establishes WebRTC session to the agent’s browser</w:t>
      </w:r>
    </w:p>
    <w:p>
      <w:pPr>
        <w:pStyle w:val="Compact"/>
        <w:numPr>
          <w:ilvl w:val="0"/>
          <w:numId w:val="1003"/>
        </w:numPr>
      </w:pPr>
      <w:r>
        <w:t xml:space="preserve">Voice travels: agent desktop → agency network → internet → AWS .com → Amazon Connect → citizen</w:t>
      </w:r>
    </w:p>
    <w:p>
      <w:pPr>
        <w:pStyle w:val="FirstParagraph"/>
      </w:pPr>
      <w:r>
        <w:t xml:space="preserve">Steps 1–3 happen inside AWS commercial and are unaffected by the agency’s network. Step 5 — the agent-to-cloud path — is determined entirely by the agency’s network architecture and is where G.114 compliance is won or lost.</w:t>
      </w:r>
    </w:p>
    <w:bookmarkEnd w:id="32"/>
    <w:bookmarkStart w:id="39" w:name="the-mpls-hairpin-applied-to-the-n8nn"/>
    <w:p>
      <w:pPr>
        <w:pStyle w:val="Heading2"/>
      </w:pPr>
      <w:r>
        <w:t xml:space="preserve">3.5 The MPLS Hairpin Applied to the N8NN</w:t>
      </w:r>
    </w:p>
    <w:p>
      <w:pPr>
        <w:pStyle w:val="CaptionedFigure"/>
      </w:pPr>
      <w:r>
        <w:drawing>
          <wp:inline>
            <wp:extent cx="5334000" cy="2933700"/>
            <wp:effectExtent b="0" l="0" r="0" t="0"/>
            <wp:docPr descr="MPLS Hairpin vs. Local Breakout: Before and After" title="" id="34" name="Picture"/>
            <a:graphic>
              <a:graphicData uri="http://schemas.openxmlformats.org/drawingml/2006/picture">
                <pic:pic>
                  <pic:nvPicPr>
                    <pic:cNvPr descr="figs/tc-fig-02-mpls-vs-breakout.png" id="35" name="Picture"/>
                    <pic:cNvPicPr>
                      <a:picLocks noChangeArrowheads="1" noChangeAspect="1"/>
                    </pic:cNvPicPr>
                  </pic:nvPicPr>
                  <pic:blipFill>
                    <a:blip r:embed="rId33"/>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MPLS Hairpin vs. Local Breakout: Before and After</w:t>
      </w:r>
    </w:p>
    <w:p>
      <w:pPr>
        <w:pStyle w:val="BodyText"/>
      </w:pPr>
      <w:r>
        <w:t xml:space="preserve">An agent in Portland whose network routes all internet traffic through Washington before egress reaches AWS us-west-2 as follows:</w:t>
      </w:r>
    </w:p>
    <w:p>
      <w:pPr>
        <w:pStyle w:val="BodyText"/>
      </w:pPr>
      <w:r>
        <w:rPr>
          <w:b/>
          <w:bCs/>
        </w:rPr>
        <w:t xml:space="preserve">Portland → MPLS → Washington → internet → AWS us-west-2 (.com) → Amazon Connect</w:t>
      </w:r>
    </w:p>
    <w:p>
      <w:pPr>
        <w:pStyle w:val="BodyText"/>
      </w:pPr>
      <w:r>
        <w:t xml:space="preserve">One-way network latency: 80–110 ms. G.114 network budget: 75 ms.</w:t>
      </w:r>
      <w:r>
        <w:t xml:space="preserve"> </w:t>
      </w:r>
      <w:r>
        <w:rPr>
          <w:b/>
          <w:bCs/>
        </w:rPr>
        <w:t xml:space="preserve">Over spec.</w:t>
      </w:r>
      <w:r>
        <w:t xml:space="preserve"> </w:t>
      </w:r>
      <w:r>
        <w:t xml:space="preserve">The citizen hears the degradation.</w:t>
      </w:r>
    </w:p>
    <w:p>
      <w:pPr>
        <w:pStyle w:val="BodyText"/>
      </w:pPr>
      <w:r>
        <w:t xml:space="preserve">The same agent with local internet breakout:</w:t>
      </w:r>
    </w:p>
    <w:p>
      <w:pPr>
        <w:pStyle w:val="BodyText"/>
      </w:pPr>
      <w:r>
        <w:rPr>
          <w:b/>
          <w:bCs/>
        </w:rPr>
        <w:t xml:space="preserve">Portland → local DIA → AWS us-west-2 (.com) → Amazon Connect</w:t>
      </w:r>
    </w:p>
    <w:p>
      <w:pPr>
        <w:pStyle w:val="BodyText"/>
      </w:pPr>
      <w:r>
        <w:t xml:space="preserve">One-way network latency: 5–15 ms. Portland and us-west-2 are geographically adjacent. This is the physics minimum for this path, and it is far within budget.</w:t>
      </w:r>
    </w:p>
    <w:p>
      <w:pPr>
        <w:pStyle w:val="CaptionedFigure"/>
      </w:pPr>
      <w:r>
        <w:drawing>
          <wp:inline>
            <wp:extent cx="5334000" cy="2726266"/>
            <wp:effectExtent b="0" l="0" r="0" t="0"/>
            <wp:docPr descr="WebRTC Voice Path: DSCP EF from Agent Desktop to Amazon Connect" title="" id="37" name="Picture"/>
            <a:graphic>
              <a:graphicData uri="http://schemas.openxmlformats.org/drawingml/2006/picture">
                <pic:pic>
                  <pic:nvPicPr>
                    <pic:cNvPr descr="figs/tc-fig-10-webrtc-path.png" id="38" name="Picture"/>
                    <pic:cNvPicPr>
                      <a:picLocks noChangeArrowheads="1" noChangeAspect="1"/>
                    </pic:cNvPicPr>
                  </pic:nvPicPr>
                  <pic:blipFill>
                    <a:blip r:embed="rId3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WebRTC Voice Path: DSCP EF from Agent Desktop to Amazon Connect</w:t>
      </w:r>
    </w:p>
    <w:bookmarkEnd w:id="39"/>
    <w:bookmarkStart w:id="40" w:name="webrtc-network-requirements"/>
    <w:p>
      <w:pPr>
        <w:pStyle w:val="Heading2"/>
      </w:pPr>
      <w:r>
        <w:t xml:space="preserve">3.6 WebRTC Network Requirements</w:t>
      </w:r>
    </w:p>
    <w:tbl>
      <w:tblPr>
        <w:tblStyle w:val="Table"/>
        <w:tblW w:type="pct" w:w="5000"/>
        <w:tblLayout w:type="fixed"/>
        <w:tblLook w:firstRow="1" w:lastRow="0" w:firstColumn="0" w:lastColumn="0" w:noHBand="0" w:noVBand="0" w:val="0020"/>
      </w:tblPr>
      <w:tblGrid>
        <w:gridCol w:w="2810"/>
        <w:gridCol w:w="3321"/>
        <w:gridCol w:w="1788"/>
      </w:tblGrid>
      <w:tr>
        <w:trPr>
          <w:tblHeader w:val="on"/>
        </w:trPr>
        <w:tc>
          <w:tcPr/>
          <w:p>
            <w:pPr>
              <w:pStyle w:val="Compact"/>
            </w:pPr>
            <w:r>
              <w:t xml:space="preserve">Parameter</w:t>
            </w:r>
          </w:p>
        </w:tc>
        <w:tc>
          <w:tcPr/>
          <w:p>
            <w:pPr>
              <w:pStyle w:val="Compact"/>
            </w:pPr>
            <w:r>
              <w:t xml:space="preserve">Requirement</w:t>
            </w:r>
          </w:p>
        </w:tc>
        <w:tc>
          <w:tcPr/>
          <w:p>
            <w:pPr>
              <w:pStyle w:val="Compact"/>
            </w:pPr>
            <w:r>
              <w:t xml:space="preserve">Notes</w:t>
            </w:r>
          </w:p>
        </w:tc>
      </w:tr>
      <w:tr>
        <w:tc>
          <w:tcPr/>
          <w:p>
            <w:pPr>
              <w:pStyle w:val="Compact"/>
            </w:pPr>
            <w:r>
              <w:t xml:space="preserve">One-way delay</w:t>
            </w:r>
          </w:p>
        </w:tc>
        <w:tc>
          <w:tcPr/>
          <w:p>
            <w:pPr>
              <w:pStyle w:val="Compact"/>
            </w:pPr>
            <w:r>
              <w:t xml:space="preserve">≤75 ms network budget</w:t>
            </w:r>
          </w:p>
        </w:tc>
        <w:tc>
          <w:tcPr/>
          <w:p>
            <w:pPr>
              <w:pStyle w:val="Compact"/>
            </w:pPr>
            <w:r>
              <w:t xml:space="preserve">G.114 limit minus codec and jitter buffer overhead</w:t>
            </w:r>
          </w:p>
        </w:tc>
      </w:tr>
      <w:tr>
        <w:tc>
          <w:tcPr/>
          <w:p>
            <w:pPr>
              <w:pStyle w:val="Compact"/>
            </w:pPr>
            <w:r>
              <w:t xml:space="preserve">Jitter</w:t>
            </w:r>
          </w:p>
        </w:tc>
        <w:tc>
          <w:tcPr/>
          <w:p>
            <w:pPr>
              <w:pStyle w:val="Compact"/>
            </w:pPr>
            <w:r>
              <w:t xml:space="preserve">&lt;30 ms</w:t>
            </w:r>
          </w:p>
        </w:tc>
        <w:tc>
          <w:tcPr/>
          <w:p>
            <w:pPr>
              <w:pStyle w:val="Compact"/>
            </w:pPr>
            <w:r>
              <w:t xml:space="preserve">Above this, buffer compensation breaches delay budget</w:t>
            </w:r>
          </w:p>
        </w:tc>
      </w:tr>
      <w:tr>
        <w:tc>
          <w:tcPr/>
          <w:p>
            <w:pPr>
              <w:pStyle w:val="Compact"/>
            </w:pPr>
            <w:r>
              <w:t xml:space="preserve">Packet loss</w:t>
            </w:r>
          </w:p>
        </w:tc>
        <w:tc>
          <w:tcPr/>
          <w:p>
            <w:pPr>
              <w:pStyle w:val="Compact"/>
            </w:pPr>
            <w:r>
              <w:t xml:space="preserve">&lt;1%</w:t>
            </w:r>
          </w:p>
        </w:tc>
        <w:tc>
          <w:tcPr/>
          <w:p>
            <w:pPr>
              <w:pStyle w:val="Compact"/>
            </w:pPr>
            <w:r>
              <w:t xml:space="preserve">Above 1% audible; above 3% unintelligible</w:t>
            </w:r>
          </w:p>
        </w:tc>
      </w:tr>
      <w:tr>
        <w:tc>
          <w:tcPr/>
          <w:p>
            <w:pPr>
              <w:pStyle w:val="Compact"/>
            </w:pPr>
            <w:r>
              <w:t xml:space="preserve">Bandwidth per agent</w:t>
            </w:r>
          </w:p>
        </w:tc>
        <w:tc>
          <w:tcPr/>
          <w:p>
            <w:pPr>
              <w:pStyle w:val="Compact"/>
            </w:pPr>
            <w:r>
              <w:t xml:space="preserve">~100 Kbps</w:t>
            </w:r>
          </w:p>
        </w:tc>
        <w:tc>
          <w:tcPr/>
          <w:p>
            <w:pPr>
              <w:pStyle w:val="Compact"/>
            </w:pPr>
            <w:r>
              <w:t xml:space="preserve">Opus codec including RTP overhead</w:t>
            </w:r>
          </w:p>
        </w:tc>
      </w:tr>
      <w:tr>
        <w:tc>
          <w:tcPr/>
          <w:p>
            <w:pPr>
              <w:pStyle w:val="Compact"/>
            </w:pPr>
            <w:r>
              <w:t xml:space="preserve">Protocol</w:t>
            </w:r>
          </w:p>
        </w:tc>
        <w:tc>
          <w:tcPr/>
          <w:p>
            <w:pPr>
              <w:pStyle w:val="Compact"/>
            </w:pPr>
            <w:r>
              <w:t xml:space="preserve">RTP/SRTP over UDP</w:t>
            </w:r>
          </w:p>
        </w:tc>
        <w:tc>
          <w:tcPr/>
          <w:p>
            <w:pPr>
              <w:pStyle w:val="Compact"/>
            </w:pPr>
            <w:r>
              <w:t xml:space="preserve">TCP fallback degrades quality; avoid</w:t>
            </w:r>
          </w:p>
        </w:tc>
      </w:tr>
      <w:tr>
        <w:tc>
          <w:tcPr/>
          <w:p>
            <w:pPr>
              <w:pStyle w:val="Compact"/>
            </w:pPr>
            <w:r>
              <w:t xml:space="preserve">DSCP marking</w:t>
            </w:r>
          </w:p>
        </w:tc>
        <w:tc>
          <w:tcPr/>
          <w:p>
            <w:pPr>
              <w:pStyle w:val="Compact"/>
            </w:pPr>
            <w:r>
              <w:t xml:space="preserve">EF (46)</w:t>
            </w:r>
          </w:p>
        </w:tc>
        <w:tc>
          <w:tcPr/>
          <w:p>
            <w:pPr>
              <w:pStyle w:val="Compact"/>
            </w:pPr>
            <w:r>
              <w:t xml:space="preserve">SD-WAN must honor, not remark</w:t>
            </w:r>
          </w:p>
        </w:tc>
      </w:tr>
      <w:tr>
        <w:tc>
          <w:tcPr/>
          <w:p>
            <w:pPr>
              <w:pStyle w:val="Compact"/>
            </w:pPr>
            <w:r>
              <w:t xml:space="preserve">NAT traversal</w:t>
            </w:r>
          </w:p>
        </w:tc>
        <w:tc>
          <w:tcPr/>
          <w:p>
            <w:pPr>
              <w:pStyle w:val="Compact"/>
            </w:pPr>
            <w:r>
              <w:t xml:space="preserve">STUN/TURN</w:t>
            </w:r>
          </w:p>
        </w:tc>
        <w:tc>
          <w:tcPr/>
          <w:p>
            <w:pPr>
              <w:pStyle w:val="Compact"/>
            </w:pPr>
            <w:r>
              <w:t xml:space="preserve">Direct UDP path preferred; TURN relay adds latency</w:t>
            </w:r>
          </w:p>
        </w:tc>
      </w:tr>
      <w:tr>
        <w:tc>
          <w:tcPr/>
          <w:p>
            <w:pPr>
              <w:pStyle w:val="Compact"/>
            </w:pPr>
            <w:r>
              <w:t xml:space="preserve">Firewall</w:t>
            </w:r>
          </w:p>
        </w:tc>
        <w:tc>
          <w:tcPr/>
          <w:p>
            <w:pPr>
              <w:pStyle w:val="Compact"/>
            </w:pPr>
            <w:r>
              <w:t xml:space="preserve">UDP 3478, 443 outbound</w:t>
            </w:r>
          </w:p>
        </w:tc>
        <w:tc>
          <w:tcPr/>
          <w:p>
            <w:pPr>
              <w:pStyle w:val="Compact"/>
            </w:pPr>
            <w:r>
              <w:t xml:space="preserve">Must reach AWS .com endpoints without hairpin inspection delay</w:t>
            </w:r>
          </w:p>
        </w:tc>
      </w:tr>
    </w:tbl>
    <w:bookmarkEnd w:id="40"/>
    <w:bookmarkStart w:id="44" w:name="Xbed96861338ac2e20a810f098fa52474470f4ce"/>
    <w:p>
      <w:pPr>
        <w:pStyle w:val="Heading2"/>
      </w:pPr>
      <w:r>
        <w:t xml:space="preserve">3.7 Asymmetric Routing: The Session Killer Latency Does Not Explain</w:t>
      </w:r>
    </w:p>
    <w:p>
      <w:pPr>
        <w:pStyle w:val="CaptionedFigure"/>
      </w:pPr>
      <w:r>
        <w:drawing>
          <wp:inline>
            <wp:extent cx="5334000" cy="2844800"/>
            <wp:effectExtent b="0" l="0" r="0" t="0"/>
            <wp:docPr descr="Asymmetric Routing: The Session Killer That Looks Like Configuration Error" title="" id="42" name="Picture"/>
            <a:graphic>
              <a:graphicData uri="http://schemas.openxmlformats.org/drawingml/2006/picture">
                <pic:pic>
                  <pic:nvPicPr>
                    <pic:cNvPr descr="figs/tc-fig-11-asymmetric-routing.png" id="43" name="Picture"/>
                    <pic:cNvPicPr>
                      <a:picLocks noChangeArrowheads="1" noChangeAspect="1"/>
                    </pic:cNvPicPr>
                  </pic:nvPicPr>
                  <pic:blipFill>
                    <a:blip r:embed="rId4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Asymmetric Routing: The Session Killer That Looks Like Configuration Error</w:t>
      </w:r>
    </w:p>
    <w:p>
      <w:pPr>
        <w:pStyle w:val="BodyText"/>
      </w:pPr>
      <w:r>
        <w:t xml:space="preserve">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pPr>
        <w:pStyle w:val="BodyText"/>
      </w:pPr>
      <w:r>
        <w:rPr>
          <w:b/>
          <w:bCs/>
        </w:rPr>
        <w:t xml:space="preserve">For Amazon Connect WebRTC, asymmetric routing means the TLS handshake that establishes the agent’s voice session may fail completely.</w:t>
      </w:r>
      <w:r>
        <w:t xml:space="preserve"> </w:t>
      </w:r>
      <w:r>
        <w:t xml:space="preserve">The HTTPS session setup for the Contact Control Panel is TCP-based. If the request goes through one stateful device and the response through a different one, the session fails before audio is ever established.</w:t>
      </w:r>
    </w:p>
    <w:p>
      <w:pPr>
        <w:pStyle w:val="BlockText"/>
      </w:pPr>
      <w:r>
        <w:rPr>
          <w:b/>
          <w:bCs/>
        </w:rPr>
        <w:t xml:space="preserve">Asymmetric routing produces call failures that look like configuration errors.</w:t>
      </w:r>
      <w:r>
        <w:t xml:space="preserve"> </w:t>
      </w:r>
      <w:r>
        <w:t xml:space="preserve">An agent whose Amazon Connect sessions fail to establish will report</w:t>
      </w:r>
      <w:r>
        <w:t xml:space="preserve"> </w:t>
      </w:r>
      <w:r>
        <w:t xml:space="preserve">“the phone system is broken.”</w:t>
      </w:r>
      <w:r>
        <w:t xml:space="preserve"> </w:t>
      </w:r>
      <w:r>
        <w:t xml:space="preserve">A Teams Phone call that fails at SIP signaling will be attributed to</w:t>
      </w:r>
      <w:r>
        <w:t xml:space="preserve"> </w:t>
      </w:r>
      <w:r>
        <w:t xml:space="preserve">“SBC misconfiguration.”</w:t>
      </w:r>
      <w:r>
        <w:t xml:space="preserve"> </w:t>
      </w:r>
      <w:r>
        <w:t xml:space="preserve">The diagnostic path requires capturing TCP session establishment and verifying that both directions traverse the same stateful devices.</w:t>
      </w:r>
    </w:p>
    <w:p>
      <w:pPr>
        <w:pStyle w:val="FirstParagraph"/>
      </w:pPr>
      <w:r>
        <w:rPr>
          <w:b/>
          <w:bCs/>
        </w:rPr>
        <w:t xml:space="preserve">SD-WAN overlay eliminates asymmetric routing as a failure mode.</w:t>
      </w:r>
      <w:r>
        <w:t xml:space="preserve"> </w:t>
      </w:r>
      <w:r>
        <w:t xml:space="preserve">The SD-WAN tunnel is established between two edge devices as a single logical connection. Stateful inspection happens at the tunnel endpoint, which sees both directions. Asymmetric physical routing below the tunnel is structurally invisible to the application.</w:t>
      </w:r>
    </w:p>
    <w:bookmarkEnd w:id="44"/>
    <w:bookmarkEnd w:id="45"/>
    <w:bookmarkStart w:id="62" w:name="X839c1c655003bd3897e8b5851a50b9508e76f4d"/>
    <w:p>
      <w:pPr>
        <w:pStyle w:val="Heading1"/>
      </w:pPr>
      <w:r>
        <w:t xml:space="preserve">4. Microsoft Teams Phone: Replacing the Legacy PBX in GCC Moderate</w:t>
      </w:r>
    </w:p>
    <w:bookmarkStart w:id="49" w:name="what-teams-phone-is"/>
    <w:p>
      <w:pPr>
        <w:pStyle w:val="Heading2"/>
      </w:pPr>
      <w:r>
        <w:t xml:space="preserve">4.1 What Teams Phone Is</w:t>
      </w:r>
    </w:p>
    <w:p>
      <w:pPr>
        <w:pStyle w:val="FirstParagraph"/>
      </w:pPr>
      <w:r>
        <w:t xml:space="preserve">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w:t>
      </w:r>
      <w:r>
        <w:t xml:space="preserve"> </w:t>
      </w:r>
      <w:r>
        <w:rPr>
          <w:b/>
          <w:bCs/>
        </w:rPr>
        <w:t xml:space="preserve">Fixing the network for Teams meetings fixes it for Teams Phone simultaneously.</w:t>
      </w:r>
    </w:p>
    <w:p>
      <w:pPr>
        <w:pStyle w:val="CaptionedFigure"/>
      </w:pPr>
      <w:r>
        <w:drawing>
          <wp:inline>
            <wp:extent cx="5334000" cy="3000375"/>
            <wp:effectExtent b="0" l="0" r="0" t="0"/>
            <wp:docPr descr="Teams Phone: the cloud PBX inside GCC Moderate" title="" id="47" name="Picture"/>
            <a:graphic>
              <a:graphicData uri="http://schemas.openxmlformats.org/drawingml/2006/picture">
                <pic:pic>
                  <pic:nvPicPr>
                    <pic:cNvPr descr="figs/tc-fig-15-teams-phone-gcc.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Teams Phone: the cloud PBX inside GCC Moderate</w:t>
      </w:r>
    </w:p>
    <w:bookmarkEnd w:id="49"/>
    <w:bookmarkStart w:id="53" w:name="X6ece0fcf0855462989a3ddd91807ca0d93f5e19"/>
    <w:p>
      <w:pPr>
        <w:pStyle w:val="Heading2"/>
      </w:pPr>
      <w:r>
        <w:t xml:space="preserve">4.2 PSTN Connectivity: Direct Routing and the SBC</w:t>
      </w:r>
    </w:p>
    <w:p>
      <w:pPr>
        <w:pStyle w:val="CaptionedFigure"/>
      </w:pPr>
      <w:r>
        <w:drawing>
          <wp:inline>
            <wp:extent cx="5334000" cy="3000375"/>
            <wp:effectExtent b="0" l="0" r="0" t="0"/>
            <wp:docPr descr="PSTN connectivity: Calling Plans, Direct Routing, and the SBC decision" title="" id="51" name="Picture"/>
            <a:graphic>
              <a:graphicData uri="http://schemas.openxmlformats.org/drawingml/2006/picture">
                <pic:pic>
                  <pic:nvPicPr>
                    <pic:cNvPr descr="figs/tc-fig-16-pstn-sbc-options.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PSTN connectivity: Calling Plans, Direct Routing, and the SBC decision</w:t>
      </w:r>
    </w:p>
    <w:p>
      <w:pPr>
        <w:pStyle w:val="BodyText"/>
      </w:pPr>
      <w:r>
        <w:t xml:space="preserve">Connecting Teams Phone to the PSTN requires one of two approaches:</w:t>
      </w:r>
    </w:p>
    <w:p>
      <w:pPr>
        <w:pStyle w:val="BodyText"/>
      </w:pPr>
      <w:r>
        <w:rPr>
          <w:b/>
          <w:bCs/>
        </w:rPr>
        <w:t xml:space="preserve">Microsoft Calling Plans</w:t>
      </w:r>
      <w:r>
        <w:t xml:space="preserve"> </w:t>
      </w:r>
      <w:r>
        <w:t xml:space="preserve">— Microsoft provides PSTN connectivity as a licensed add-on. Availability in GCC Moderate should be confirmed for the agency’s specific geographic footprint and number types before committing to this path.</w:t>
      </w:r>
    </w:p>
    <w:p>
      <w:pPr>
        <w:pStyle w:val="BodyText"/>
      </w:pPr>
      <w:r>
        <w:rPr>
          <w:b/>
          <w:bCs/>
        </w:rPr>
        <w:t xml:space="preserve">Direct Routing</w:t>
      </w:r>
      <w:r>
        <w:t xml:space="preserve"> </w:t>
      </w:r>
      <w:r>
        <w:t xml:space="preserve">—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pPr>
        <w:pStyle w:val="BlockText"/>
      </w:pPr>
      <w:r>
        <w:rPr>
          <w:b/>
          <w:bCs/>
        </w:rPr>
        <w:t xml:space="preserve">SBC deployment guidance:</w:t>
      </w:r>
      <w:r>
        <w:t xml:space="preserve"> </w:t>
      </w:r>
      <w:r>
        <w:t xml:space="preserve">Two deployment models are viable.</w:t>
      </w:r>
      <w:r>
        <w:t xml:space="preserve"> </w:t>
      </w:r>
      <w:r>
        <w:rPr>
          <w:b/>
          <w:bCs/>
        </w:rPr>
        <w:t xml:space="preserve">On-premises SBC:</w:t>
      </w:r>
      <w:r>
        <w:t xml:space="preserve"> </w:t>
      </w:r>
      <w:r>
        <w:t xml:space="preserve">Deployed at the Washington data center. All PSTN traffic from any agent location hairpins through the SBC. Familiar operational model; creates a single point of failure.</w:t>
      </w:r>
      <w:r>
        <w:t xml:space="preserve"> </w:t>
      </w:r>
      <w:r>
        <w:rPr>
          <w:b/>
          <w:bCs/>
        </w:rPr>
        <w:t xml:space="preserve">Cloud SBC (hosted by SBC vendor):</w:t>
      </w:r>
      <w:r>
        <w:t xml:space="preserve"> </w:t>
      </w:r>
      <w:r>
        <w:t xml:space="preserve">Runs in the vendor’s FedRAMP-authorized cloud, geographically distributed, with multiple PoPs. Removes the single point of failure.</w:t>
      </w:r>
      <w:r>
        <w:t xml:space="preserve"> </w:t>
      </w:r>
      <w:r>
        <w:rPr>
          <w:b/>
          <w:bCs/>
        </w:rPr>
        <w:t xml:space="preserve">The cloud SBC used with a FedRAMP Moderate system must itself hold a FedRAMP Moderate or High authorization</w:t>
      </w:r>
      <w:r>
        <w:t xml:space="preserve"> </w:t>
      </w:r>
      <w:r>
        <w:t xml:space="preserve">— confirm before procurement.</w:t>
      </w:r>
    </w:p>
    <w:bookmarkEnd w:id="53"/>
    <w:bookmarkStart w:id="60" w:name="e911-federal-legal-requirements"/>
    <w:p>
      <w:pPr>
        <w:pStyle w:val="Heading2"/>
      </w:pPr>
      <w:r>
        <w:t xml:space="preserve">4.3 E911: Federal Legal Requirements</w:t>
      </w:r>
    </w:p>
    <w:p>
      <w:pPr>
        <w:pStyle w:val="CaptionedFigure"/>
      </w:pPr>
      <w:r>
        <w:drawing>
          <wp:inline>
            <wp:extent cx="5334000" cy="2755900"/>
            <wp:effectExtent b="0" l="0" r="0" t="0"/>
            <wp:docPr descr="E911 Compliance and Teams Phone GCC Boundary" title="" id="55" name="Picture"/>
            <a:graphic>
              <a:graphicData uri="http://schemas.openxmlformats.org/drawingml/2006/picture">
                <pic:pic>
                  <pic:nvPicPr>
                    <pic:cNvPr descr="figs/tc-fig-06-e911-boundary.png" id="56" name="Picture"/>
                    <pic:cNvPicPr>
                      <a:picLocks noChangeArrowheads="1" noChangeAspect="1"/>
                    </pic:cNvPicPr>
                  </pic:nvPicPr>
                  <pic:blipFill>
                    <a:blip r:embed="rId54"/>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E911 Compliance and Teams Phone GCC Boundary</w:t>
      </w:r>
    </w:p>
    <w:p>
      <w:pPr>
        <w:pStyle w:val="BodyText"/>
      </w:pPr>
      <w:r>
        <w:t xml:space="preserve">Two federal laws impose specific requirements on any multi-line telephone system, including cloud PBX:</w:t>
      </w:r>
    </w:p>
    <w:p>
      <w:pPr>
        <w:pStyle w:val="BodyText"/>
      </w:pPr>
      <w:r>
        <w:rPr>
          <w:b/>
          <w:bCs/>
        </w:rPr>
        <w:t xml:space="preserve">Kari’s Law (2018):</w:t>
      </w:r>
      <w:r>
        <w:t xml:space="preserve"> </w:t>
      </w:r>
      <w:r>
        <w:t xml:space="preserve">Users must be able to dial 911 directly without dialing an access code or prefix. A notification must be sent to a central point when 911 is dialed. Teams Phone satisfies both requirements when emergency calling policies are correctly configured.</w:t>
      </w:r>
    </w:p>
    <w:p>
      <w:pPr>
        <w:pStyle w:val="BodyText"/>
      </w:pPr>
      <w:r>
        <w:rPr>
          <w:b/>
          <w:bCs/>
        </w:rPr>
        <w:t xml:space="preserve">Ray Baum’s Act (2018):</w:t>
      </w:r>
      <w:r>
        <w:t xml:space="preserve"> </w:t>
      </w:r>
      <w:r>
        <w:t xml:space="preserve">The</w:t>
      </w:r>
      <w:r>
        <w:t xml:space="preserve"> </w:t>
      </w:r>
      <w:r>
        <w:t xml:space="preserve">“dispatchable location”</w:t>
      </w:r>
      <w:r>
        <w:t xml:space="preserve"> </w:t>
      </w:r>
      <w:r>
        <w:t xml:space="preserve">—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pPr>
        <w:pStyle w:val="BlockText"/>
      </w:pPr>
      <w:r>
        <w:rPr>
          <w:b/>
          <w:bCs/>
        </w:rPr>
        <w:t xml:space="preserve">E911 is not optional and must be validated before go-live.</w:t>
      </w:r>
      <w:r>
        <w:t xml:space="preserve"> </w:t>
      </w:r>
      <w:r>
        <w:t xml:space="preserve">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capture the remote worker’s current location at sign-in.</w:t>
      </w:r>
    </w:p>
    <w:p>
      <w:pPr>
        <w:pStyle w:val="CaptionedFigure"/>
      </w:pPr>
      <w:r>
        <w:drawing>
          <wp:inline>
            <wp:extent cx="5334000" cy="2726266"/>
            <wp:effectExtent b="0" l="0" r="0" t="0"/>
            <wp:docPr descr="Legacy PBX to Teams Phone GCC: Platform Modernization" title="" id="58" name="Picture"/>
            <a:graphic>
              <a:graphicData uri="http://schemas.openxmlformats.org/drawingml/2006/picture">
                <pic:pic>
                  <pic:nvPicPr>
                    <pic:cNvPr descr="figs/tc-fig-12-pbx-migration.png" id="59" name="Picture"/>
                    <pic:cNvPicPr>
                      <a:picLocks noChangeArrowheads="1" noChangeAspect="1"/>
                    </pic:cNvPicPr>
                  </pic:nvPicPr>
                  <pic:blipFill>
                    <a:blip r:embed="rId5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Legacy PBX to Teams Phone GCC: Platform Modernization</w:t>
      </w:r>
    </w:p>
    <w:bookmarkEnd w:id="60"/>
    <w:bookmarkStart w:id="61" w:name="Xc6d6f0f9ab976088fca5f667c98e6f2686f49b2"/>
    <w:p>
      <w:pPr>
        <w:pStyle w:val="Heading2"/>
      </w:pPr>
      <w:r>
        <w:t xml:space="preserve">4.4 Legacy PBX Migration: Number Porting and Transition</w:t>
      </w:r>
    </w:p>
    <w:p>
      <w:pPr>
        <w:pStyle w:val="FirstParagraph"/>
      </w:pPr>
      <w:r>
        <w:rPr>
          <w:b/>
          <w:bCs/>
        </w:rPr>
        <w:t xml:space="preserve">Porting in tranches.</w:t>
      </w:r>
      <w:r>
        <w:t xml:space="preserve"> </w:t>
      </w:r>
      <w:r>
        <w:t xml:space="preserve">Number porting should be done in geographic tranches — one field office region at a time — rather than as a single nationwide cutover.</w:t>
      </w:r>
    </w:p>
    <w:p>
      <w:pPr>
        <w:pStyle w:val="BodyText"/>
      </w:pPr>
      <w:r>
        <w:rPr>
          <w:b/>
          <w:bCs/>
        </w:rPr>
        <w:t xml:space="preserve">Parallel operation.</w:t>
      </w:r>
      <w:r>
        <w:t xml:space="preserve"> </w:t>
      </w:r>
      <w:r>
        <w:t xml:space="preserve">During transition, the legacy PBX and Teams Phone must operate in parallel. Calls to ported numbers must route correctly to Teams. Calls to un-ported numbers must still reach the legacy system.</w:t>
      </w:r>
    </w:p>
    <w:p>
      <w:pPr>
        <w:pStyle w:val="BodyText"/>
      </w:pPr>
      <w:r>
        <w:rPr>
          <w:b/>
          <w:bCs/>
        </w:rPr>
        <w:t xml:space="preserve">Hunt groups and call queues.</w:t>
      </w:r>
      <w:r>
        <w:t xml:space="preserve"> </w:t>
      </w:r>
      <w:r>
        <w:t xml:space="preserve">Legacy PBX hunt groups must be recreated as Teams Call Queues. Auto attendant menus must be recreated as Teams Auto Attendants.</w:t>
      </w:r>
    </w:p>
    <w:p>
      <w:pPr>
        <w:pStyle w:val="BodyText"/>
      </w:pPr>
      <w:r>
        <w:rPr>
          <w:b/>
          <w:bCs/>
        </w:rPr>
        <w:t xml:space="preserve">Fax lines.</w:t>
      </w:r>
      <w:r>
        <w:t xml:space="preserve"> </w:t>
      </w:r>
      <w:r>
        <w:t xml:space="preserve">Legacy analog fax lines cannot be replaced with Teams Phone without a fax-over-IP (FoIP) solution or a cloud fax service. Fax lines should be inventoried and handled separately from voice number porting.</w:t>
      </w:r>
    </w:p>
    <w:bookmarkEnd w:id="61"/>
    <w:bookmarkEnd w:id="62"/>
    <w:bookmarkStart w:id="77" w:name="one-investment-two-platforms"/>
    <w:p>
      <w:pPr>
        <w:pStyle w:val="Heading1"/>
      </w:pPr>
      <w:r>
        <w:t xml:space="preserve">5. One Investment: Two Platforms</w:t>
      </w:r>
    </w:p>
    <w:bookmarkStart w:id="66" w:name="the-architecture-both-platforms-require"/>
    <w:p>
      <w:pPr>
        <w:pStyle w:val="Heading2"/>
      </w:pPr>
      <w:r>
        <w:t xml:space="preserve">5.1 The Architecture Both Platforms Require</w:t>
      </w:r>
    </w:p>
    <w:p>
      <w:pPr>
        <w:pStyle w:val="CaptionedFigure"/>
      </w:pPr>
      <w:r>
        <w:drawing>
          <wp:inline>
            <wp:extent cx="5334000" cy="3022600"/>
            <wp:effectExtent b="0" l="0" r="0" t="0"/>
            <wp:docPr descr="One SD-WAN Investment: Two Voice Platforms" title="" id="64" name="Picture"/>
            <a:graphic>
              <a:graphicData uri="http://schemas.openxmlformats.org/drawingml/2006/picture">
                <pic:pic>
                  <pic:nvPicPr>
                    <pic:cNvPr descr="figs/tc-fig-03-dual-platform-hub.png" id="65" name="Picture"/>
                    <pic:cNvPicPr>
                      <a:picLocks noChangeArrowheads="1" noChangeAspect="1"/>
                    </pic:cNvPicPr>
                  </pic:nvPicPr>
                  <pic:blipFill>
                    <a:blip r:embed="rId63"/>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One SD-WAN Investment: Two Voice Platforms</w:t>
      </w:r>
    </w:p>
    <w:p>
      <w:pPr>
        <w:pStyle w:val="BodyText"/>
      </w:pPr>
      <w:r>
        <w:t xml:space="preserve">Both Amazon Connect and Teams Phone are cloud SaaS voice platforms. Both generate real-time RTP/SRTP streams. Both are broken by the same MPLS hairpin and repaired by the same network solution. That solution is not simply</w:t>
      </w:r>
      <w:r>
        <w:t xml:space="preserve"> </w:t>
      </w:r>
      <w:r>
        <w:t xml:space="preserve">“add a DIA circuit.”</w:t>
      </w:r>
      <w:r>
        <w:t xml:space="preserve"> </w:t>
      </w:r>
      <w:r>
        <w:t xml:space="preserve">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bookmarkEnd w:id="66"/>
    <w:bookmarkStart w:id="71" w:name="X119a6ef9ab3643d048ae2abef2403893680628b"/>
    <w:p>
      <w:pPr>
        <w:pStyle w:val="Heading2"/>
      </w:pPr>
      <w:r>
        <w:t xml:space="preserve">5.2 The Hybrid Agent: Two Simultaneous DSCP EF Streams</w:t>
      </w:r>
    </w:p>
    <w:p>
      <w:pPr>
        <w:pStyle w:val="CaptionedFigure"/>
      </w:pPr>
      <w:r>
        <w:drawing>
          <wp:inline>
            <wp:extent cx="5334000" cy="2755900"/>
            <wp:effectExtent b="0" l="0" r="0" t="0"/>
            <wp:docPr descr="Hybrid Agent: Dual Concurrent Voice Streams" title="" id="68" name="Picture"/>
            <a:graphic>
              <a:graphicData uri="http://schemas.openxmlformats.org/drawingml/2006/picture">
                <pic:pic>
                  <pic:nvPicPr>
                    <pic:cNvPr descr="figs/tc-fig-04-hybrid-agent.png" id="69" name="Picture"/>
                    <pic:cNvPicPr>
                      <a:picLocks noChangeArrowheads="1" noChangeAspect="1"/>
                    </pic:cNvPicPr>
                  </pic:nvPicPr>
                  <pic:blipFill>
                    <a:blip r:embed="rId67"/>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Hybrid Agent: Dual Concurrent Voice Streams</w:t>
      </w:r>
    </w:p>
    <w:p>
      <w:pPr>
        <w:pStyle w:val="BodyText"/>
      </w:pPr>
      <w:r>
        <w:t xml:space="preserve">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pPr>
        <w:pStyle w:val="BodyText"/>
      </w:pPr>
      <w:r>
        <w:rPr>
          <w:b/>
          <w:bCs/>
        </w:rPr>
        <w:t xml:space="preserve">Capacity planning formula: (maximum concurrent hybrid agents) × 200 Kbps = reserved DSCP EF capacity on lowest-latency path.</w:t>
      </w:r>
    </w:p>
    <w:p>
      <w:pPr>
        <w:pStyle w:val="BodyText"/>
      </w:pPr>
      <w:r>
        <w:t xml:space="preserve">At a field office with 20 concurrent hybrid agents, this is 4 Mbps of DSCP EF traffic that must be accommodated on the lowest-latency path at peak.</w:t>
      </w:r>
    </w:p>
    <w:bookmarkStart w:id="70" w:name="headset-and-browser-configuration"/>
    <w:p>
      <w:pPr>
        <w:pStyle w:val="Heading3"/>
      </w:pPr>
      <w:r>
        <w:t xml:space="preserve">5.2.1 Headset and Browser Configuration</w:t>
      </w:r>
    </w:p>
    <w:p>
      <w:pPr>
        <w:pStyle w:val="FirstParagraph"/>
      </w:pPr>
      <w:r>
        <w:rPr>
          <w:b/>
          <w:bCs/>
        </w:rPr>
        <w:t xml:space="preserve">Browser selection matters:</w:t>
      </w:r>
      <w:r>
        <w:t xml:space="preserve"> </w:t>
      </w:r>
      <w:r>
        <w:t xml:space="preserve">Amazon Connect’s Contact Control Panel is optimized for Chromium-based browsers. Microsoft Teams Phone is optimized for the Teams desktop client. Running Connect in Chrome and Teams as the desktop client avoids browser compatibility edge cases.</w:t>
      </w:r>
    </w:p>
    <w:p>
      <w:pPr>
        <w:pStyle w:val="BodyText"/>
      </w:pPr>
      <w:r>
        <w:rPr>
          <w:b/>
          <w:bCs/>
        </w:rPr>
        <w:t xml:space="preserve">Headset standardization:</w:t>
      </w:r>
      <w:r>
        <w:t xml:space="preserve"> </w:t>
      </w:r>
      <w:r>
        <w:t xml:space="preserve">Headset configuration must be standardized across the agent population before go-live on both platforms. Ad hoc headset choices create support complexity and inconsistent audio quality that confounds troubleshooting.</w:t>
      </w:r>
    </w:p>
    <w:bookmarkEnd w:id="70"/>
    <w:bookmarkEnd w:id="71"/>
    <w:bookmarkStart w:id="72" w:name="Xd43b70dd148dff0e4376593b87afb1af30bd473"/>
    <w:p>
      <w:pPr>
        <w:pStyle w:val="Heading2"/>
      </w:pPr>
      <w:r>
        <w:t xml:space="preserve">5.3 Per-DSCP Steering for the Hybrid Agent Workstation</w:t>
      </w:r>
    </w:p>
    <w:p>
      <w:pPr>
        <w:pStyle w:val="FirstParagraph"/>
      </w:pPr>
      <w:r>
        <w:t xml:space="preserve">A hybrid agent workstation generates three simultaneous traffic classes during active calls:</w:t>
      </w:r>
    </w:p>
    <w:p>
      <w:pPr>
        <w:pStyle w:val="Compact"/>
        <w:numPr>
          <w:ilvl w:val="0"/>
          <w:numId w:val="1004"/>
        </w:numPr>
      </w:pPr>
      <w:r>
        <w:rPr>
          <w:b/>
          <w:bCs/>
        </w:rPr>
        <w:t xml:space="preserve">Amazon Connect voice (DSCP EF):</w:t>
      </w:r>
      <w:r>
        <w:t xml:space="preserve"> </w:t>
      </w:r>
      <w:r>
        <w:t xml:space="preserve">citizen call audio. Lowest-latency path, unconditionally. FEC enabled if path loss ≥0.5%.</w:t>
      </w:r>
    </w:p>
    <w:p>
      <w:pPr>
        <w:pStyle w:val="Compact"/>
        <w:numPr>
          <w:ilvl w:val="0"/>
          <w:numId w:val="1004"/>
        </w:numPr>
      </w:pPr>
      <w:r>
        <w:rPr>
          <w:b/>
          <w:bCs/>
        </w:rPr>
        <w:t xml:space="preserve">Teams Phone voice (DSCP EF):</w:t>
      </w:r>
      <w:r>
        <w:t xml:space="preserve"> </w:t>
      </w:r>
      <w:r>
        <w:t xml:space="preserve">supervisor or internal call audio. Same lowest-latency path.</w:t>
      </w:r>
    </w:p>
    <w:p>
      <w:pPr>
        <w:pStyle w:val="Compact"/>
        <w:numPr>
          <w:ilvl w:val="0"/>
          <w:numId w:val="1004"/>
        </w:numPr>
      </w:pPr>
      <w:r>
        <w:rPr>
          <w:b/>
          <w:bCs/>
        </w:rPr>
        <w:t xml:space="preserve">Contact Control Panel web app and Teams UI (HTTPS):</w:t>
      </w:r>
      <w:r>
        <w:t xml:space="preserve"> </w:t>
      </w:r>
      <w:r>
        <w:t xml:space="preserve">the browser interface for Amazon Connect and the Teams application interface. Highest-throughput path. These tolerate 200–500 ms of latency without affecting call quality and should not compete with voice for the latency-sensitive path.</w:t>
      </w:r>
    </w:p>
    <w:bookmarkEnd w:id="72"/>
    <w:bookmarkStart w:id="76" w:name="sd-wan-and-sase-stack-architecture"/>
    <w:p>
      <w:pPr>
        <w:pStyle w:val="Heading2"/>
      </w:pPr>
      <w:r>
        <w:t xml:space="preserve">5.4 SD-WAN and SASE Stack Architecture</w:t>
      </w:r>
    </w:p>
    <w:p>
      <w:pPr>
        <w:pStyle w:val="FirstParagraph"/>
      </w:pPr>
      <w:r>
        <w:t xml:space="preserve">The telecommunications modernization in this book requires three distinct components that operate at different layers and are frequently conflated:</w:t>
      </w:r>
    </w:p>
    <w:p>
      <w:pPr>
        <w:pStyle w:val="TableCaption"/>
      </w:pPr>
      <w:r>
        <w:t xml:space="preserve">SD-WAN and SASE Stack Components</w:t>
      </w:r>
      <w:r>
        <w:t xml:space="preserve"> </w:t>
      </w:r>
      <w:r>
        <w:rPr>
          <w:i/>
          <w:iCs/>
        </w:rPr>
        <w:t xml:space="preserve">(agency selection pending for all three)</w:t>
      </w:r>
    </w:p>
    <w:tbl>
      <w:tblPr>
        <w:tblStyle w:val="Table"/>
        <w:tblW w:type="pct" w:w="5000"/>
        <w:tblLayout w:type="fixed"/>
        <w:tblLook w:firstRow="1" w:lastRow="0" w:firstColumn="0" w:lastColumn="0" w:noHBand="0" w:noVBand="0" w:val="0020"/>
        <w:tblCaption w:val="SD-WAN and SASE Stack Components (agency selection pending for all three)"/>
      </w:tblPr>
      <w:tblGrid>
        <w:gridCol w:w="1675"/>
        <w:gridCol w:w="1066"/>
        <w:gridCol w:w="1523"/>
        <w:gridCol w:w="3655"/>
      </w:tblGrid>
      <w:tr>
        <w:trPr>
          <w:tblHeader w:val="on"/>
        </w:trPr>
        <w:tc>
          <w:tcPr/>
          <w:p>
            <w:pPr>
              <w:pStyle w:val="Compact"/>
            </w:pPr>
            <w:r>
              <w:t xml:space="preserve">Component</w:t>
            </w:r>
          </w:p>
        </w:tc>
        <w:tc>
          <w:tcPr/>
          <w:p>
            <w:pPr>
              <w:pStyle w:val="Compact"/>
            </w:pPr>
            <w:r>
              <w:t xml:space="preserve">Layer</w:t>
            </w:r>
          </w:p>
        </w:tc>
        <w:tc>
          <w:tcPr/>
          <w:p>
            <w:pPr>
              <w:pStyle w:val="Compact"/>
            </w:pPr>
            <w:r>
              <w:t xml:space="preserve">Function</w:t>
            </w:r>
          </w:p>
        </w:tc>
        <w:tc>
          <w:tcPr/>
          <w:p>
            <w:pPr>
              <w:pStyle w:val="Compact"/>
            </w:pPr>
            <w:r>
              <w:t xml:space="preserve">Representative vendors</w:t>
            </w:r>
          </w:p>
        </w:tc>
      </w:tr>
      <w:tr>
        <w:tc>
          <w:tcPr/>
          <w:p>
            <w:pPr>
              <w:pStyle w:val="Compact"/>
            </w:pPr>
            <w:r>
              <w:rPr>
                <w:b/>
                <w:bCs/>
              </w:rPr>
              <w:t xml:space="preserve">SD-WAN overlay</w:t>
            </w:r>
          </w:p>
        </w:tc>
        <w:tc>
          <w:tcPr/>
          <w:p>
            <w:pPr>
              <w:pStyle w:val="Compact"/>
            </w:pPr>
            <w:r>
              <w:t xml:space="preserve">Layer 3 — Network</w:t>
            </w:r>
          </w:p>
        </w:tc>
        <w:tc>
          <w:tcPr/>
          <w:p>
            <w:pPr>
              <w:pStyle w:val="Compact"/>
            </w:pPr>
            <w:r>
              <w:t xml:space="preserve">IPsec encrypted transport; intelligent path selection; QoS traffic classification; DIA local breakout</w:t>
            </w:r>
          </w:p>
        </w:tc>
        <w:tc>
          <w:tcPr/>
          <w:p>
            <w:pPr>
              <w:pStyle w:val="Compact"/>
            </w:pPr>
            <w:r>
              <w:t xml:space="preserve">Cisco Catalyst SD-WAN / VMware VeloCloud (Broadcom) / Palo Alto SD-WAN</w:t>
            </w:r>
          </w:p>
        </w:tc>
      </w:tr>
      <w:tr>
        <w:tc>
          <w:tcPr/>
          <w:p>
            <w:pPr>
              <w:pStyle w:val="Compact"/>
            </w:pPr>
            <w:r>
              <w:rPr>
                <w:b/>
                <w:bCs/>
              </w:rPr>
              <w:t xml:space="preserve">SASE SSE</w:t>
            </w:r>
            <w:r>
              <w:t xml:space="preserve"> </w:t>
            </w:r>
            <w:r>
              <w:t xml:space="preserve">(Secure Service Edge)</w:t>
            </w:r>
          </w:p>
        </w:tc>
        <w:tc>
          <w:tcPr/>
          <w:p>
            <w:pPr>
              <w:pStyle w:val="Compact"/>
            </w:pPr>
            <w:r>
              <w:t xml:space="preserve">Layer 7 — Application</w:t>
            </w:r>
          </w:p>
        </w:tc>
        <w:tc>
          <w:tcPr/>
          <w:p>
            <w:pPr>
              <w:pStyle w:val="Compact"/>
            </w:pPr>
            <w:r>
              <w:t xml:space="preserve">SWG, CASB, FWaaS, SSL/TLS inspection; TIC 3.0 security capabilities catalog</w:t>
            </w:r>
          </w:p>
        </w:tc>
        <w:tc>
          <w:tcPr/>
          <w:p>
            <w:pPr>
              <w:pStyle w:val="Compact"/>
            </w:pPr>
            <w:r>
              <w:t xml:space="preserve">Zscaler Internet Access (ZIA) / Netskope SSE / Palo Alto Prisma Access</w:t>
            </w:r>
          </w:p>
        </w:tc>
      </w:tr>
      <w:tr>
        <w:tc>
          <w:tcPr/>
          <w:p>
            <w:pPr>
              <w:pStyle w:val="Compact"/>
            </w:pPr>
            <w:r>
              <w:rPr>
                <w:b/>
                <w:bCs/>
              </w:rPr>
              <w:t xml:space="preserve">ZTNA</w:t>
            </w:r>
            <w:r>
              <w:t xml:space="preserve"> </w:t>
            </w:r>
            <w:r>
              <w:t xml:space="preserve">(Zero Trust Network Access)</w:t>
            </w:r>
          </w:p>
        </w:tc>
        <w:tc>
          <w:tcPr/>
          <w:p>
            <w:pPr>
              <w:pStyle w:val="Compact"/>
            </w:pPr>
            <w:r>
              <w:t xml:space="preserve">Layer 7 — Application</w:t>
            </w:r>
          </w:p>
        </w:tc>
        <w:tc>
          <w:tcPr/>
          <w:p>
            <w:pPr>
              <w:pStyle w:val="Compact"/>
            </w:pPr>
            <w:r>
              <w:t xml:space="preserve">Per-application micro-tunnels; device posture enforcement; least-privilege session access</w:t>
            </w:r>
          </w:p>
        </w:tc>
        <w:tc>
          <w:tcPr/>
          <w:p>
            <w:pPr>
              <w:pStyle w:val="Compact"/>
            </w:pPr>
            <w:r>
              <w:t xml:space="preserve">Zscaler Private Access (ZPA) / Netskope Private Access / Palo Alto Prisma Access ZTNA</w:t>
            </w:r>
          </w:p>
        </w:tc>
      </w:tr>
    </w:tbl>
    <w:p>
      <w:pPr>
        <w:pStyle w:val="BodyText"/>
      </w:pPr>
      <w:r>
        <w:t xml:space="preserve">SD-WAN and SASE SSE are distinct products procured separately (though some vendors bundle them). The SD-WAN overlay closes SC-8 (network-layer encryption on DIA circuits) and SI-4 (application-layer telemetry on transport). The SASE SSE stack closes AC-4 (information flow enforcement), SC-7 (boundary protection), SI-3 (malware protection via SSL inspection), AU-2/AU-12 (per-session audit records), and CA-7 (continuous monitoring). Neither substitutes for the other; both are required to satisfy TIC 3.0 and the controls cited in this book.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Pending</w:t>
            </w:r>
          </w:p>
        </w:tc>
      </w:tr>
      <w:tr>
        <w:trPr>
          <w:cantSplit/>
        </w:trPr>
        <w:tc>
          <w:tcPr>
            <w:tcMar>
              <w:top w:w="108" w:type="dxa"/>
              <w:bottom w:w="108" w:type="dxa"/>
            </w:tcMar>
          </w:tcPr>
          <w:p>
            <w:pPr>
              <w:pStyle w:val="BodyText"/>
            </w:pPr>
            <w:pPr>
              <w:spacing w:before="16" w:after="16"/>
            </w:pPr>
            <w:r>
              <w:t xml:space="preserve">The shortlists above reflect FedRAMP authorization status and federal use-case alignment at time of writing. Agency procurement authority, current FedRAMP Marketplace listings, and environment-specific testing must inform final selection. OIS should participate in vendor evaluation for all three components.</w:t>
            </w:r>
          </w:p>
          <w:p/>
        </w:tc>
      </w:tr>
    </w:tbl>
    <w:bookmarkEnd w:id="76"/>
    <w:bookmarkEnd w:id="77"/>
    <w:bookmarkStart w:id="81" w:name="X50c43ddecf199ebf91917431a313350dc266772"/>
    <w:p>
      <w:pPr>
        <w:pStyle w:val="Heading1"/>
      </w:pPr>
      <w:r>
        <w:t xml:space="preserve">6. Why Direct Internet Access Alone Does Not Satisfy NIST Controls</w:t>
      </w:r>
    </w:p>
    <w:p>
      <w:pPr>
        <w:pStyle w:val="CaptionedFigure"/>
      </w:pPr>
      <w:r>
        <w:drawing>
          <wp:inline>
            <wp:extent cx="5334000" cy="2933700"/>
            <wp:effectExtent b="0" l="0" r="0" t="0"/>
            <wp:docPr descr="DIA Enables — SASE Achieves: NIST Control Stack" title="" id="79" name="Picture"/>
            <a:graphic>
              <a:graphicData uri="http://schemas.openxmlformats.org/drawingml/2006/picture">
                <pic:pic>
                  <pic:nvPicPr>
                    <pic:cNvPr descr="figs/tc-fig-05-sase-stack.png" id="80" name="Picture"/>
                    <pic:cNvPicPr>
                      <a:picLocks noChangeArrowheads="1" noChangeAspect="1"/>
                    </pic:cNvPicPr>
                  </pic:nvPicPr>
                  <pic:blipFill>
                    <a:blip r:embed="rId78"/>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DIA Enables — SASE Achieves: NIST Control Stack</w:t>
      </w:r>
    </w:p>
    <w:p>
      <w:pPr>
        <w:pStyle w:val="BodyText"/>
      </w:pPr>
      <w:r>
        <w:t xml:space="preserve">When telecommunications modernization proposals include</w:t>
      </w:r>
      <w:r>
        <w:t xml:space="preserve"> </w:t>
      </w:r>
      <w:r>
        <w:t xml:space="preserve">“we will add DIA at field offices,”</w:t>
      </w:r>
      <w:r>
        <w:t xml:space="preserve"> </w:t>
      </w:r>
      <w:r>
        <w:t xml:space="preserve">the technical response must be precise: DIA is a pipe. It solves the geographic hairpin problem. It does not solve any NIST control requirement.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Requirement</w:t>
            </w:r>
          </w:p>
        </w:tc>
        <w:tc>
          <w:tcPr/>
          <w:p>
            <w:pPr>
              <w:pStyle w:val="Compact"/>
            </w:pPr>
            <w:r>
              <w:t xml:space="preserve">What Provides It</w:t>
            </w:r>
          </w:p>
        </w:tc>
      </w:tr>
      <w:tr>
        <w:tc>
          <w:tcPr/>
          <w:p>
            <w:pPr>
              <w:pStyle w:val="Compact"/>
            </w:pPr>
            <w:r>
              <w:t xml:space="preserve">AC-4</w:t>
            </w:r>
          </w:p>
        </w:tc>
        <w:tc>
          <w:tcPr/>
          <w:p>
            <w:pPr>
              <w:pStyle w:val="Compact"/>
            </w:pPr>
            <w:r>
              <w:t xml:space="preserve">Information Flow Enforcement</w:t>
            </w:r>
          </w:p>
        </w:tc>
        <w:tc>
          <w:tcPr/>
          <w:p>
            <w:pPr>
              <w:pStyle w:val="Compact"/>
            </w:pPr>
            <w:r>
              <w:t xml:space="preserve">CASB — application-layer identification</w:t>
            </w:r>
          </w:p>
        </w:tc>
      </w:tr>
      <w:tr>
        <w:tc>
          <w:tcPr/>
          <w:p>
            <w:pPr>
              <w:pStyle w:val="Compact"/>
            </w:pPr>
            <w:r>
              <w:t xml:space="preserve">SC-7</w:t>
            </w:r>
          </w:p>
        </w:tc>
        <w:tc>
          <w:tcPr/>
          <w:p>
            <w:pPr>
              <w:pStyle w:val="Compact"/>
            </w:pPr>
            <w:r>
              <w:t xml:space="preserve">Boundary Protection</w:t>
            </w:r>
          </w:p>
        </w:tc>
        <w:tc>
          <w:tcPr/>
          <w:p>
            <w:pPr>
              <w:pStyle w:val="Compact"/>
            </w:pPr>
            <w:r>
              <w:t xml:space="preserve">SWG — application-layer inspection and malware scanning</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SD-WAN IPsec tunnel — network-layer encryption</w:t>
            </w:r>
          </w:p>
        </w:tc>
      </w:tr>
      <w:tr>
        <w:tc>
          <w:tcPr/>
          <w:p>
            <w:pPr>
              <w:pStyle w:val="Compact"/>
            </w:pPr>
            <w:r>
              <w:t xml:space="preserve">SI-3</w:t>
            </w:r>
          </w:p>
        </w:tc>
        <w:tc>
          <w:tcPr/>
          <w:p>
            <w:pPr>
              <w:pStyle w:val="Compact"/>
            </w:pPr>
            <w:r>
              <w:t xml:space="preserve">Malware Protection</w:t>
            </w:r>
          </w:p>
        </w:tc>
        <w:tc>
          <w:tcPr/>
          <w:p>
            <w:pPr>
              <w:pStyle w:val="Compact"/>
            </w:pPr>
            <w:r>
              <w:t xml:space="preserve">SWG — SSL inspection and malware scanning</w:t>
            </w:r>
          </w:p>
        </w:tc>
      </w:tr>
      <w:tr>
        <w:tc>
          <w:tcPr/>
          <w:p>
            <w:pPr>
              <w:pStyle w:val="Compact"/>
            </w:pPr>
            <w:r>
              <w:t xml:space="preserve">SI-4</w:t>
            </w:r>
          </w:p>
        </w:tc>
        <w:tc>
          <w:tcPr/>
          <w:p>
            <w:pPr>
              <w:pStyle w:val="Compact"/>
            </w:pPr>
            <w:r>
              <w:t xml:space="preserve">System Monitoring</w:t>
            </w:r>
          </w:p>
        </w:tc>
        <w:tc>
          <w:tcPr/>
          <w:p>
            <w:pPr>
              <w:pStyle w:val="Compact"/>
            </w:pPr>
            <w:r>
              <w:t xml:space="preserve">AAN — application-layer telemetry, behavioral analysis</w:t>
            </w:r>
          </w:p>
        </w:tc>
      </w:tr>
      <w:tr>
        <w:tc>
          <w:tcPr/>
          <w:p>
            <w:pPr>
              <w:pStyle w:val="Compact"/>
            </w:pPr>
            <w:r>
              <w:t xml:space="preserve">AU-12</w:t>
            </w:r>
          </w:p>
        </w:tc>
        <w:tc>
          <w:tcPr/>
          <w:p>
            <w:pPr>
              <w:pStyle w:val="Compact"/>
            </w:pPr>
            <w:r>
              <w:t xml:space="preserve">Audit Record Generation</w:t>
            </w:r>
          </w:p>
        </w:tc>
        <w:tc>
          <w:tcPr/>
          <w:p>
            <w:pPr>
              <w:pStyle w:val="Compact"/>
            </w:pPr>
            <w:r>
              <w:t xml:space="preserve">AAN logging — user, device, app, action, data type, timestamp</w:t>
            </w:r>
          </w:p>
        </w:tc>
      </w:tr>
      <w:tr>
        <w:tc>
          <w:tcPr/>
          <w:p>
            <w:pPr>
              <w:pStyle w:val="Compact"/>
            </w:pPr>
            <w:r>
              <w:t xml:space="preserve">CA-7</w:t>
            </w:r>
          </w:p>
        </w:tc>
        <w:tc>
          <w:tcPr/>
          <w:p>
            <w:pPr>
              <w:pStyle w:val="Compact"/>
            </w:pPr>
            <w:r>
              <w:t xml:space="preserve">Continuous Monitoring</w:t>
            </w:r>
          </w:p>
        </w:tc>
        <w:tc>
          <w:tcPr/>
          <w:p>
            <w:pPr>
              <w:pStyle w:val="Compact"/>
            </w:pPr>
            <w:r>
              <w:t xml:space="preserve">SASE stack — per-session identity, posture, access records</w:t>
            </w:r>
          </w:p>
        </w:tc>
      </w:tr>
    </w:tbl>
    <w:p>
      <w:pPr>
        <w:pStyle w:val="BlockText"/>
      </w:pPr>
      <w:r>
        <w:rPr>
          <w:b/>
          <w:bCs/>
        </w:rPr>
        <w:t xml:space="preserve">Closure Necessity — SC-8 on the voice path.</w:t>
      </w:r>
      <w:r>
        <w:t xml:space="preserve"> </w:t>
      </w:r>
      <w:r>
        <w:t xml:space="preserve">A DIA circuit carries traffic unencrypted at the network layer. SRTP protects the media payload of a call; it does not protect the signaling, the softphone HTTPS session’s metadata, or any of the non-voice traffic sharing the circuit — and application-layer TLS covers no non-TLS flows at all.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p>
      <w:pPr>
        <w:pStyle w:val="BlockText"/>
      </w:pPr>
      <w:r>
        <w:rPr>
          <w:b/>
          <w:bCs/>
        </w:rPr>
        <w:t xml:space="preserve">DIA enables; SASE and AAN achieve.</w:t>
      </w:r>
      <w:r>
        <w:t xml:space="preserve"> </w:t>
      </w:r>
      <w:r>
        <w:t xml:space="preserve">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bookmarkEnd w:id="81"/>
    <w:bookmarkStart w:id="86" w:name="Xc2560083c76569be9743a47f334c5a0f3d3f7e2"/>
    <w:p>
      <w:pPr>
        <w:pStyle w:val="Heading1"/>
      </w:pPr>
      <w:r>
        <w:t xml:space="preserve">7. TIC 3.0: The Policy That Makes Local Breakout Lawful</w:t>
      </w:r>
    </w:p>
    <w:p>
      <w:pPr>
        <w:pStyle w:val="FirstParagraph"/>
      </w:pPr>
      <w:r>
        <w:t xml:space="preserve">The G.114 argument is the physics half of the case for local breakout: the 150 ms one-way ceiling is an engineering specification, the MPLS hairpin spends the budget before the call begins, and no procurement decision changes the propagation delay of a Portland-to-Washington detour. Physics explains why the agency</w:t>
      </w:r>
      <w:r>
        <w:t xml:space="preserve"> </w:t>
      </w:r>
      <w:r>
        <w:rPr>
          <w:i/>
          <w:iCs/>
        </w:rPr>
        <w:t xml:space="preserve">needs</w:t>
      </w:r>
      <w:r>
        <w:t xml:space="preserve"> </w:t>
      </w:r>
      <w:r>
        <w:t xml:space="preserve">DIA at field offices. It does not answer whether the agency</w:t>
      </w:r>
      <w:r>
        <w:t xml:space="preserve"> </w:t>
      </w:r>
      <w:r>
        <w:rPr>
          <w:i/>
          <w:iCs/>
        </w:rPr>
        <w:t xml:space="preserve">may have</w:t>
      </w:r>
      <w:r>
        <w:t xml:space="preserve"> </w:t>
      </w:r>
      <w:r>
        <w:t xml:space="preserve">it. That is a policy question, and the policy is TIC 3.0.</w:t>
      </w:r>
    </w:p>
    <w:p>
      <w:pPr>
        <w:pStyle w:val="CaptionedFigure"/>
      </w:pPr>
      <w:r>
        <w:drawing>
          <wp:inline>
            <wp:extent cx="5334000" cy="3000375"/>
            <wp:effectExtent b="0" l="0" r="0" t="0"/>
            <wp:docPr descr="TIC 3.0: the two use cases governing agency voice and the permissibility rule" title="" id="83" name="Picture"/>
            <a:graphic>
              <a:graphicData uri="http://schemas.openxmlformats.org/drawingml/2006/picture">
                <pic:pic>
                  <pic:nvPicPr>
                    <pic:cNvPr descr="figs/tc-fig-17-tic3-pep.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TIC 3.0: the two use cases governing agency voice and the permissibility rule</w:t>
      </w:r>
    </w:p>
    <w:p>
      <w:pPr>
        <w:pStyle w:val="BodyText"/>
      </w:pPr>
      <w:r>
        <w:t xml:space="preserve">Under the TIC 2.x model, every byte of agency internet traffic was required to egress through a small number of consolidated TIC access points — the architecture that created the hairpin in the first place. TIC 3.0 (OMB M-19-26) replaced mandatory consolidation with a use-case model: agencies may distribute their internet egress, provided the protections that the consolidated boundary used to provide are re-established at each distributed egress point. Those protections are enumerated in the</w:t>
      </w:r>
      <w:r>
        <w:t xml:space="preserve"> </w:t>
      </w:r>
      <w:r>
        <w:rPr>
          <w:b/>
          <w:bCs/>
        </w:rPr>
        <w:t xml:space="preserve">TIC 3.0 Security Capabilities Catalog</w:t>
      </w:r>
      <w:r>
        <w:t xml:space="preserve">, and the place they must be applied is the</w:t>
      </w:r>
      <w:r>
        <w:t xml:space="preserve"> </w:t>
      </w:r>
      <w:r>
        <w:rPr>
          <w:b/>
          <w:bCs/>
        </w:rPr>
        <w:t xml:space="preserve">policy enforcement point (PEP)</w:t>
      </w:r>
      <w:r>
        <w:t xml:space="preserve"> </w:t>
      </w:r>
      <w:r>
        <w:t xml:space="preserve">governing each traffic path.</w:t>
      </w:r>
    </w:p>
    <w:bookmarkStart w:id="85" w:name="Xf792461b15ccbbb54b15b5402bbf9475c6529ad"/>
    <w:p>
      <w:pPr>
        <w:pStyle w:val="Heading2"/>
      </w:pPr>
      <w:r>
        <w:t xml:space="preserve">7.1 The Two Use Cases That Govern Agency Voice</w:t>
      </w:r>
    </w:p>
    <w:p>
      <w:pPr>
        <w:pStyle w:val="FirstParagraph"/>
      </w:pPr>
      <w:r>
        <w:t xml:space="preserve">Two TIC 3.0 use cases map directly onto the telecommunications populations in this document — the Branch Office use case (elsewhere in this series shorthand-labeled Use Case E) and the Remote User use case (Use Case 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TIC 3.0 Use Case</w:t>
            </w:r>
          </w:p>
        </w:tc>
        <w:tc>
          <w:tcPr/>
          <w:p>
            <w:pPr>
              <w:pStyle w:val="Compact"/>
            </w:pPr>
            <w:r>
              <w:t xml:space="preserve">Agency Population</w:t>
            </w:r>
          </w:p>
        </w:tc>
        <w:tc>
          <w:tcPr/>
          <w:p>
            <w:pPr>
              <w:pStyle w:val="Compact"/>
            </w:pPr>
            <w:r>
              <w:t xml:space="preserve">Traffic Path It Governs</w:t>
            </w:r>
          </w:p>
        </w:tc>
        <w:tc>
          <w:tcPr/>
          <w:p>
            <w:pPr>
              <w:pStyle w:val="Compact"/>
            </w:pPr>
            <w:r>
              <w:t xml:space="preserve">Where the PEP Must Be</w:t>
            </w:r>
          </w:p>
        </w:tc>
      </w:tr>
      <w:tr>
        <w:tc>
          <w:tcPr/>
          <w:p>
            <w:pPr>
              <w:pStyle w:val="Compact"/>
            </w:pPr>
            <w:r>
              <w:rPr>
                <w:b/>
                <w:bCs/>
              </w:rPr>
              <w:t xml:space="preserve">Branch Office</w:t>
            </w:r>
          </w:p>
        </w:tc>
        <w:tc>
          <w:tcPr/>
          <w:p>
            <w:pPr>
              <w:pStyle w:val="Compact"/>
            </w:pPr>
            <w:r>
              <w:t xml:space="preserve">Field office agents on Amazon Connect and Teams Phone</w:t>
            </w:r>
          </w:p>
        </w:tc>
        <w:tc>
          <w:tcPr/>
          <w:p>
            <w:pPr>
              <w:pStyle w:val="Compact"/>
            </w:pPr>
            <w:r>
              <w:t xml:space="preserve">Field office → local DIA → AWS .com / M365 GCC</w:t>
            </w:r>
          </w:p>
        </w:tc>
        <w:tc>
          <w:tcPr/>
          <w:p>
            <w:pPr>
              <w:pStyle w:val="Compact"/>
            </w:pPr>
            <w:r>
              <w:t xml:space="preserve">At or near the branch egress: SD-WAN edge + SASE security services</w:t>
            </w:r>
          </w:p>
        </w:tc>
      </w:tr>
      <w:tr>
        <w:tc>
          <w:tcPr/>
          <w:p>
            <w:pPr>
              <w:pStyle w:val="Compact"/>
            </w:pPr>
            <w:r>
              <w:rPr>
                <w:b/>
                <w:bCs/>
              </w:rPr>
              <w:t xml:space="preserve">Remote User</w:t>
            </w:r>
          </w:p>
        </w:tc>
        <w:tc>
          <w:tcPr/>
          <w:p>
            <w:pPr>
              <w:pStyle w:val="Compact"/>
            </w:pPr>
            <w:r>
              <w:t xml:space="preserve">Teleworking agents and staff on agency or managed devices</w:t>
            </w:r>
          </w:p>
        </w:tc>
        <w:tc>
          <w:tcPr/>
          <w:p>
            <w:pPr>
              <w:pStyle w:val="Compact"/>
            </w:pPr>
            <w:r>
              <w:t xml:space="preserve">Home network → internet → cloud voice platforms</w:t>
            </w:r>
          </w:p>
        </w:tc>
        <w:tc>
          <w:tcPr/>
          <w:p>
            <w:pPr>
              <w:pStyle w:val="Compact"/>
            </w:pPr>
            <w:r>
              <w:t xml:space="preserve">Cloud-delivered SASE PoP the user’s traffic traverses; ZTNA replacing VPN</w:t>
            </w:r>
          </w:p>
        </w:tc>
      </w:tr>
    </w:tbl>
    <w:p>
      <w:pPr>
        <w:pStyle w:val="BodyText"/>
      </w:pPr>
      <w:r>
        <w:t xml:space="preserve">Both use cases</w:t>
      </w:r>
      <w:r>
        <w:t xml:space="preserve"> </w:t>
      </w:r>
      <w:r>
        <w:rPr>
          <w:i/>
          <w:iCs/>
        </w:rPr>
        <w:t xml:space="preserve">permit</w:t>
      </w:r>
      <w:r>
        <w:t xml:space="preserve"> </w:t>
      </w:r>
      <w:r>
        <w:t xml:space="preserve">traffic to leave for the internet without hairpinning through a TIC access point. Neither use case permits the traffic to leave</w:t>
      </w:r>
      <w:r>
        <w:t xml:space="preserve"> </w:t>
      </w:r>
      <w:r>
        <w:rPr>
          <w:i/>
          <w:iCs/>
        </w:rPr>
        <w:t xml:space="preserve">ungoverned</w:t>
      </w:r>
      <w:r>
        <w:t xml:space="preserve">. The condition attached to both is the same: the applicable security capabilities from the catalog — the universal capabilities (auditable central log management among them) and the relevant PEP capability groups spanning web protections, network protections, and DNS resolution protections — must be demonstrably in place at the distributed PEP for that path.</w:t>
      </w:r>
    </w:p>
    <w:p>
      <w:pPr>
        <w:pStyle w:val="BodyText"/>
      </w:pPr>
      <w:r>
        <w:rPr>
          <w:b/>
          <w:bCs/>
        </w:rPr>
        <w:t xml:space="preserve">This is the formal statement of the permissibility rule: under TIC 3.0, DIA is permissible only when the security-capabilities catalog is satisfied at the distributed PEP — and the SASE stack is that PEP.</w:t>
      </w:r>
      <w:r>
        <w:t xml:space="preserve"> </w:t>
      </w:r>
      <w:r>
        <w:t xml:space="preserve">The mapping is one-to-one with the NIST table in the previous section: the SD-WAN IPsec overlay provides encryption in transit, the SWG provides traffic inspection and malware protection, the CASB provides application-layer flow enforcement, protective DNS provides resolution security, and the telemetry pipeline to the SIEM provides the auditing and continuous-monitoring capabilities. An agency that deploys the SASE stack at its breakout points has not found a loophole around the TIC — it has implemented TIC 3.0 as designed.</w:t>
      </w:r>
    </w:p>
    <w:p>
      <w:pPr>
        <w:pStyle w:val="BlockText"/>
      </w:pPr>
      <w:r>
        <w:rPr>
          <w:b/>
          <w:bCs/>
        </w:rPr>
        <w:t xml:space="preserve">Closure Necessity — SC-7 / SC-7(7) on distributed egress.</w:t>
      </w:r>
      <w:r>
        <w:t xml:space="preserve"> </w:t>
      </w:r>
      <w:r>
        <w:t xml:space="preserve">SC-7 requires communications at external boundaries to be monitored and controlled at managed interfaces. Local breakout creates an external boundary interface at every field office, and remote work creates one at every home — while removing the central boundary stack from the path entirely. SC-7(7) makes the remote-user case explicit: split tunneling on remote devices is prohibited</w:t>
      </w:r>
      <w:r>
        <w:t xml:space="preserve"> </w:t>
      </w:r>
      <w:r>
        <w:rPr>
          <w:i/>
          <w:iCs/>
        </w:rPr>
        <w:t xml:space="preserve">unless the split tunneling capability is provisioned securely</w:t>
      </w:r>
      <w:r>
        <w:t xml:space="preserve"> </w:t>
      </w:r>
      <w:r>
        <w:t xml:space="preserve">— and local breakout for voice is precisely a split tunnel. The only mechanism that puts a managed, monitored interface on every distributed egress path is the distributed PEP — the TIC 3.0 SASE stack. The central firewall cannot close it (it is no longer in the path), the circuit provider cannot close it (a carrier hands off packets, not policy), and no document closes a boundary that has no enforcement point.</w:t>
      </w:r>
    </w:p>
    <w:p>
      <w:pPr>
        <w:pStyle w:val="BlockText"/>
      </w:pPr>
      <w:r>
        <w:rPr>
          <w:b/>
          <w:bCs/>
        </w:rPr>
        <w:t xml:space="preserve">An ungoverned DIA circuit is not modernization; it is a finding.</w:t>
      </w:r>
      <w:r>
        <w:t xml:space="preserve"> </w:t>
      </w:r>
      <w:r>
        <w:t xml:space="preserve">The bare circuit that fixes G.114 simultaneously deletes the SC-7 boundary that the MPLS-to-TIC path, whatever its latency, did provide. Presented to an assessor, that trade is a regression. Presented with the SASE PEP in place, it is the TIC 3.0 target architecture. The difference between the two deployments is not the circuit — it is the control stack riding on it.</w:t>
      </w:r>
    </w:p>
    <w:p>
      <w:pPr>
        <w:pStyle w:val="FirstParagraph"/>
      </w:pPr>
      <w:r>
        <w:t xml:space="preserve">The operational conclusion joins the two halves. The physics half — G.114’s budget — remains the driver: it is why the network must be modernized before either voice platform goes live, and it is measured in milliseconds at every agent location. The policy half — TIC 3.0’s catalog-at-the-PEP condition — is what makes the resulting architecture authorizable. The same SD-WAN + SASE investment satisfies both at once, which is why this document treats them as one program: local breakout to meet the delay budget, and the distributed PEP to make that breakout lawful.</w:t>
      </w:r>
    </w:p>
    <w:bookmarkEnd w:id="85"/>
    <w:bookmarkEnd w:id="86"/>
    <w:bookmarkStart w:id="100" w:name="Xdff915852ecfb7099a0dce077831b9d7635e7fa"/>
    <w:p>
      <w:pPr>
        <w:pStyle w:val="Heading1"/>
      </w:pPr>
      <w:r>
        <w:t xml:space="preserve">8. FedRAMP Boundary Considerations for Telecommunications</w:t>
      </w:r>
    </w:p>
    <w:p>
      <w:pPr>
        <w:pStyle w:val="CaptionedFigure"/>
      </w:pPr>
      <w:r>
        <w:drawing>
          <wp:inline>
            <wp:extent cx="5334000" cy="2726266"/>
            <wp:effectExtent b="0" l="0" r="0" t="0"/>
            <wp:docPr descr="FedRAMP 20x Consolidated Rules: Telecommunications Implications" title="" id="88" name="Picture"/>
            <a:graphic>
              <a:graphicData uri="http://schemas.openxmlformats.org/drawingml/2006/picture">
                <pic:pic>
                  <pic:nvPicPr>
                    <pic:cNvPr descr="figs/tc-fig-13-fedramp-20x-telecom.png" id="89" name="Picture"/>
                    <pic:cNvPicPr>
                      <a:picLocks noChangeArrowheads="1" noChangeAspect="1"/>
                    </pic:cNvPicPr>
                  </pic:nvPicPr>
                  <pic:blipFill>
                    <a:blip r:embed="rId87"/>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Consolidated Rules: Telecommunications Implications</w:t>
      </w:r>
    </w:p>
    <w:bookmarkStart w:id="93" w:name="sec-fedramp-20x-telecom"/>
    <w:p>
      <w:pPr>
        <w:pStyle w:val="Heading2"/>
      </w:pPr>
      <w:r>
        <w:t xml:space="preserve">8.1 FedRAMP 20x Consolidated Rules — June 2026 Update</w:t>
      </w:r>
    </w:p>
    <w:p>
      <w:pPr>
        <w:pStyle w:val="FirstParagraph"/>
      </w:pPr>
      <w:r>
        <w:t xml:space="preserve">FedRAMP published its</w:t>
      </w:r>
      <w:r>
        <w:t xml:space="preserve"> </w:t>
      </w:r>
      <w:r>
        <w:rPr>
          <w:b/>
          <w:bCs/>
        </w:rPr>
        <w:t xml:space="preserve">Consolidated Rules for 2026</w:t>
      </w:r>
      <w:r>
        <w:t xml:space="preserve"> </w:t>
      </w:r>
      <w:r>
        <w:t xml:space="preserve">on June 25, 2026. Three key implications for agencies operating Amazon Connect and Teams Phone:</w:t>
      </w:r>
    </w:p>
    <w:p>
      <w:pPr>
        <w:pStyle w:val="BodyText"/>
      </w:pPr>
      <w:r>
        <w:rPr>
          <w:b/>
          <w:bCs/>
        </w:rPr>
        <w:t xml:space="preserve">Timeline agencies must track:</w:t>
      </w:r>
    </w:p>
    <w:tbl>
      <w:tblPr>
        <w:tblStyle w:val="Table"/>
        <w:tblW w:type="pct" w:w="5000"/>
        <w:tblLayout w:type="fixed"/>
        <w:tblLook w:firstRow="1" w:lastRow="0" w:firstColumn="0" w:lastColumn="0" w:noHBand="0" w:noVBand="0" w:val="0020"/>
      </w:tblPr>
      <w:tblGrid>
        <w:gridCol w:w="1080"/>
        <w:gridCol w:w="1260"/>
        <w:gridCol w:w="5580"/>
      </w:tblGrid>
      <w:tr>
        <w:trPr>
          <w:tblHeader w:val="on"/>
        </w:trPr>
        <w:tc>
          <w:tcPr/>
          <w:p>
            <w:pPr>
              <w:pStyle w:val="Compact"/>
            </w:pPr>
            <w:r>
              <w:t xml:space="preserve">Date</w:t>
            </w:r>
          </w:p>
        </w:tc>
        <w:tc>
          <w:tcPr/>
          <w:p>
            <w:pPr>
              <w:pStyle w:val="Compact"/>
            </w:pPr>
            <w:r>
              <w:t xml:space="preserve">Event</w:t>
            </w:r>
          </w:p>
        </w:tc>
        <w:tc>
          <w:tcPr/>
          <w:p>
            <w:pPr>
              <w:pStyle w:val="Compact"/>
            </w:pPr>
            <w:r>
              <w:t xml:space="preserve">Telecommunications Implication</w:t>
            </w:r>
          </w:p>
        </w:tc>
      </w:tr>
      <w:tr>
        <w:tc>
          <w:tcPr/>
          <w:p>
            <w:pPr>
              <w:pStyle w:val="Compact"/>
            </w:pPr>
            <w:r>
              <w:t xml:space="preserve">July 28, 2026</w:t>
            </w:r>
          </w:p>
        </w:tc>
        <w:tc>
          <w:tcPr/>
          <w:p>
            <w:pPr>
              <w:pStyle w:val="Compact"/>
            </w:pPr>
            <w:r>
              <w:t xml:space="preserve">FedRAMP Ready submissions cease</w:t>
            </w:r>
          </w:p>
        </w:tc>
        <w:tc>
          <w:tcPr/>
          <w:p>
            <w:pPr>
              <w:pStyle w:val="Compact"/>
            </w:pPr>
            <w:r>
              <w:t xml:space="preserve">No new Ready pathway for Connect or SBC vendors</w:t>
            </w:r>
          </w:p>
        </w:tc>
      </w:tr>
      <w:tr>
        <w:tc>
          <w:tcPr/>
          <w:p>
            <w:pPr>
              <w:pStyle w:val="Compact"/>
            </w:pPr>
            <w:r>
              <w:t xml:space="preserve">August 3, 2026</w:t>
            </w:r>
          </w:p>
        </w:tc>
        <w:tc>
          <w:tcPr/>
          <w:p>
            <w:pPr>
              <w:pStyle w:val="Compact"/>
            </w:pPr>
            <w:r>
              <w:t xml:space="preserve">Class A pipeline opens</w:t>
            </w:r>
          </w:p>
        </w:tc>
        <w:tc>
          <w:tcPr/>
          <w:p>
            <w:pPr>
              <w:pStyle w:val="Compact"/>
            </w:pPr>
            <w:r>
              <w:t xml:space="preserve">Evaluate whether Connect .com falls under Class A</w:t>
            </w:r>
          </w:p>
        </w:tc>
      </w:tr>
      <w:tr>
        <w:tc>
          <w:tcPr/>
          <w:p>
            <w:pPr>
              <w:pStyle w:val="Compact"/>
            </w:pPr>
            <w:r>
              <w:t xml:space="preserve">August 31, 2026</w:t>
            </w:r>
          </w:p>
        </w:tc>
        <w:tc>
          <w:tcPr/>
          <w:p>
            <w:pPr>
              <w:pStyle w:val="Compact"/>
            </w:pPr>
            <w:r>
              <w:t xml:space="preserve">Class B and C open</w:t>
            </w:r>
          </w:p>
        </w:tc>
        <w:tc>
          <w:tcPr/>
          <w:p>
            <w:pPr>
              <w:pStyle w:val="Compact"/>
            </w:pPr>
            <w:r>
              <w:t xml:space="preserve">Multi-platform unified comms likely Class B or C</w:t>
            </w:r>
          </w:p>
        </w:tc>
      </w:tr>
      <w:tr>
        <w:tc>
          <w:tcPr/>
          <w:p>
            <w:pPr>
              <w:pStyle w:val="Compact"/>
            </w:pPr>
            <w:r>
              <w:t xml:space="preserve">January 1, 2027</w:t>
            </w:r>
          </w:p>
        </w:tc>
        <w:tc>
          <w:tcPr/>
          <w:p>
            <w:pPr>
              <w:pStyle w:val="Compact"/>
            </w:pPr>
            <w:r>
              <w:t xml:space="preserve">Consolidated Rules mandatory</w:t>
            </w:r>
          </w:p>
        </w:tc>
        <w:tc>
          <w:tcPr/>
          <w:p>
            <w:pPr>
              <w:pStyle w:val="Compact"/>
            </w:pPr>
            <w:r>
              <w:t xml:space="preserve">All ConMon evidence must align to 20x KSI format</w:t>
            </w:r>
          </w:p>
        </w:tc>
      </w:tr>
      <w:tr>
        <w:tc>
          <w:tcPr/>
          <w:p>
            <w:pPr>
              <w:pStyle w:val="Compact"/>
            </w:pPr>
            <w:r>
              <w:t xml:space="preserve">June 11, 2027</w:t>
            </w:r>
          </w:p>
        </w:tc>
        <w:tc>
          <w:tcPr/>
          <w:p>
            <w:pPr>
              <w:pStyle w:val="Compact"/>
            </w:pPr>
            <w:r>
              <w:t xml:space="preserve">No new Rev5 certifications</w:t>
            </w:r>
          </w:p>
        </w:tc>
        <w:tc>
          <w:tcPr/>
          <w:p>
            <w:pPr>
              <w:pStyle w:val="Compact"/>
            </w:pPr>
            <w:r>
              <w:t xml:space="preserve">Plan for 20x pathway on next ATO cycle</w:t>
            </w:r>
          </w:p>
        </w:tc>
      </w:tr>
    </w:tbl>
    <w:p>
      <w:pPr>
        <w:pStyle w:val="BodyText"/>
      </w:pPr>
      <w:r>
        <w:rPr>
          <w:b/>
          <w:bCs/>
        </w:rPr>
        <w:t xml:space="preserve">What 20x means for Amazon Connect continuous monitoring:</w:t>
      </w:r>
      <w:r>
        <w:t xml:space="preserve"> </w:t>
      </w:r>
      <w:r>
        <w:t xml:space="preserve">FedRAMP 20x replaces periodic evidence assembly with continuously-verified Key Security Indicators (KSIs) in machine-readable format. For Amazon Connect, this means:</w:t>
      </w:r>
    </w:p>
    <w:p>
      <w:pPr>
        <w:pStyle w:val="Compact"/>
        <w:numPr>
          <w:ilvl w:val="0"/>
          <w:numId w:val="1005"/>
        </w:numPr>
      </w:pPr>
      <w:r>
        <w:rPr>
          <w:b/>
          <w:bCs/>
        </w:rPr>
        <w:t xml:space="preserve">Call audit logs</w:t>
      </w:r>
      <w:r>
        <w:t xml:space="preserve"> </w:t>
      </w:r>
      <w:r>
        <w:t xml:space="preserve">(AU-12): every agent session, call recording access, and contact flow execution must generate structured, queryable records — not just archived log files</w:t>
      </w:r>
    </w:p>
    <w:p>
      <w:pPr>
        <w:pStyle w:val="Compact"/>
        <w:numPr>
          <w:ilvl w:val="0"/>
          <w:numId w:val="1005"/>
        </w:numPr>
      </w:pPr>
      <w:r>
        <w:rPr>
          <w:b/>
          <w:bCs/>
        </w:rPr>
        <w:t xml:space="preserve">Federated authentication events</w:t>
      </w:r>
      <w:r>
        <w:t xml:space="preserve"> </w:t>
      </w:r>
      <w:r>
        <w:t xml:space="preserve">(IA-8): Entra ID → Amazon Connect SAML assertions must produce KSI-verifiable authentication telemetry</w:t>
      </w:r>
    </w:p>
    <w:p>
      <w:pPr>
        <w:pStyle w:val="Compact"/>
        <w:numPr>
          <w:ilvl w:val="0"/>
          <w:numId w:val="1005"/>
        </w:numPr>
      </w:pPr>
      <w:r>
        <w:rPr>
          <w:b/>
          <w:bCs/>
        </w:rPr>
        <w:t xml:space="preserve">Boundary traffic logs</w:t>
      </w:r>
      <w:r>
        <w:t xml:space="preserve"> </w:t>
      </w:r>
      <w:r>
        <w:t xml:space="preserve">(SA-9): API calls crossing the .com boundary (CRM integration, recording access, contact flow analytics) must be captured in machine-readable format</w:t>
      </w:r>
    </w:p>
    <w:p>
      <w:pPr>
        <w:pStyle w:val="Compact"/>
        <w:numPr>
          <w:ilvl w:val="0"/>
          <w:numId w:val="1005"/>
        </w:numPr>
      </w:pPr>
      <w:r>
        <w:rPr>
          <w:b/>
          <w:bCs/>
        </w:rPr>
        <w:t xml:space="preserve">ATO exception documentation</w:t>
      </w:r>
      <w:r>
        <w:t xml:space="preserve">: The .com exception itself must be maintained in a format compatible with 20x continuous review rather than point-in-time SSP snapshots</w:t>
      </w:r>
    </w:p>
    <w:p>
      <w:pPr>
        <w:pStyle w:val="FirstParagraph"/>
      </w:pPr>
      <w:r>
        <w:rPr>
          <w:b/>
          <w:bCs/>
        </w:rPr>
        <w:t xml:space="preserve">What 20x means for Teams Phone GCC Moderate:</w:t>
      </w:r>
      <w:r>
        <w:t xml:space="preserve"> </w:t>
      </w:r>
      <w:r>
        <w:t xml:space="preserve">Teams Phone in GCC Moderate inherits Microsoft’s existing FedRAMP authorization. The 20x transition requires that the</w:t>
      </w:r>
      <w:r>
        <w:t xml:space="preserve"> </w:t>
      </w:r>
      <w:r>
        <w:rPr>
          <w:i/>
          <w:iCs/>
        </w:rPr>
        <w:t xml:space="preserve">agency’s</w:t>
      </w:r>
      <w:r>
        <w:t xml:space="preserve"> </w:t>
      </w:r>
      <w:r>
        <w:t xml:space="preserve">continuous monitoring evidence — voice quality monitoring, E911 testing records, SBC boundary documentation — align to machine-readable KSI format.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SD-WAN as 20x Evidence Generator:</w:t>
            </w:r>
            <w:r>
              <w:t xml:space="preserve"> </w:t>
            </w:r>
            <w:r>
              <w:t xml:space="preserve">The SD-WAN overlay that solves the G.114 latency problem also generates the machine-readable evidence 20x requires. Every path decision, every jitter measurement, every FEC activation is a logged, queryable event.</w:t>
            </w:r>
            <w:r>
              <w:t xml:space="preserve"> </w:t>
            </w:r>
            <w:r>
              <w:rPr>
                <w:b/>
                <w:bCs/>
              </w:rPr>
              <w:t xml:space="preserve">The network investment that enables Amazon Connect to meet G.114 is simultaneously the compliance evidence generator for FedRAMP 20x continuous monitoring.</w:t>
            </w:r>
            <w:r>
              <w:t xml:space="preserve"> </w:t>
            </w:r>
            <w:r>
              <w:t xml:space="preserve">These are not separate investments.</w:t>
            </w:r>
          </w:p>
          <w:p/>
        </w:tc>
      </w:tr>
    </w:tbl>
    <w:bookmarkEnd w:id="93"/>
    <w:bookmarkStart w:id="94" w:name="X7409e10531376a3c99a5e9f5e98c45fb0a0a3d0"/>
    <w:p>
      <w:pPr>
        <w:pStyle w:val="Heading2"/>
      </w:pPr>
      <w:r>
        <w:t xml:space="preserve">8.2 Amazon Connect: .com Boundary Documentation Requirements</w:t>
      </w:r>
    </w:p>
    <w:p>
      <w:pPr>
        <w:pStyle w:val="FirstParagraph"/>
      </w:pPr>
      <w:r>
        <w:t xml:space="preserve">The agency’s use of Amazon Connect on AWS commercial (.com) requires specific boundary documentation:</w:t>
      </w:r>
    </w:p>
    <w:p>
      <w:pPr>
        <w:pStyle w:val="Compact"/>
        <w:numPr>
          <w:ilvl w:val="0"/>
          <w:numId w:val="1006"/>
        </w:numPr>
      </w:pPr>
      <w:r>
        <w:rPr>
          <w:b/>
          <w:bCs/>
        </w:rPr>
        <w:t xml:space="preserve">SSP SA-9 documentation:</w:t>
      </w:r>
      <w:r>
        <w:t xml:space="preserve"> </w:t>
      </w:r>
      <w:r>
        <w:t xml:space="preserve">Amazon Connect is an external information system service. The SSP must identify Amazon Connect, its FedRAMP authorization status, the specific authorized exception, and data types (voice audio, call recordings, call metadata, citizen interaction logs).</w:t>
      </w:r>
    </w:p>
    <w:p>
      <w:pPr>
        <w:pStyle w:val="Compact"/>
        <w:numPr>
          <w:ilvl w:val="0"/>
          <w:numId w:val="1006"/>
        </w:numPr>
      </w:pPr>
      <w:r>
        <w:rPr>
          <w:b/>
          <w:bCs/>
        </w:rPr>
        <w:t xml:space="preserve">Call recordings:</w:t>
      </w:r>
      <w:r>
        <w:t xml:space="preserve"> </w:t>
      </w:r>
      <w:r>
        <w:t xml:space="preserve">Stored in S3 on AWS commercial. Access controls, encryption key management (KMS), and data lifecycle policies must be documented. Recordings containing PII must be classified accordingly, and access logging must satisfy AU-9 requirements.</w:t>
      </w:r>
    </w:p>
    <w:p>
      <w:pPr>
        <w:pStyle w:val="Compact"/>
        <w:numPr>
          <w:ilvl w:val="0"/>
          <w:numId w:val="1006"/>
        </w:numPr>
      </w:pPr>
      <w:r>
        <w:rPr>
          <w:b/>
          <w:bCs/>
        </w:rPr>
        <w:t xml:space="preserve">CRM and case management integration:</w:t>
      </w:r>
      <w:r>
        <w:t xml:space="preserve"> </w:t>
      </w:r>
      <w:r>
        <w:t xml:space="preserve">API calls between Amazon Connect contact flows and agency systems cross the .com boundary. The data flow diagram in the SSP must trace these calls.</w:t>
      </w:r>
    </w:p>
    <w:p>
      <w:pPr>
        <w:pStyle w:val="Compact"/>
        <w:numPr>
          <w:ilvl w:val="0"/>
          <w:numId w:val="1006"/>
        </w:numPr>
      </w:pPr>
      <w:r>
        <w:rPr>
          <w:b/>
          <w:bCs/>
        </w:rPr>
        <w:t xml:space="preserve">Agent authentication federation:</w:t>
      </w:r>
      <w:r>
        <w:t xml:space="preserve"> </w:t>
      </w:r>
      <w:r>
        <w:t xml:space="preserve">Agents authenticate to Amazon Connect via the agency IdP (Entra ID in GCC Moderate). The SAML/OIDC federation is a cross-boundary credential flow that must be documented in the SSP.</w:t>
      </w:r>
    </w:p>
    <w:p>
      <w:pPr>
        <w:pStyle w:val="Compact"/>
        <w:numPr>
          <w:ilvl w:val="0"/>
          <w:numId w:val="1006"/>
        </w:numPr>
      </w:pPr>
      <w:r>
        <w:rPr>
          <w:b/>
          <w:bCs/>
        </w:rPr>
        <w:t xml:space="preserve">ATO exception maintenance:</w:t>
      </w:r>
      <w:r>
        <w:t xml:space="preserve"> </w:t>
      </w:r>
      <w:r>
        <w:t xml:space="preserve">The specific authorization permitting .com Connect must be reviewed at each ATO renewal. The exception is not a permanent waiver; it is a time-bounded, condition-bounded authorization that requires active maintenance.</w:t>
      </w:r>
    </w:p>
    <w:bookmarkEnd w:id="94"/>
    <w:bookmarkStart w:id="95" w:name="teams-phone-gcc-boundary-and-pstn"/>
    <w:p>
      <w:pPr>
        <w:pStyle w:val="Heading2"/>
      </w:pPr>
      <w:r>
        <w:t xml:space="preserve">8.3 Teams Phone: GCC Boundary and PSTN</w:t>
      </w:r>
    </w:p>
    <w:p>
      <w:pPr>
        <w:pStyle w:val="FirstParagraph"/>
      </w:pPr>
      <w:r>
        <w:t xml:space="preserve">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bookmarkEnd w:id="95"/>
    <w:bookmarkStart w:id="99" w:name="X6519cabc81b3848456687843ce47cf45a8be6c7"/>
    <w:p>
      <w:pPr>
        <w:pStyle w:val="Heading2"/>
      </w:pPr>
      <w:r>
        <w:t xml:space="preserve">8.4 Amazon Connect vs. Teams Phone: Complementary, Not Competing</w:t>
      </w:r>
    </w:p>
    <w:tbl>
      <w:tblPr>
        <w:tblStyle w:val="Table"/>
        <w:tblW w:type="pct" w:w="5000"/>
        <w:tblLayout w:type="fixed"/>
        <w:tblLook w:firstRow="1" w:lastRow="0" w:firstColumn="0" w:lastColumn="0" w:noHBand="0" w:noVBand="0" w:val="0020"/>
      </w:tblPr>
      <w:tblGrid>
        <w:gridCol w:w="1001"/>
        <w:gridCol w:w="3459"/>
        <w:gridCol w:w="3459"/>
      </w:tblGrid>
      <w:tr>
        <w:trPr>
          <w:tblHeader w:val="on"/>
        </w:trPr>
        <w:tc>
          <w:tcPr/>
          <w:p>
            <w:pPr>
              <w:pStyle w:val="Compact"/>
            </w:pPr>
            <w:r>
              <w:t xml:space="preserve">Dimension</w:t>
            </w:r>
          </w:p>
        </w:tc>
        <w:tc>
          <w:tcPr/>
          <w:p>
            <w:pPr>
              <w:pStyle w:val="Compact"/>
            </w:pPr>
            <w:r>
              <w:t xml:space="preserve">Amazon Connect (N8NN Contact Center)</w:t>
            </w:r>
          </w:p>
        </w:tc>
        <w:tc>
          <w:tcPr/>
          <w:p>
            <w:pPr>
              <w:pStyle w:val="Compact"/>
            </w:pPr>
            <w:r>
              <w:t xml:space="preserve">Microsoft Teams Phone (Internal UC)</w:t>
            </w:r>
          </w:p>
        </w:tc>
      </w:tr>
      <w:tr>
        <w:tc>
          <w:tcPr/>
          <w:p>
            <w:pPr>
              <w:pStyle w:val="Compact"/>
            </w:pPr>
            <w:r>
              <w:t xml:space="preserve">Primary function</w:t>
            </w:r>
          </w:p>
        </w:tc>
        <w:tc>
          <w:tcPr/>
          <w:p>
            <w:pPr>
              <w:pStyle w:val="Compact"/>
            </w:pPr>
            <w:r>
              <w:t xml:space="preserve">Citizen-facing inbound contact center</w:t>
            </w:r>
          </w:p>
        </w:tc>
        <w:tc>
          <w:tcPr/>
          <w:p>
            <w:pPr>
              <w:pStyle w:val="Compact"/>
            </w:pPr>
            <w:r>
              <w:t xml:space="preserve">Employee-to-employee and PSTN calling</w:t>
            </w:r>
          </w:p>
        </w:tc>
      </w:tr>
      <w:tr>
        <w:tc>
          <w:tcPr/>
          <w:p>
            <w:pPr>
              <w:pStyle w:val="Compact"/>
            </w:pPr>
            <w:r>
              <w:t xml:space="preserve">Users</w:t>
            </w:r>
          </w:p>
        </w:tc>
        <w:tc>
          <w:tcPr/>
          <w:p>
            <w:pPr>
              <w:pStyle w:val="Compact"/>
            </w:pPr>
            <w:r>
              <w:t xml:space="preserve">Contact center agents, supervisors</w:t>
            </w:r>
          </w:p>
        </w:tc>
        <w:tc>
          <w:tcPr/>
          <w:p>
            <w:pPr>
              <w:pStyle w:val="Compact"/>
            </w:pPr>
            <w:r>
              <w:t xml:space="preserve">All agency employees</w:t>
            </w:r>
          </w:p>
        </w:tc>
      </w:tr>
      <w:tr>
        <w:tc>
          <w:tcPr/>
          <w:p>
            <w:pPr>
              <w:pStyle w:val="Compact"/>
            </w:pPr>
            <w:r>
              <w:t xml:space="preserve">Call volume</w:t>
            </w:r>
          </w:p>
        </w:tc>
        <w:tc>
          <w:tcPr/>
          <w:p>
            <w:pPr>
              <w:pStyle w:val="Compact"/>
            </w:pPr>
            <w:r>
              <w:t xml:space="preserve">High-volume inbound (thousands concurrent at peak)</w:t>
            </w:r>
          </w:p>
        </w:tc>
        <w:tc>
          <w:tcPr/>
          <w:p>
            <w:pPr>
              <w:pStyle w:val="Compact"/>
            </w:pPr>
            <w:r>
              <w:t xml:space="preserve">Standard enterprise PBX volume</w:t>
            </w:r>
          </w:p>
        </w:tc>
      </w:tr>
      <w:tr>
        <w:tc>
          <w:tcPr/>
          <w:p>
            <w:pPr>
              <w:pStyle w:val="Compact"/>
            </w:pPr>
            <w:r>
              <w:t xml:space="preserve">IVR / routing</w:t>
            </w:r>
          </w:p>
        </w:tc>
        <w:tc>
          <w:tcPr/>
          <w:p>
            <w:pPr>
              <w:pStyle w:val="Compact"/>
            </w:pPr>
            <w:r>
              <w:t xml:space="preserve">Sophisticated contact flows, skills-based routing, queuing</w:t>
            </w:r>
          </w:p>
        </w:tc>
        <w:tc>
          <w:tcPr/>
          <w:p>
            <w:pPr>
              <w:pStyle w:val="Compact"/>
            </w:pPr>
            <w:r>
              <w:t xml:space="preserve">Auto attendants and call queues</w:t>
            </w:r>
          </w:p>
        </w:tc>
      </w:tr>
      <w:tr>
        <w:tc>
          <w:tcPr/>
          <w:p>
            <w:pPr>
              <w:pStyle w:val="Compact"/>
            </w:pPr>
            <w:r>
              <w:t xml:space="preserve">AI capabilities</w:t>
            </w:r>
          </w:p>
        </w:tc>
        <w:tc>
          <w:tcPr/>
          <w:p>
            <w:pPr>
              <w:pStyle w:val="Compact"/>
            </w:pPr>
            <w:r>
              <w:t xml:space="preserve">Contact Lens (transcription, sentiment, analytics), Amazon Q agent assist</w:t>
            </w:r>
          </w:p>
        </w:tc>
        <w:tc>
          <w:tcPr/>
          <w:p>
            <w:pPr>
              <w:pStyle w:val="Compact"/>
            </w:pPr>
            <w:r>
              <w:t xml:space="preserve">Teams transcription, voicemail transcription (GCC availability varies)</w:t>
            </w:r>
          </w:p>
        </w:tc>
      </w:tr>
      <w:tr>
        <w:tc>
          <w:tcPr/>
          <w:p>
            <w:pPr>
              <w:pStyle w:val="Compact"/>
            </w:pPr>
            <w:r>
              <w:t xml:space="preserve">Agent interface</w:t>
            </w:r>
          </w:p>
        </w:tc>
        <w:tc>
          <w:tcPr/>
          <w:p>
            <w:pPr>
              <w:pStyle w:val="Compact"/>
            </w:pPr>
            <w:r>
              <w:t xml:space="preserve">Browser-based Contact Control Panel (WebRTC)</w:t>
            </w:r>
          </w:p>
        </w:tc>
        <w:tc>
          <w:tcPr/>
          <w:p>
            <w:pPr>
              <w:pStyle w:val="Compact"/>
            </w:pPr>
            <w:r>
              <w:t xml:space="preserve">Teams desktop client or browser</w:t>
            </w:r>
          </w:p>
        </w:tc>
      </w:tr>
      <w:tr>
        <w:tc>
          <w:tcPr/>
          <w:p>
            <w:pPr>
              <w:pStyle w:val="Compact"/>
            </w:pPr>
            <w:r>
              <w:t xml:space="preserve">Recording</w:t>
            </w:r>
          </w:p>
        </w:tc>
        <w:tc>
          <w:tcPr/>
          <w:p>
            <w:pPr>
              <w:pStyle w:val="Compact"/>
            </w:pPr>
            <w:r>
              <w:t xml:space="preserve">S3 on AWS .com; SA-9 boundary documentation required</w:t>
            </w:r>
          </w:p>
        </w:tc>
        <w:tc>
          <w:tcPr/>
          <w:p>
            <w:pPr>
              <w:pStyle w:val="Compact"/>
            </w:pPr>
            <w:r>
              <w:t xml:space="preserve">GCC-boundary-compliant storage</w:t>
            </w:r>
          </w:p>
        </w:tc>
      </w:tr>
      <w:tr>
        <w:tc>
          <w:tcPr/>
          <w:p>
            <w:pPr>
              <w:pStyle w:val="Compact"/>
            </w:pPr>
            <w:r>
              <w:t xml:space="preserve">Authorization</w:t>
            </w:r>
          </w:p>
        </w:tc>
        <w:tc>
          <w:tcPr/>
          <w:p>
            <w:pPr>
              <w:pStyle w:val="Compact"/>
            </w:pPr>
            <w:r>
              <w:t xml:space="preserve">FedRAMP Moderate (AWS .com by specific agency exception)</w:t>
            </w:r>
          </w:p>
        </w:tc>
        <w:tc>
          <w:tcPr/>
          <w:p>
            <w:pPr>
              <w:pStyle w:val="Compact"/>
            </w:pPr>
            <w:r>
              <w:t xml:space="preserve">FedRAMP Moderate (M365 GCC Moderate; partitioned .com)</w:t>
            </w:r>
          </w:p>
        </w:tc>
      </w:tr>
      <w:tr>
        <w:tc>
          <w:tcPr/>
          <w:p>
            <w:pPr>
              <w:pStyle w:val="Compact"/>
            </w:pPr>
            <w:r>
              <w:t xml:space="preserve">PSTN connectivity</w:t>
            </w:r>
          </w:p>
        </w:tc>
        <w:tc>
          <w:tcPr/>
          <w:p>
            <w:pPr>
              <w:pStyle w:val="Compact"/>
            </w:pPr>
            <w:r>
              <w:t xml:space="preserve">AWS Voice Connector</w:t>
            </w:r>
          </w:p>
        </w:tc>
        <w:tc>
          <w:tcPr/>
          <w:p>
            <w:pPr>
              <w:pStyle w:val="Compact"/>
            </w:pPr>
            <w:r>
              <w:t xml:space="preserve">Direct Routing SBC or Calling Plans</w:t>
            </w:r>
          </w:p>
        </w:tc>
      </w:tr>
      <w:tr>
        <w:tc>
          <w:tcPr/>
          <w:p>
            <w:pPr>
              <w:pStyle w:val="Compact"/>
            </w:pPr>
            <w:r>
              <w:t xml:space="preserve">Voice protocol</w:t>
            </w:r>
          </w:p>
        </w:tc>
        <w:tc>
          <w:tcPr/>
          <w:p>
            <w:pPr>
              <w:pStyle w:val="Compact"/>
            </w:pPr>
            <w:r>
              <w:t xml:space="preserve">WebRTC / RTP / DSCP EF</w:t>
            </w:r>
          </w:p>
        </w:tc>
        <w:tc>
          <w:tcPr/>
          <w:p>
            <w:pPr>
              <w:pStyle w:val="Compact"/>
            </w:pPr>
            <w:r>
              <w:t xml:space="preserve">WebRTC / RTP / DSCP EF</w:t>
            </w:r>
          </w:p>
        </w:tc>
      </w:tr>
      <w:tr>
        <w:tc>
          <w:tcPr/>
          <w:p>
            <w:pPr>
              <w:pStyle w:val="Compact"/>
            </w:pPr>
            <w:r>
              <w:rPr>
                <w:b/>
                <w:bCs/>
              </w:rPr>
              <w:t xml:space="preserve">Network requirement</w:t>
            </w:r>
          </w:p>
        </w:tc>
        <w:tc>
          <w:tcPr/>
          <w:p>
            <w:pPr>
              <w:pStyle w:val="Compact"/>
            </w:pPr>
            <w:r>
              <w:rPr>
                <w:b/>
                <w:bCs/>
              </w:rPr>
              <w:t xml:space="preserve">Identical: &lt;75 ms one-way, &lt;30 ms jitter, &lt;1% loss</w:t>
            </w:r>
          </w:p>
        </w:tc>
        <w:tc>
          <w:tcPr/>
          <w:p>
            <w:pPr>
              <w:pStyle w:val="Compact"/>
            </w:pPr>
            <w:r>
              <w:rPr>
                <w:b/>
                <w:bCs/>
              </w:rPr>
              <w:t xml:space="preserve">Identical: &lt;75 ms one-way, &lt;30 ms jitter, &lt;1% loss</w:t>
            </w:r>
          </w:p>
        </w:tc>
      </w:tr>
      <w:tr>
        <w:tc>
          <w:tcPr/>
          <w:p>
            <w:pPr>
              <w:pStyle w:val="Compact"/>
            </w:pPr>
            <w:r>
              <w:rPr>
                <w:b/>
                <w:bCs/>
              </w:rPr>
              <w:t xml:space="preserve">SD-WAN solution</w:t>
            </w:r>
          </w:p>
        </w:tc>
        <w:tc>
          <w:tcPr/>
          <w:p>
            <w:pPr>
              <w:pStyle w:val="Compact"/>
            </w:pPr>
            <w:r>
              <w:rPr>
                <w:b/>
                <w:bCs/>
              </w:rPr>
              <w:t xml:space="preserve">Identical: local breakout, DSCP EF steering, multipath, FEC</w:t>
            </w:r>
          </w:p>
        </w:tc>
        <w:tc>
          <w:tcPr/>
          <w:p>
            <w:pPr>
              <w:pStyle w:val="Compact"/>
            </w:pPr>
            <w:r>
              <w:rPr>
                <w:b/>
                <w:bCs/>
              </w:rPr>
              <w:t xml:space="preserve">Identical: local breakout, DSCP EF steering, multipath, FEC</w:t>
            </w:r>
          </w:p>
        </w:tc>
      </w:tr>
    </w:tbl>
    <w:p>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w:t>
      </w:r>
      <w:r>
        <w:t xml:space="preserve"> </w:t>
      </w:r>
      <w:r>
        <w:rPr>
          <w:b/>
          <w:bCs/>
        </w:rPr>
        <w:t xml:space="preserve">one network modernization that enables both platforms.</w:t>
      </w:r>
    </w:p>
    <w:p>
      <w:pPr>
        <w:pStyle w:val="CaptionedFigure"/>
      </w:pPr>
      <w:r>
        <w:drawing>
          <wp:inline>
            <wp:extent cx="5334000" cy="2844800"/>
            <wp:effectExtent b="0" l="0" r="0" t="0"/>
            <wp:docPr descr="Implementation Roadmap: Network First, Platforms Second" title="" id="97" name="Picture"/>
            <a:graphic>
              <a:graphicData uri="http://schemas.openxmlformats.org/drawingml/2006/picture">
                <pic:pic>
                  <pic:nvPicPr>
                    <pic:cNvPr descr="figs/tc-fig-14-implementation-gantt.png" id="98" name="Picture"/>
                    <pic:cNvPicPr>
                      <a:picLocks noChangeArrowheads="1" noChangeAspect="1"/>
                    </pic:cNvPicPr>
                  </pic:nvPicPr>
                  <pic:blipFill>
                    <a:blip r:embed="rId9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Implementation Roadmap: Network First, Platforms Second</w:t>
      </w:r>
    </w:p>
    <w:bookmarkEnd w:id="99"/>
    <w:bookmarkEnd w:id="100"/>
    <w:bookmarkStart w:id="105" w:name="implementation-roadmap"/>
    <w:p>
      <w:pPr>
        <w:pStyle w:val="Heading1"/>
      </w:pPr>
      <w:r>
        <w:t xml:space="preserve">9. Implementation Roadmap</w:t>
      </w:r>
    </w:p>
    <w:p>
      <w:pPr>
        <w:pStyle w:val="BlockText"/>
      </w:pPr>
      <w:r>
        <w:rPr>
          <w:b/>
          <w:bCs/>
        </w:rPr>
        <w:t xml:space="preserve">Prerequisite: no telecommunications migration before network validation.</w:t>
      </w:r>
      <w:r>
        <w:t xml:space="preserve"> </w:t>
      </w:r>
      <w:r>
        <w:t xml:space="preserve">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 confirming all three parameters are within specification.</w:t>
      </w:r>
    </w:p>
    <w:bookmarkStart w:id="101" w:name="phase-1-network-foundation-months-13"/>
    <w:p>
      <w:pPr>
        <w:pStyle w:val="Heading2"/>
      </w:pPr>
      <w:r>
        <w:t xml:space="preserve">9.1 Phase 1 — Network Foundation (Months 1–3)</w:t>
      </w:r>
    </w:p>
    <w:p>
      <w:pPr>
        <w:pStyle w:val="Compact"/>
        <w:numPr>
          <w:ilvl w:val="0"/>
          <w:numId w:val="1007"/>
        </w:numPr>
      </w:pPr>
      <w:r>
        <w:t xml:space="preserve">Deploy SD-WAN at all field offices with contact center agents or significant phone populations</w:t>
      </w:r>
    </w:p>
    <w:p>
      <w:pPr>
        <w:pStyle w:val="Compact"/>
        <w:numPr>
          <w:ilvl w:val="0"/>
          <w:numId w:val="1007"/>
        </w:numPr>
      </w:pPr>
      <w:r>
        <w:t xml:space="preserve">Configure local internet breakout for Amazon Connect (.com AWS IP ranges/FQDNs) and Microsoft 365 GCC endpoints</w:t>
      </w:r>
    </w:p>
    <w:p>
      <w:pPr>
        <w:pStyle w:val="Compact"/>
        <w:numPr>
          <w:ilvl w:val="0"/>
          <w:numId w:val="1007"/>
        </w:numPr>
      </w:pPr>
      <w:r>
        <w:t xml:space="preserve">Enable per-DSCP steering: DSCP EF → lowest-latency path; standard HTTPS → highest-throughput path</w:t>
      </w:r>
    </w:p>
    <w:p>
      <w:pPr>
        <w:pStyle w:val="Compact"/>
        <w:numPr>
          <w:ilvl w:val="0"/>
          <w:numId w:val="1007"/>
        </w:numPr>
      </w:pPr>
      <w:r>
        <w:t xml:space="preserve">Enable FEC on any path with measured loss rate ≥0.5%</w:t>
      </w:r>
    </w:p>
    <w:p>
      <w:pPr>
        <w:pStyle w:val="Compact"/>
        <w:numPr>
          <w:ilvl w:val="0"/>
          <w:numId w:val="1007"/>
        </w:numPr>
      </w:pPr>
      <w:r>
        <w:t xml:space="preserve">Verify direct outbound UDP to Amazon Connect and GCC endpoints without hairpin or deep inspection delay</w:t>
      </w:r>
    </w:p>
    <w:p>
      <w:pPr>
        <w:pStyle w:val="Compact"/>
        <w:numPr>
          <w:ilvl w:val="0"/>
          <w:numId w:val="1007"/>
        </w:numPr>
      </w:pPr>
      <w:r>
        <w:rPr>
          <w:b/>
          <w:bCs/>
        </w:rPr>
        <w:t xml:space="preserve">Measure and document G.114 compliance at each agent location before proceeding to Phase 2</w:t>
      </w:r>
    </w:p>
    <w:p>
      <w:pPr>
        <w:pStyle w:val="Compact"/>
        <w:numPr>
          <w:ilvl w:val="0"/>
          <w:numId w:val="1007"/>
        </w:numPr>
      </w:pPr>
      <w:r>
        <w:t xml:space="preserve">Size DSCP EF capacity for peak hybrid agent load: (max concurrent hybrid agents) × 200 Kbps</w:t>
      </w:r>
    </w:p>
    <w:bookmarkEnd w:id="101"/>
    <w:bookmarkStart w:id="102" w:name="Xfdd51caf3fe6a11d0a4df23f20af5ae637d7021"/>
    <w:p>
      <w:pPr>
        <w:pStyle w:val="Heading2"/>
      </w:pPr>
      <w:r>
        <w:t xml:space="preserve">9.2 Phase 2 — Amazon Connect Deployment (Months 2–5)</w:t>
      </w:r>
    </w:p>
    <w:p>
      <w:pPr>
        <w:pStyle w:val="Compact"/>
        <w:numPr>
          <w:ilvl w:val="0"/>
          <w:numId w:val="1008"/>
        </w:numPr>
      </w:pPr>
      <w:r>
        <w:t xml:space="preserve">Confirm .com exception is current in ATO; update SSP SA-9 for Amazon Connect with current architecture</w:t>
      </w:r>
    </w:p>
    <w:p>
      <w:pPr>
        <w:pStyle w:val="Compact"/>
        <w:numPr>
          <w:ilvl w:val="0"/>
          <w:numId w:val="1008"/>
        </w:numPr>
      </w:pPr>
      <w:r>
        <w:t xml:space="preserve">Design and build contact flows replicating and improving current N8NN IVR routing</w:t>
      </w:r>
    </w:p>
    <w:p>
      <w:pPr>
        <w:pStyle w:val="Compact"/>
        <w:numPr>
          <w:ilvl w:val="0"/>
          <w:numId w:val="1008"/>
        </w:numPr>
      </w:pPr>
      <w:r>
        <w:t xml:space="preserve">Configure agent authentication via IdP federation (Entra ID GCC Moderate → Amazon Connect)</w:t>
      </w:r>
    </w:p>
    <w:p>
      <w:pPr>
        <w:pStyle w:val="Compact"/>
        <w:numPr>
          <w:ilvl w:val="0"/>
          <w:numId w:val="1008"/>
        </w:numPr>
      </w:pPr>
      <w:r>
        <w:t xml:space="preserve">Pilot with single queue and agent cohort; measure MOS, jitter, and loss from pilot locations</w:t>
      </w:r>
    </w:p>
    <w:p>
      <w:pPr>
        <w:pStyle w:val="Compact"/>
        <w:numPr>
          <w:ilvl w:val="0"/>
          <w:numId w:val="1008"/>
        </w:numPr>
      </w:pPr>
      <w:r>
        <w:t xml:space="preserve">Validate call recording pipeline to S3; confirm KMS key management, access controls, and AU-9 logging</w:t>
      </w:r>
    </w:p>
    <w:p>
      <w:pPr>
        <w:pStyle w:val="Compact"/>
        <w:numPr>
          <w:ilvl w:val="0"/>
          <w:numId w:val="1008"/>
        </w:numPr>
      </w:pPr>
      <w:r>
        <w:t xml:space="preserve">Validate CRM/case management integration; document data flow in SSP</w:t>
      </w:r>
    </w:p>
    <w:bookmarkEnd w:id="102"/>
    <w:bookmarkStart w:id="103" w:name="phase-3-teams-phone-deployment-months-48"/>
    <w:p>
      <w:pPr>
        <w:pStyle w:val="Heading2"/>
      </w:pPr>
      <w:r>
        <w:t xml:space="preserve">9.3 Phase 3 — Teams Phone Deployment (Months 4–8)</w:t>
      </w:r>
    </w:p>
    <w:p>
      <w:pPr>
        <w:pStyle w:val="Compact"/>
        <w:numPr>
          <w:ilvl w:val="0"/>
          <w:numId w:val="1009"/>
        </w:numPr>
      </w:pPr>
      <w:r>
        <w:t xml:space="preserve">Confirm Teams Phone feature availability in GCC tenant: Calling Plans availability, voicemail transcription, mobile calling</w:t>
      </w:r>
    </w:p>
    <w:p>
      <w:pPr>
        <w:pStyle w:val="Compact"/>
        <w:numPr>
          <w:ilvl w:val="0"/>
          <w:numId w:val="1009"/>
        </w:numPr>
      </w:pPr>
      <w:r>
        <w:t xml:space="preserve">Deploy and configure SBC (on-premises or cloud-hosted); validate Microsoft certification and FedRAMP authorization</w:t>
      </w:r>
    </w:p>
    <w:p>
      <w:pPr>
        <w:pStyle w:val="Compact"/>
        <w:numPr>
          <w:ilvl w:val="0"/>
          <w:numId w:val="1009"/>
        </w:numPr>
      </w:pPr>
      <w:r>
        <w:t xml:space="preserve">Configure E911 with dispatchable location for every office location; verify PSAP connectivity; document testing</w:t>
      </w:r>
    </w:p>
    <w:p>
      <w:pPr>
        <w:pStyle w:val="Compact"/>
        <w:numPr>
          <w:ilvl w:val="0"/>
          <w:numId w:val="1009"/>
        </w:numPr>
      </w:pPr>
      <w:r>
        <w:t xml:space="preserve">Inventory legacy PBX numbers: classify each as voice, fax, emergency, or special service</w:t>
      </w:r>
    </w:p>
    <w:p>
      <w:pPr>
        <w:pStyle w:val="Compact"/>
        <w:numPr>
          <w:ilvl w:val="0"/>
          <w:numId w:val="1009"/>
        </w:numPr>
      </w:pPr>
      <w:r>
        <w:t xml:space="preserve">Build Teams Call Queues and Auto Attendants replicating legacy PBX hunt groups and menus</w:t>
      </w:r>
    </w:p>
    <w:p>
      <w:pPr>
        <w:pStyle w:val="Compact"/>
        <w:numPr>
          <w:ilvl w:val="0"/>
          <w:numId w:val="1009"/>
        </w:numPr>
      </w:pPr>
      <w:r>
        <w:t xml:space="preserve">Port numbers in geographic tranches; maintain parallel PBX operation through each tranche</w:t>
      </w:r>
    </w:p>
    <w:bookmarkEnd w:id="103"/>
    <w:bookmarkStart w:id="104" w:name="X9d7b7ecc3f0b58540fc3182ad13f1c94567e114"/>
    <w:p>
      <w:pPr>
        <w:pStyle w:val="Heading2"/>
      </w:pPr>
      <w:r>
        <w:t xml:space="preserve">9.4 Phase 4 — Continuous Monitoring and FedRAMP 20x Alignment (Months 6+)</w:t>
      </w:r>
    </w:p>
    <w:p>
      <w:pPr>
        <w:pStyle w:val="Compact"/>
        <w:numPr>
          <w:ilvl w:val="0"/>
          <w:numId w:val="1010"/>
        </w:numPr>
      </w:pPr>
      <w:r>
        <w:t xml:space="preserve">Instrument SD-WAN dashboards to surface G.114 violations by location before they become citizen complaints</w:t>
      </w:r>
    </w:p>
    <w:p>
      <w:pPr>
        <w:pStyle w:val="Compact"/>
        <w:numPr>
          <w:ilvl w:val="0"/>
          <w:numId w:val="1010"/>
        </w:numPr>
      </w:pPr>
      <w:r>
        <w:t xml:space="preserve">Integrate Amazon Connect Call Analytics with agency SIEM for AU-12 continuous monitoring</w:t>
      </w:r>
    </w:p>
    <w:p>
      <w:pPr>
        <w:pStyle w:val="Compact"/>
        <w:numPr>
          <w:ilvl w:val="0"/>
          <w:numId w:val="1010"/>
        </w:numPr>
      </w:pPr>
      <w:r>
        <w:t xml:space="preserve">Establish MOS floor SLA (≥4.0) per agent location; alert when sustained MOS drops below threshold</w:t>
      </w:r>
    </w:p>
    <w:p>
      <w:pPr>
        <w:pStyle w:val="Compact"/>
        <w:numPr>
          <w:ilvl w:val="0"/>
          <w:numId w:val="1010"/>
        </w:numPr>
      </w:pPr>
      <w:r>
        <w:t xml:space="preserve">Review Amazon Connect .com exception at each ATO renewal; evaluate whether .us capability gaps have been resolved</w:t>
      </w:r>
    </w:p>
    <w:p>
      <w:pPr>
        <w:pStyle w:val="Compact"/>
        <w:numPr>
          <w:ilvl w:val="0"/>
          <w:numId w:val="1010"/>
        </w:numPr>
      </w:pPr>
      <w:r>
        <w:rPr>
          <w:b/>
          <w:bCs/>
        </w:rPr>
        <w:t xml:space="preserve">FedRAMP 20x alignment (mandatory January 1, 2027):</w:t>
      </w:r>
      <w:r>
        <w:t xml:space="preserve"> </w:t>
      </w:r>
      <w:r>
        <w:t xml:space="preserve">Configure SD-WAN telemetry exports in machine-readable JSON format; ensure Connect audit logs, authentication events, and boundary crossing records meet structured KSI format requirements; validate SBC event logs feed SIEM in queryable format</w:t>
      </w:r>
    </w:p>
    <w:bookmarkEnd w:id="104"/>
    <w:bookmarkEnd w:id="105"/>
    <w:bookmarkStart w:id="106" w:name="federal-framework-alignment"/>
    <w:p>
      <w:pPr>
        <w:pStyle w:val="Heading1"/>
      </w:pPr>
      <w:r>
        <w:t xml:space="preserve">10. Federal Framework Alignment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Requirement</w:t>
            </w:r>
          </w:p>
        </w:tc>
        <w:tc>
          <w:tcPr/>
          <w:p>
            <w:pPr>
              <w:pStyle w:val="Compact"/>
            </w:pPr>
            <w:r>
              <w:t xml:space="preserve">Federal Mandate</w:t>
            </w:r>
          </w:p>
        </w:tc>
        <w:tc>
          <w:tcPr/>
          <w:p>
            <w:pPr>
              <w:pStyle w:val="Compact"/>
            </w:pPr>
            <w:r>
              <w:t xml:space="preserve">Standard / Reference</w:t>
            </w:r>
          </w:p>
        </w:tc>
      </w:tr>
      <w:tr>
        <w:tc>
          <w:tcPr/>
          <w:p>
            <w:pPr>
              <w:pStyle w:val="Compact"/>
            </w:pPr>
            <w:r>
              <w:t xml:space="preserve">Voice one-way delay ≤75 ms (network budget)</w:t>
            </w:r>
          </w:p>
        </w:tc>
        <w:tc>
          <w:tcPr/>
          <w:p>
            <w:pPr>
              <w:pStyle w:val="Compact"/>
            </w:pPr>
            <w:r>
              <w:t xml:space="preserve">Agency SLA obligation; G.114</w:t>
            </w:r>
          </w:p>
        </w:tc>
        <w:tc>
          <w:tcPr/>
          <w:p>
            <w:pPr>
              <w:pStyle w:val="Compact"/>
            </w:pPr>
            <w:r>
              <w:t xml:space="preserve">ITU-T G.114; ITU-T G.107 E-model</w:t>
            </w:r>
          </w:p>
        </w:tc>
      </w:tr>
      <w:tr>
        <w:tc>
          <w:tcPr/>
          <w:p>
            <w:pPr>
              <w:pStyle w:val="Compact"/>
            </w:pPr>
            <w:r>
              <w:t xml:space="preserve">Jitter &lt;30 ms; packet loss &lt;1%</w:t>
            </w:r>
          </w:p>
        </w:tc>
        <w:tc>
          <w:tcPr/>
          <w:p>
            <w:pPr>
              <w:pStyle w:val="Compact"/>
            </w:pPr>
            <w:r>
              <w:t xml:space="preserve">Agency SLA obligation</w:t>
            </w:r>
          </w:p>
        </w:tc>
        <w:tc>
          <w:tcPr/>
          <w:p>
            <w:pPr>
              <w:pStyle w:val="Compact"/>
            </w:pPr>
            <w:r>
              <w:t xml:space="preserve">ITU-T G.107; RFC 3550 (RTP)</w:t>
            </w:r>
          </w:p>
        </w:tc>
      </w:tr>
      <w:tr>
        <w:tc>
          <w:tcPr/>
          <w:p>
            <w:pPr>
              <w:pStyle w:val="Compact"/>
            </w:pPr>
            <w:r>
              <w:t xml:space="preserve">Amazon Connect on AWS .com; specific authorized exception</w:t>
            </w:r>
          </w:p>
        </w:tc>
        <w:tc>
          <w:tcPr/>
          <w:p>
            <w:pPr>
              <w:pStyle w:val="Compact"/>
            </w:pPr>
            <w:r>
              <w:t xml:space="preserve">FedRAMP (FISMA); agency ATO</w:t>
            </w:r>
          </w:p>
        </w:tc>
        <w:tc>
          <w:tcPr/>
          <w:p>
            <w:pPr>
              <w:pStyle w:val="Compact"/>
            </w:pPr>
            <w:r>
              <w:t xml:space="preserve">FedRAMP Moderate P-ATO; NIST SP 800-53 Rev 5 SA-9</w:t>
            </w:r>
          </w:p>
        </w:tc>
      </w:tr>
      <w:tr>
        <w:tc>
          <w:tcPr/>
          <w:p>
            <w:pPr>
              <w:pStyle w:val="Compact"/>
            </w:pPr>
            <w:r>
              <w:t xml:space="preserve">Amazon Connect .com boundary documentation</w:t>
            </w:r>
          </w:p>
        </w:tc>
        <w:tc>
          <w:tcPr/>
          <w:p>
            <w:pPr>
              <w:pStyle w:val="Compact"/>
            </w:pPr>
            <w:r>
              <w:t xml:space="preserve">FedRAMP; Privacy Act</w:t>
            </w:r>
          </w:p>
        </w:tc>
        <w:tc>
          <w:tcPr/>
          <w:p>
            <w:pPr>
              <w:pStyle w:val="Compact"/>
            </w:pPr>
            <w:r>
              <w:t xml:space="preserve">NIST SP 800-53 Rev 5 SA-9, AU-9, SC-28; agency SSP</w:t>
            </w:r>
          </w:p>
        </w:tc>
      </w:tr>
      <w:tr>
        <w:tc>
          <w:tcPr/>
          <w:p>
            <w:pPr>
              <w:pStyle w:val="Compact"/>
            </w:pPr>
            <w:r>
              <w:t xml:space="preserve">ATO exception maintenance at each renewal cycle</w:t>
            </w:r>
          </w:p>
        </w:tc>
        <w:tc>
          <w:tcPr/>
          <w:p>
            <w:pPr>
              <w:pStyle w:val="Compact"/>
            </w:pPr>
            <w:r>
              <w:t xml:space="preserve">FedRAMP ConMon</w:t>
            </w:r>
          </w:p>
        </w:tc>
        <w:tc>
          <w:tcPr/>
          <w:p>
            <w:pPr>
              <w:pStyle w:val="Compact"/>
            </w:pPr>
            <w:r>
              <w:t xml:space="preserve">NIST SP 800-37 Rev 2 CA-7; FedRAMP ConMon requirements</w:t>
            </w:r>
          </w:p>
        </w:tc>
      </w:tr>
      <w:tr>
        <w:tc>
          <w:tcPr/>
          <w:p>
            <w:pPr>
              <w:pStyle w:val="Compact"/>
            </w:pPr>
            <w:r>
              <w:t xml:space="preserve">Teams Phone in GCC Moderate boundary</w:t>
            </w:r>
          </w:p>
        </w:tc>
        <w:tc>
          <w:tcPr/>
          <w:p>
            <w:pPr>
              <w:pStyle w:val="Compact"/>
            </w:pPr>
            <w:r>
              <w:t xml:space="preserve">FedRAMP Moderate (M365 GCC)</w:t>
            </w:r>
          </w:p>
        </w:tc>
        <w:tc>
          <w:tcPr/>
          <w:p>
            <w:pPr>
              <w:pStyle w:val="Compact"/>
            </w:pPr>
            <w:r>
              <w:t xml:space="preserve">Microsoft 365 GCC FedRAMP Moderate ATO</w:t>
            </w:r>
          </w:p>
        </w:tc>
      </w:tr>
      <w:tr>
        <w:tc>
          <w:tcPr/>
          <w:p>
            <w:pPr>
              <w:pStyle w:val="Compact"/>
            </w:pPr>
            <w:r>
              <w:t xml:space="preserve">E911 direct dialing without prefix (Kari’s Law)</w:t>
            </w:r>
          </w:p>
        </w:tc>
        <w:tc>
          <w:tcPr/>
          <w:p>
            <w:pPr>
              <w:pStyle w:val="Compact"/>
            </w:pPr>
            <w:r>
              <w:t xml:space="preserve">Kari’s Law (2018)</w:t>
            </w:r>
          </w:p>
        </w:tc>
        <w:tc>
          <w:tcPr/>
          <w:p>
            <w:pPr>
              <w:pStyle w:val="Compact"/>
            </w:pPr>
            <w:r>
              <w:t xml:space="preserve">47 CFR §9.4; FCC rules</w:t>
            </w:r>
          </w:p>
        </w:tc>
      </w:tr>
      <w:tr>
        <w:tc>
          <w:tcPr/>
          <w:p>
            <w:pPr>
              <w:pStyle w:val="Compact"/>
            </w:pPr>
            <w:r>
              <w:t xml:space="preserve">E911 dispatchable location (Ray Baum’s Act)</w:t>
            </w:r>
          </w:p>
        </w:tc>
        <w:tc>
          <w:tcPr/>
          <w:p>
            <w:pPr>
              <w:pStyle w:val="Compact"/>
            </w:pPr>
            <w:r>
              <w:t xml:space="preserve">Ray Baum’s Act (2018)</w:t>
            </w:r>
          </w:p>
        </w:tc>
        <w:tc>
          <w:tcPr/>
          <w:p>
            <w:pPr>
              <w:pStyle w:val="Compact"/>
            </w:pPr>
            <w:r>
              <w:t xml:space="preserve">47 CFR Part 9; FCC rules; NENA i3 standard</w:t>
            </w:r>
          </w:p>
        </w:tc>
      </w:tr>
      <w:tr>
        <w:tc>
          <w:tcPr/>
          <w:p>
            <w:pPr>
              <w:pStyle w:val="Compact"/>
            </w:pPr>
            <w:r>
              <w:t xml:space="preserve">Local internet breakout for voice</w:t>
            </w:r>
          </w:p>
        </w:tc>
        <w:tc>
          <w:tcPr/>
          <w:p>
            <w:pPr>
              <w:pStyle w:val="Compact"/>
            </w:pPr>
            <w:r>
              <w:t xml:space="preserve">TIC 3.0, OMB M-22-09</w:t>
            </w:r>
          </w:p>
        </w:tc>
        <w:tc>
          <w:tcPr/>
          <w:p>
            <w:pPr>
              <w:pStyle w:val="Compact"/>
            </w:pPr>
            <w:r>
              <w:t xml:space="preserve">TIC 3.0 Use Case E; NIST SP 800-207</w:t>
            </w:r>
          </w:p>
        </w:tc>
      </w:tr>
      <w:tr>
        <w:tc>
          <w:tcPr/>
          <w:p>
            <w:pPr>
              <w:pStyle w:val="Compact"/>
            </w:pPr>
            <w:r>
              <w:t xml:space="preserve">Per-DSCP steering for voice (DSCP EF)</w:t>
            </w:r>
          </w:p>
        </w:tc>
        <w:tc>
          <w:tcPr/>
          <w:p>
            <w:pPr>
              <w:pStyle w:val="Compact"/>
            </w:pPr>
            <w:r>
              <w:t xml:space="preserve">OMB M-22-09 §4</w:t>
            </w:r>
          </w:p>
        </w:tc>
        <w:tc>
          <w:tcPr/>
          <w:p>
            <w:pPr>
              <w:pStyle w:val="Compact"/>
            </w:pPr>
            <w:r>
              <w:t xml:space="preserve">RFC 3246 (DSCP EF); IETF RFC 4594</w:t>
            </w:r>
          </w:p>
        </w:tc>
      </w:tr>
      <w:tr>
        <w:tc>
          <w:tcPr/>
          <w:p>
            <w:pPr>
              <w:pStyle w:val="Compact"/>
            </w:pPr>
            <w:r>
              <w:t xml:space="preserve">Active-active multipath; sub-second failover</w:t>
            </w:r>
          </w:p>
        </w:tc>
        <w:tc>
          <w:tcPr/>
          <w:p>
            <w:pPr>
              <w:pStyle w:val="Compact"/>
            </w:pPr>
            <w:r>
              <w:t xml:space="preserve">TIC 3.0; OMB M-22-09</w:t>
            </w:r>
          </w:p>
        </w:tc>
        <w:tc>
          <w:tcPr/>
          <w:p>
            <w:pPr>
              <w:pStyle w:val="Compact"/>
            </w:pPr>
            <w:r>
              <w:t xml:space="preserve">CISA ZTMM v2.0 Networks pillar</w:t>
            </w:r>
          </w:p>
        </w:tc>
      </w:tr>
      <w:tr>
        <w:tc>
          <w:tcPr/>
          <w:p>
            <w:pPr>
              <w:pStyle w:val="Compact"/>
            </w:pPr>
            <w:r>
              <w:t xml:space="preserve">SBC as PSTN boundary interface</w:t>
            </w:r>
          </w:p>
        </w:tc>
        <w:tc>
          <w:tcPr/>
          <w:p>
            <w:pPr>
              <w:pStyle w:val="Compact"/>
            </w:pPr>
            <w:r>
              <w:t xml:space="preserve">FedRAMP; agency SSP</w:t>
            </w:r>
          </w:p>
        </w:tc>
        <w:tc>
          <w:tcPr/>
          <w:p>
            <w:pPr>
              <w:pStyle w:val="Compact"/>
            </w:pPr>
            <w:r>
              <w:t xml:space="preserve">NIST SP 800-53 Rev 5 SA-9; SC-7</w:t>
            </w:r>
          </w:p>
        </w:tc>
      </w:tr>
      <w:tr>
        <w:tc>
          <w:tcPr/>
          <w:p>
            <w:pPr>
              <w:pStyle w:val="Compact"/>
            </w:pPr>
            <w:r>
              <w:t xml:space="preserve">Call recording access controls and audit logging</w:t>
            </w:r>
          </w:p>
        </w:tc>
        <w:tc>
          <w:tcPr/>
          <w:p>
            <w:pPr>
              <w:pStyle w:val="Compact"/>
            </w:pPr>
            <w:r>
              <w:t xml:space="preserve">FedRAMP; Privacy Act</w:t>
            </w:r>
          </w:p>
        </w:tc>
        <w:tc>
          <w:tcPr/>
          <w:p>
            <w:pPr>
              <w:pStyle w:val="Compact"/>
            </w:pPr>
            <w:r>
              <w:t xml:space="preserve">NIST SP 800-53 Rev 5 AU-9, SC-28; 5 U.S.C. §552a</w:t>
            </w:r>
          </w:p>
        </w:tc>
      </w:tr>
      <w:tr>
        <w:tc>
          <w:tcPr/>
          <w:p>
            <w:pPr>
              <w:pStyle w:val="Compact"/>
            </w:pPr>
            <w:r>
              <w:t xml:space="preserve">Agent IdP federation across .com boundary</w:t>
            </w:r>
          </w:p>
        </w:tc>
        <w:tc>
          <w:tcPr/>
          <w:p>
            <w:pPr>
              <w:pStyle w:val="Compact"/>
            </w:pPr>
            <w:r>
              <w:t xml:space="preserve">OMB M-22-09; FICAM</w:t>
            </w:r>
          </w:p>
        </w:tc>
        <w:tc>
          <w:tcPr/>
          <w:p>
            <w:pPr>
              <w:pStyle w:val="Compact"/>
            </w:pPr>
            <w:r>
              <w:t xml:space="preserve">NIST SP 800-63; SAML 2.0 / OIDC federation documentation</w:t>
            </w:r>
          </w:p>
        </w:tc>
      </w:tr>
      <w:tr>
        <w:tc>
          <w:tcPr/>
          <w:p>
            <w:pPr>
              <w:pStyle w:val="Compact"/>
            </w:pPr>
            <w:r>
              <w:t xml:space="preserve">Continuous call quality monitoring</w:t>
            </w:r>
          </w:p>
        </w:tc>
        <w:tc>
          <w:tcPr/>
          <w:p>
            <w:pPr>
              <w:pStyle w:val="Compact"/>
            </w:pPr>
            <w:r>
              <w:t xml:space="preserve">FedRAMP ConMon; OMB A-130</w:t>
            </w:r>
          </w:p>
        </w:tc>
        <w:tc>
          <w:tcPr/>
          <w:p>
            <w:pPr>
              <w:pStyle w:val="Compact"/>
            </w:pPr>
            <w:r>
              <w:t xml:space="preserve">NIST SP 800-37 Rev 2 CA-7; NIST SP 800-53 CA-7</w:t>
            </w:r>
          </w:p>
        </w:tc>
      </w:tr>
    </w:tbl>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33" Target="media/rId33.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54" Target="media/rId54.png" /><Relationship Type="http://schemas.openxmlformats.org/officeDocument/2006/relationships/image" Id="rId12" Target="media/rId12.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82" Target="media/rId8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06 — Federal Telecommunications Modernization</dc:title>
  <dc:creator>Michael Stratton</dc:creator>
  <cp:keywords/>
  <dcterms:created xsi:type="dcterms:W3CDTF">2026-07-08T09:36:22Z</dcterms:created>
  <dcterms:modified xsi:type="dcterms:W3CDTF">2026-07-08T09:36:22Z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