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9.png" ContentType="image/png"/>
  <Override PartName="/word/media/rId15.png" ContentType="image/png"/>
  <Override PartName="/word/media/rId35.png" ContentType="image/png"/>
  <Override PartName="/word/media/rId4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11 — Federal Application-Aware Networking — Part 11</w:t>
      </w:r>
    </w:p>
    <w:p>
      <w:pPr>
        <w:pStyle w:val="Subtitle"/>
      </w:pPr>
      <w:r>
        <w:t xml:space="preserve">Vulnerability Management and Patch Automation: Defender for Endpoint and CISA KEV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p/>
        </w:tc>
      </w:tr>
    </w:tbl>
    <w:bookmarkStart w:id="18" w:name="what-this-document-addresses"/>
    <w:p>
      <w:pPr>
        <w:pStyle w:val="Heading1"/>
      </w:pPr>
      <w:r>
        <w:t xml:space="preserve">1. 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16" name="Picture"/>
            <a:graphic>
              <a:graphicData uri="http://schemas.openxmlformats.org/drawingml/2006/picture">
                <pic:pic>
                  <pic:nvPicPr>
                    <pic:cNvPr descr="figs/vuln-fig-01-scan-architecture.png" id="17" name="Picture"/>
                    <pic:cNvPicPr>
                      <a:picLocks noChangeArrowheads="1" noChangeAspect="1"/>
                    </pic:cNvPicPr>
                  </pic:nvPicPr>
                  <pic:blipFill>
                    <a:blip r:embed="rId1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18"/>
    <w:bookmarkStart w:id="24" w:name="the-patch-sla-gap"/>
    <w:p>
      <w:pPr>
        <w:pStyle w:val="Heading1"/>
      </w:pPr>
      <w:r>
        <w:t xml:space="preserve">2. The Patch SLA Gap</w:t>
      </w:r>
    </w:p>
    <w:bookmarkStart w:id="19" w:name="what-fedramp-assessors-check"/>
    <w:p>
      <w:pPr>
        <w:pStyle w:val="Heading2"/>
      </w:pPr>
      <w:r>
        <w:t xml:space="preserve">2.1 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“show me CVE-2023-34362 on machine SQL-PROD-07, when it was detected, when it was patched, and whether that fell within your stated SLA,”</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19"/>
    <w:bookmarkStart w:id="20" w:name="cisa-bod-22-01-and-the-kev-catalog"/>
    <w:p>
      <w:pPr>
        <w:pStyle w:val="Heading2"/>
      </w:pPr>
      <w:r>
        <w:t xml:space="preserve">2.2 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
          <w:bCs/>
        </w:rPr>
        <w:t xml:space="preserve">two weeks</w:t>
      </w:r>
      <w:r>
        <w:t xml:space="preserve"> </w:t>
      </w:r>
      <w:r>
        <w:t xml:space="preserve">of catalog publication. A KEV entry that is internal-only must be patched within</w:t>
      </w:r>
      <w:r>
        <w:t xml:space="preserve"> </w:t>
      </w:r>
      <w:r>
        <w:rPr>
          <w:b/>
          <w:bCs/>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bookmarkEnd w:id="20"/>
    <w:bookmarkStart w:id="23" w:name="patch-sla-table"/>
    <w:p>
      <w:pPr>
        <w:pStyle w:val="Heading2"/>
      </w:pPr>
      <w:r>
        <w:t xml:space="preserve">2.3 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w:t>
      </w:r>
    </w:p>
    <w:tbl>
      <w:tblPr>
        <w:tblStyle w:val="Table"/>
        <w:tblW w:type="pct" w:w="5000"/>
        <w:tblLayout w:type="fixed"/>
        <w:tblLook w:firstRow="1" w:lastRow="0" w:firstColumn="0" w:lastColumn="0" w:noHBand="0" w:noVBand="0" w:val="0020"/>
        <w:tblCaption w:val="Patch SLA tiers by priority class"/>
      </w:tblPr>
      <w:tblGrid>
        <w:gridCol w:w="1980"/>
        <w:gridCol w:w="1980"/>
        <w:gridCol w:w="1980"/>
        <w:gridCol w:w="1980"/>
      </w:tblGrid>
      <w:tr>
        <w:trPr>
          <w:tblHeader w:val="on"/>
        </w:trPr>
        <w:tc>
          <w:tcPr/>
          <w:p>
            <w:pPr>
              <w:pStyle w:val="Compact"/>
            </w:pPr>
            <w:r>
              <w:t xml:space="preserve">Priority</w:t>
            </w:r>
          </w:p>
        </w:tc>
        <w:tc>
          <w:tcPr/>
          <w:p>
            <w:pPr>
              <w:pStyle w:val="Compact"/>
            </w:pPr>
            <w:r>
              <w:t xml:space="preserve">Criteria</w:t>
            </w:r>
          </w:p>
        </w:tc>
        <w:tc>
          <w:tcPr/>
          <w:p>
            <w:pPr>
              <w:pStyle w:val="Compact"/>
            </w:pPr>
            <w:r>
              <w:t xml:space="preserve">SLA (Calendar Days)</w:t>
            </w:r>
          </w:p>
        </w:tc>
        <w:tc>
          <w:tcPr/>
          <w:p>
            <w:pPr>
              <w:pStyle w:val="Compact"/>
            </w:pPr>
            <w:r>
              <w:t xml:space="preserve">Authority</w:t>
            </w:r>
          </w:p>
        </w:tc>
      </w:tr>
      <w:tr>
        <w:tc>
          <w:tcPr/>
          <w:p>
            <w:pPr>
              <w:pStyle w:val="Compact"/>
            </w:pPr>
            <w:r>
              <w:t xml:space="preserve">P0 — KEV Internet-Facing</w:t>
            </w:r>
          </w:p>
        </w:tc>
        <w:tc>
          <w:tcPr/>
          <w:p>
            <w:pPr>
              <w:pStyle w:val="Compact"/>
            </w:pPr>
            <w:r>
              <w:t xml:space="preserve">CVE in CISA KEV AND system has external exposure</w:t>
            </w:r>
          </w:p>
        </w:tc>
        <w:tc>
          <w:tcPr/>
          <w:p>
            <w:pPr>
              <w:pStyle w:val="Compact"/>
            </w:pPr>
            <w:r>
              <w:t xml:space="preserve">14 days</w:t>
            </w:r>
          </w:p>
        </w:tc>
        <w:tc>
          <w:tcPr/>
          <w:p>
            <w:pPr>
              <w:pStyle w:val="Compact"/>
            </w:pPr>
            <w:r>
              <w:t xml:space="preserve">BOD 22-01</w:t>
            </w:r>
          </w:p>
        </w:tc>
      </w:tr>
      <w:tr>
        <w:tc>
          <w:tcPr/>
          <w:p>
            <w:pPr>
              <w:pStyle w:val="Compact"/>
            </w:pPr>
            <w:r>
              <w:t xml:space="preserve">P1 — KEV Internal</w:t>
            </w:r>
          </w:p>
        </w:tc>
        <w:tc>
          <w:tcPr/>
          <w:p>
            <w:pPr>
              <w:pStyle w:val="Compact"/>
            </w:pPr>
            <w:r>
              <w:t xml:space="preserve">CVE in CISA KEV AND system is internal only</w:t>
            </w:r>
          </w:p>
        </w:tc>
        <w:tc>
          <w:tcPr/>
          <w:p>
            <w:pPr>
              <w:pStyle w:val="Compact"/>
            </w:pPr>
            <w:r>
              <w:t xml:space="preserve">28 days</w:t>
            </w:r>
          </w:p>
        </w:tc>
        <w:tc>
          <w:tcPr/>
          <w:p>
            <w:pPr>
              <w:pStyle w:val="Compact"/>
            </w:pPr>
            <w:r>
              <w:t xml:space="preserve">BOD 22-01</w:t>
            </w:r>
          </w:p>
        </w:tc>
      </w:tr>
      <w:tr>
        <w:tc>
          <w:tcPr/>
          <w:p>
            <w:pPr>
              <w:pStyle w:val="Compact"/>
            </w:pPr>
            <w:r>
              <w:t xml:space="preserve">P2 — Critical Non-KEV</w:t>
            </w:r>
          </w:p>
        </w:tc>
        <w:tc>
          <w:tcPr/>
          <w:p>
            <w:pPr>
              <w:pStyle w:val="Compact"/>
            </w:pPr>
            <w:r>
              <w:t xml:space="preserve">CVSS 9.0–10.0, not in KEV</w:t>
            </w:r>
          </w:p>
        </w:tc>
        <w:tc>
          <w:tcPr/>
          <w:p>
            <w:pPr>
              <w:pStyle w:val="Compact"/>
            </w:pPr>
            <w:r>
              <w:t xml:space="preserve">15 days</w:t>
            </w:r>
          </w:p>
        </w:tc>
        <w:tc>
          <w:tcPr/>
          <w:p>
            <w:pPr>
              <w:pStyle w:val="Compact"/>
            </w:pPr>
            <w:r>
              <w:t xml:space="preserve">NIST SP 800-40 R4</w:t>
            </w:r>
          </w:p>
        </w:tc>
      </w:tr>
      <w:tr>
        <w:tc>
          <w:tcPr/>
          <w:p>
            <w:pPr>
              <w:pStyle w:val="Compact"/>
            </w:pPr>
            <w:r>
              <w:t xml:space="preserve">P3 — High Non-KEV</w:t>
            </w:r>
          </w:p>
        </w:tc>
        <w:tc>
          <w:tcPr/>
          <w:p>
            <w:pPr>
              <w:pStyle w:val="Compact"/>
            </w:pPr>
            <w:r>
              <w:t xml:space="preserve">CVSS 7.0–8.9, not in KEV</w:t>
            </w:r>
          </w:p>
        </w:tc>
        <w:tc>
          <w:tcPr/>
          <w:p>
            <w:pPr>
              <w:pStyle w:val="Compact"/>
            </w:pPr>
            <w:r>
              <w:t xml:space="preserve">30 days</w:t>
            </w:r>
          </w:p>
        </w:tc>
        <w:tc>
          <w:tcPr/>
          <w:p>
            <w:pPr>
              <w:pStyle w:val="Compact"/>
            </w:pPr>
            <w:r>
              <w:t xml:space="preserve">NIST SP 800-40 R4</w:t>
            </w:r>
          </w:p>
        </w:tc>
      </w:tr>
      <w:tr>
        <w:tc>
          <w:tcPr/>
          <w:p>
            <w:pPr>
              <w:pStyle w:val="Compact"/>
            </w:pPr>
            <w:r>
              <w:t xml:space="preserve">P4 — Medium</w:t>
            </w:r>
          </w:p>
        </w:tc>
        <w:tc>
          <w:tcPr/>
          <w:p>
            <w:pPr>
              <w:pStyle w:val="Compact"/>
            </w:pPr>
            <w:r>
              <w:t xml:space="preserve">CVSS 4.0–6.9</w:t>
            </w:r>
          </w:p>
        </w:tc>
        <w:tc>
          <w:tcPr/>
          <w:p>
            <w:pPr>
              <w:pStyle w:val="Compact"/>
            </w:pPr>
            <w:r>
              <w:t xml:space="preserve">90 days</w:t>
            </w:r>
          </w:p>
        </w:tc>
        <w:tc>
          <w:tcPr/>
          <w:p>
            <w:pPr>
              <w:pStyle w:val="Compact"/>
            </w:pPr>
            <w:r>
              <w:t xml:space="preserve">Agency Policy</w:t>
            </w:r>
          </w:p>
        </w:tc>
      </w:tr>
      <w:tr>
        <w:tc>
          <w:tcPr/>
          <w:p>
            <w:pPr>
              <w:pStyle w:val="Compact"/>
            </w:pPr>
            <w:r>
              <w:t xml:space="preserve">P5 — Low</w:t>
            </w:r>
          </w:p>
        </w:tc>
        <w:tc>
          <w:tcPr/>
          <w:p>
            <w:pPr>
              <w:pStyle w:val="Compact"/>
            </w:pPr>
            <w:r>
              <w:t xml:space="preserve">CVSS 0.1–3.9</w:t>
            </w:r>
          </w:p>
        </w:tc>
        <w:tc>
          <w:tcPr/>
          <w:p>
            <w:pPr>
              <w:pStyle w:val="Compact"/>
            </w:pPr>
            <w:r>
              <w:t xml:space="preserve">180 days</w:t>
            </w:r>
          </w:p>
        </w:tc>
        <w:tc>
          <w:tcPr/>
          <w:p>
            <w:pPr>
              <w:pStyle w:val="Compact"/>
            </w:pPr>
            <w:r>
              <w:t xml:space="preserve">Agency Policy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tc>
      </w:tr>
    </w:tbl>
    <w:p>
      <w:r>
        <w:pict>
          <v:rect style="width:0;height:1.5pt" o:hralign="center" o:hrstd="t" o:hr="t"/>
        </w:pict>
      </w:r>
    </w:p>
    <w:bookmarkEnd w:id="23"/>
    <w:bookmarkEnd w:id="24"/>
    <w:bookmarkStart w:id="33" w:name="X2b442fc05acc20b7ed6470dfff2832445fc2597"/>
    <w:p>
      <w:pPr>
        <w:pStyle w:val="Heading1"/>
      </w:pPr>
      <w:r>
        <w:t xml:space="preserve">3. Defender for Endpoint and Arc Integration</w:t>
      </w:r>
    </w:p>
    <w:bookmarkStart w:id="25" w:name="how-mdvm-uses-the-arc-agent-channel"/>
    <w:p>
      <w:pPr>
        <w:pStyle w:val="Heading2"/>
      </w:pPr>
      <w:r>
        <w:t xml:space="preserve">3.1 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pStyle w:val="Compact"/>
        <w:numPr>
          <w:ilvl w:val="0"/>
          <w:numId w:val="1001"/>
        </w:numPr>
      </w:pPr>
      <w:r>
        <w:rPr>
          <w:b/>
          <w:bCs/>
        </w:rPr>
        <w:t xml:space="preserve">Software inventory</w:t>
      </w:r>
      <w:r>
        <w:t xml:space="preserve"> </w:t>
      </w:r>
      <w:r>
        <w:t xml:space="preserve">— all installed software with version numbers, compared against vendor support lifecycle data</w:t>
      </w:r>
    </w:p>
    <w:p>
      <w:pPr>
        <w:pStyle w:val="Compact"/>
        <w:numPr>
          <w:ilvl w:val="0"/>
          <w:numId w:val="1001"/>
        </w:numPr>
      </w:pPr>
      <w:r>
        <w:rPr>
          <w:b/>
          <w:bCs/>
        </w:rPr>
        <w:t xml:space="preserve">Missing patches</w:t>
      </w:r>
      <w:r>
        <w:t xml:space="preserve"> </w:t>
      </w:r>
      <w:r>
        <w:t xml:space="preserve">— operating system patches from Windows Update not yet applied, cross-referenced against CVSS scores and KEV status</w:t>
      </w:r>
    </w:p>
    <w:p>
      <w:pPr>
        <w:pStyle w:val="Compact"/>
        <w:numPr>
          <w:ilvl w:val="0"/>
          <w:numId w:val="1001"/>
        </w:numPr>
      </w:pPr>
      <w:r>
        <w:rPr>
          <w:b/>
          <w:bCs/>
        </w:rPr>
        <w:t xml:space="preserve">Security configurations</w:t>
      </w:r>
      <w:r>
        <w:t xml:space="preserve"> </w:t>
      </w:r>
      <w:r>
        <w:t xml:space="preserve">— registry settings, service configurations, and enabled features compared against security baselines</w:t>
      </w:r>
    </w:p>
    <w:p>
      <w:pPr>
        <w:pStyle w:val="Compact"/>
        <w:numPr>
          <w:ilvl w:val="0"/>
          <w:numId w:val="1001"/>
        </w:numPr>
      </w:pPr>
      <w:r>
        <w:rPr>
          <w:b/>
          <w:bCs/>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5"/>
    <w:bookmarkStart w:id="29" w:name="coverage-matrix"/>
    <w:p>
      <w:pPr>
        <w:pStyle w:val="Heading2"/>
      </w:pPr>
      <w:r>
        <w:t xml:space="preserve">3.2 Coverage Matrix</w:t>
      </w:r>
    </w:p>
    <w:p>
      <w:pPr>
        <w:pStyle w:val="TableCaption"/>
      </w:pPr>
      <w:r>
        <w:t xml:space="preserve">MDVM coverage matrix for Arc-enrolled assets</w:t>
      </w:r>
    </w:p>
    <w:tbl>
      <w:tblPr>
        <w:tblStyle w:val="Table"/>
        <w:tblW w:type="pct" w:w="5000"/>
        <w:tblLayout w:type="fixed"/>
        <w:tblLook w:firstRow="1" w:lastRow="0" w:firstColumn="0" w:lastColumn="0" w:noHBand="0" w:noVBand="0" w:val="0020"/>
        <w:tblCaption w:val="MDVM coverage matrix for Arc-enrolled assets"/>
      </w:tblPr>
      <w:tblGrid>
        <w:gridCol w:w="2640"/>
        <w:gridCol w:w="2640"/>
        <w:gridCol w:w="2640"/>
      </w:tblGrid>
      <w:tr>
        <w:trPr>
          <w:tblHeader w:val="on"/>
        </w:trPr>
        <w:tc>
          <w:tcPr/>
          <w:p>
            <w:pPr>
              <w:pStyle w:val="Compact"/>
            </w:pPr>
            <w:r>
              <w:t xml:space="preserve">OS / Component</w:t>
            </w:r>
          </w:p>
        </w:tc>
        <w:tc>
          <w:tcPr/>
          <w:p>
            <w:pPr>
              <w:pStyle w:val="Compact"/>
            </w:pPr>
            <w:r>
              <w:t xml:space="preserve">MDVM Coverage</w:t>
            </w:r>
          </w:p>
        </w:tc>
        <w:tc>
          <w:tcPr/>
          <w:p>
            <w:pPr>
              <w:pStyle w:val="Compact"/>
            </w:pPr>
            <w:r>
              <w:t xml:space="preserve">Notes</w:t>
            </w:r>
          </w:p>
        </w:tc>
      </w:tr>
      <w:tr>
        <w:tc>
          <w:tcPr/>
          <w:p>
            <w:pPr>
              <w:pStyle w:val="Compact"/>
            </w:pPr>
            <w:r>
              <w:t xml:space="preserve">Windows Server 2012 R2</w:t>
            </w:r>
          </w:p>
        </w:tc>
        <w:tc>
          <w:tcPr/>
          <w:p>
            <w:pPr>
              <w:pStyle w:val="Compact"/>
            </w:pPr>
            <w:r>
              <w:t xml:space="preserve">Yes (via MMA fallback)</w:t>
            </w:r>
          </w:p>
        </w:tc>
        <w:tc>
          <w:tcPr/>
          <w:p>
            <w:pPr>
              <w:pStyle w:val="Compact"/>
            </w:pPr>
            <w:r>
              <w:t xml:space="preserve">ESU required; MMA not AMA</w:t>
            </w:r>
          </w:p>
        </w:tc>
      </w:tr>
      <w:tr>
        <w:tc>
          <w:tcPr/>
          <w:p>
            <w:pPr>
              <w:pStyle w:val="Compact"/>
            </w:pPr>
            <w:r>
              <w:t xml:space="preserve">Windows Server 2016</w:t>
            </w:r>
          </w:p>
        </w:tc>
        <w:tc>
          <w:tcPr/>
          <w:p>
            <w:pPr>
              <w:pStyle w:val="Compact"/>
            </w:pPr>
            <w:r>
              <w:t xml:space="preserve">Yes</w:t>
            </w:r>
          </w:p>
        </w:tc>
        <w:tc>
          <w:tcPr/>
          <w:p>
            <w:pPr>
              <w:pStyle w:val="Compact"/>
            </w:pPr>
            <w:r>
              <w:t xml:space="preserve">AMA channel</w:t>
            </w:r>
          </w:p>
        </w:tc>
      </w:tr>
      <w:tr>
        <w:tc>
          <w:tcPr/>
          <w:p>
            <w:pPr>
              <w:pStyle w:val="Compact"/>
            </w:pPr>
            <w:r>
              <w:t xml:space="preserve">Windows Server 2019</w:t>
            </w:r>
          </w:p>
        </w:tc>
        <w:tc>
          <w:tcPr/>
          <w:p>
            <w:pPr>
              <w:pStyle w:val="Compact"/>
            </w:pPr>
            <w:r>
              <w:t xml:space="preserve">Yes</w:t>
            </w:r>
          </w:p>
        </w:tc>
        <w:tc>
          <w:tcPr/>
          <w:p>
            <w:pPr>
              <w:pStyle w:val="Compact"/>
            </w:pPr>
            <w:r>
              <w:t xml:space="preserve">AMA channel</w:t>
            </w:r>
          </w:p>
        </w:tc>
      </w:tr>
      <w:tr>
        <w:tc>
          <w:tcPr/>
          <w:p>
            <w:pPr>
              <w:pStyle w:val="Compact"/>
            </w:pPr>
            <w:r>
              <w:t xml:space="preserve">Windows Server 2022</w:t>
            </w:r>
          </w:p>
        </w:tc>
        <w:tc>
          <w:tcPr/>
          <w:p>
            <w:pPr>
              <w:pStyle w:val="Compact"/>
            </w:pPr>
            <w:r>
              <w:t xml:space="preserve">Yes</w:t>
            </w:r>
          </w:p>
        </w:tc>
        <w:tc>
          <w:tcPr/>
          <w:p>
            <w:pPr>
              <w:pStyle w:val="Compact"/>
            </w:pPr>
            <w:r>
              <w:t xml:space="preserve">AMA channel, full baseline</w:t>
            </w:r>
          </w:p>
        </w:tc>
      </w:tr>
      <w:tr>
        <w:tc>
          <w:tcPr/>
          <w:p>
            <w:pPr>
              <w:pStyle w:val="Compact"/>
            </w:pPr>
            <w:r>
              <w:t xml:space="preserve">Windows Server 2025</w:t>
            </w:r>
          </w:p>
        </w:tc>
        <w:tc>
          <w:tcPr/>
          <w:p>
            <w:pPr>
              <w:pStyle w:val="Compact"/>
            </w:pPr>
            <w:r>
              <w:t xml:space="preserve">Yes</w:t>
            </w:r>
          </w:p>
        </w:tc>
        <w:tc>
          <w:tcPr/>
          <w:p>
            <w:pPr>
              <w:pStyle w:val="Compact"/>
            </w:pPr>
            <w:r>
              <w:t xml:space="preserve">AMA channel, full baseline</w:t>
            </w:r>
          </w:p>
        </w:tc>
      </w:tr>
      <w:tr>
        <w:tc>
          <w:tcPr/>
          <w:p>
            <w:pPr>
              <w:pStyle w:val="Compact"/>
            </w:pPr>
            <w:r>
              <w:t xml:space="preserve">SQL Server 2014–2019</w:t>
            </w:r>
          </w:p>
        </w:tc>
        <w:tc>
          <w:tcPr/>
          <w:p>
            <w:pPr>
              <w:pStyle w:val="Compact"/>
            </w:pPr>
            <w:r>
              <w:t xml:space="preserve">Yes (software inventory)</w:t>
            </w:r>
          </w:p>
        </w:tc>
        <w:tc>
          <w:tcPr/>
          <w:p>
            <w:pPr>
              <w:pStyle w:val="Compact"/>
            </w:pPr>
            <w:r>
              <w:t xml:space="preserve">CU-level tracking</w:t>
            </w:r>
          </w:p>
        </w:tc>
      </w:tr>
      <w:tr>
        <w:tc>
          <w:tcPr/>
          <w:p>
            <w:pPr>
              <w:pStyle w:val="Compact"/>
            </w:pPr>
            <w:r>
              <w:t xml:space="preserve">SQL Server 2022</w:t>
            </w:r>
          </w:p>
        </w:tc>
        <w:tc>
          <w:tcPr/>
          <w:p>
            <w:pPr>
              <w:pStyle w:val="Compact"/>
            </w:pPr>
            <w:r>
              <w:t xml:space="preserve">Yes (software inventory + config)</w:t>
            </w:r>
          </w:p>
        </w:tc>
        <w:tc>
          <w:tcPr/>
          <w:p>
            <w:pPr>
              <w:pStyle w:val="Compact"/>
            </w:pPr>
            <w:r>
              <w:t xml:space="preserve">Full baseline</w:t>
            </w:r>
          </w:p>
        </w:tc>
      </w:tr>
      <w:tr>
        <w:tc>
          <w:tcPr/>
          <w:p>
            <w:pPr>
              <w:pStyle w:val="Compact"/>
            </w:pPr>
            <w:r>
              <w:t xml:space="preserve">Windows 10/11 (Intune-joined)</w:t>
            </w:r>
          </w:p>
        </w:tc>
        <w:tc>
          <w:tcPr/>
          <w:p>
            <w:pPr>
              <w:pStyle w:val="Compact"/>
            </w:pPr>
            <w:r>
              <w:t xml:space="preserve">Yes</w:t>
            </w:r>
          </w:p>
        </w:tc>
        <w:tc>
          <w:tcPr/>
          <w:p>
            <w:pPr>
              <w:pStyle w:val="Compact"/>
            </w:pPr>
            <w:r>
              <w:t xml:space="preserve">MDE sensor via Intune</w:t>
            </w:r>
          </w:p>
        </w:tc>
      </w:tr>
      <w:tr>
        <w:tc>
          <w:tcPr/>
          <w:p>
            <w:pPr>
              <w:pStyle w:val="Compact"/>
            </w:pPr>
            <w:r>
              <w:t xml:space="preserve">Linux (Arc-enrolled)</w:t>
            </w:r>
          </w:p>
        </w:tc>
        <w:tc>
          <w:tcPr/>
          <w:p>
            <w:pPr>
              <w:pStyle w:val="Compact"/>
            </w:pPr>
            <w:r>
              <w:t xml:space="preserve">Yes</w:t>
            </w:r>
          </w:p>
        </w:tc>
        <w:tc>
          <w:tcPr/>
          <w:p>
            <w:pPr>
              <w:pStyle w:val="Compact"/>
            </w:pPr>
            <w:r>
              <w:t xml:space="preserve">AMA channel</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tc>
      </w:tr>
    </w:tbl>
    <w:bookmarkEnd w:id="29"/>
    <w:bookmarkStart w:id="32" w:name="X22de9f0b7e674c060eafe00e9b4458a1f0c421d"/>
    <w:p>
      <w:pPr>
        <w:pStyle w:val="Heading2"/>
      </w:pPr>
      <w:r>
        <w:t xml:space="preserve">3.3 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$arcMachines</w:t>
      </w:r>
      <w:r>
        <w:rPr>
          <w:rStyle w:val="OperatorTok"/>
        </w:rPr>
        <w:t xml:space="preserve">.</w:t>
      </w:r>
      <w:r>
        <w:rPr>
          <w:rStyle w:val="FunctionTok"/>
        </w:rPr>
        <w:t xml:space="preserve">Count</w:t>
      </w:r>
      <w:r>
        <w:rPr>
          <w:rStyle w:val="OperatorTok"/>
        </w:rPr>
        <w:t xml:space="preserve">)</w:t>
      </w:r>
      <w:r>
        <w:rPr>
          <w:rStyle w:val="StringTok"/>
        </w:rPr>
        <w:t xml:space="preserve">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$mdeTenantUrl</w:t>
      </w:r>
      <w:r>
        <w:rPr>
          <w:rStyle w:val="StringTok"/>
        </w:rPr>
        <w:t xml:space="preserve">/api/machines?</w:t>
      </w:r>
      <w:r>
        <w:rPr>
          <w:rStyle w:val="CharTok"/>
        </w:rPr>
        <w:t xml:space="preserve">`$</w:t>
      </w:r>
      <w:r>
        <w:rPr>
          <w:rStyle w:val="StringTok"/>
        </w:rPr>
        <w:t xml:space="preserve">select=id,computerDnsName,osPlatform,healthStatus,onboardingStatus"</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$mdeMachines</w:t>
      </w:r>
      <w:r>
        <w:rPr>
          <w:rStyle w:val="OperatorTok"/>
        </w:rPr>
        <w:t xml:space="preserve">.</w:t>
      </w:r>
      <w:r>
        <w:rPr>
          <w:rStyle w:val="FunctionTok"/>
        </w:rPr>
        <w:t xml:space="preserve">Count</w:t>
      </w:r>
      <w:r>
        <w:rPr>
          <w:rStyle w:val="OperatorTok"/>
        </w:rPr>
        <w:t xml:space="preserve">)</w:t>
      </w:r>
      <w:r>
        <w:rPr>
          <w:rStyle w:val="StringTok"/>
        </w:rPr>
        <w:t xml:space="preserve">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-ne</w:t>
      </w:r>
      <w:r>
        <w:rPr>
          <w:rStyle w:val="NormalTok"/>
        </w:rPr>
        <w:t xml:space="preserv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-eq</w:t>
      </w:r>
      <w:r>
        <w:rPr>
          <w:rStyle w:val="NormalTok"/>
        </w:rPr>
        <w:t xml:space="preserve">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w:t>
      </w:r>
      <w:r>
        <w:rPr>
          <w:rStyle w:val="OperatorTok"/>
        </w:rPr>
        <w:t xml:space="preserve">$(</w:t>
      </w:r>
      <w:r>
        <w:rPr>
          <w:rStyle w:val="VariableTok"/>
        </w:rPr>
        <w:t xml:space="preserve">$results</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onboarded:       </w:t>
      </w:r>
      <w:r>
        <w:rPr>
          <w:rStyle w:val="OperatorTok"/>
        </w:rPr>
        <w:t xml:space="preserve">$((</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MDEOnboarded</w:t>
      </w:r>
      <w:r>
        <w:rPr>
          <w:rStyle w:val="OperatorTok"/>
        </w:rPr>
        <w:t xml:space="preserve">)</w:t>
      </w:r>
      <w:r>
        <w:rPr>
          <w:rStyle w:val="StringTok"/>
        </w:rPr>
        <w:t xml:space="preserve">.Count)"</w:t>
      </w:r>
      <w:r>
        <w:br/>
      </w:r>
      <w:r>
        <w:rPr>
          <w:rStyle w:val="FunctionTok"/>
        </w:rPr>
        <w:t xml:space="preserve">Write-Host</w:t>
      </w:r>
      <w:r>
        <w:rPr>
          <w:rStyle w:val="NormalTok"/>
        </w:rPr>
        <w:t xml:space="preserve"> </w:t>
      </w:r>
      <w:r>
        <w:rPr>
          <w:rStyle w:val="StringTok"/>
        </w:rPr>
        <w:t xml:space="preserve">"Not in MDE: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inactive:        </w:t>
      </w:r>
      <w:r>
        <w:rPr>
          <w:rStyle w:val="OperatorTok"/>
        </w:rPr>
        <w:t xml:space="preserve">$(</w:t>
      </w:r>
      <w:r>
        <w:rPr>
          <w:rStyle w:val="VariableTok"/>
        </w:rPr>
        <w:t xml:space="preserve">$unhealthy</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w:t>
      </w:r>
      <w:r>
        <w:rPr>
          <w:rStyle w:val="VariableTok"/>
        </w:rPr>
        <w:t xml:space="preserve">$OutputPath</w:t>
      </w:r>
      <w:r>
        <w:rPr>
          <w:rStyle w:val="String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tc>
      </w:tr>
    </w:tbl>
    <w:p>
      <w:r>
        <w:pict>
          <v:rect style="width:0;height:1.5pt" o:hralign="center" o:hrstd="t" o:hr="t"/>
        </w:pict>
      </w:r>
    </w:p>
    <w:bookmarkEnd w:id="32"/>
    <w:bookmarkEnd w:id="33"/>
    <w:bookmarkStart w:id="41" w:name="cisa-kev-integration-and-prioritization"/>
    <w:p>
      <w:pPr>
        <w:pStyle w:val="Heading1"/>
      </w:pPr>
      <w:r>
        <w:t xml:space="preserve">4. CISA KEV Integration and Prioritization</w:t>
      </w:r>
    </w:p>
    <w:bookmarkStart w:id="34" w:name="the-kev-catalog-json-feed"/>
    <w:p>
      <w:pPr>
        <w:pStyle w:val="Heading2"/>
      </w:pPr>
      <w:r>
        <w:t xml:space="preserve">4.1 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4"/>
    <w:bookmarkStart w:id="40" w:name="kev-pull-and-cve-cross-reference"/>
    <w:p>
      <w:pPr>
        <w:pStyle w:val="Heading2"/>
      </w:pPr>
      <w:r>
        <w:t xml:space="preserve">4.2 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w:t>
      </w:r>
      <w:r>
        <w:rPr>
          <w:rStyle w:val="DecValTok"/>
        </w:rPr>
        <w:t xml:space="preserve">30</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-ge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"Failed to download KEV catalog after 3 attempts: </w:t>
      </w:r>
      <w:r>
        <w:rPr>
          <w:rStyle w:val="VariableTok"/>
        </w:rPr>
        <w:t xml:space="preserve">$_</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w:t>
      </w:r>
      <w:r>
        <w:rPr>
          <w:rStyle w:val="OperatorTok"/>
        </w:rPr>
        <w:t xml:space="preserve">$(</w:t>
      </w:r>
      <w:r>
        <w:rPr>
          <w:rStyle w:val="VariableTok"/>
        </w:rPr>
        <w:t xml:space="preserve">$entry</w:t>
      </w:r>
      <w:r>
        <w:rPr>
          <w:rStyle w:val="OperatorTok"/>
        </w:rPr>
        <w:t xml:space="preserve">.</w:t>
      </w:r>
      <w:r>
        <w:rPr>
          <w:rStyle w:val="FunctionTok"/>
        </w:rPr>
        <w:t xml:space="preserve">vendorProject</w:t>
      </w:r>
      <w:r>
        <w:rPr>
          <w:rStyle w:val="OperatorTok"/>
        </w:rPr>
        <w:t xml:space="preserve">)</w:t>
      </w:r>
      <w:r>
        <w:rPr>
          <w:rStyle w:val="String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product</w:t>
      </w:r>
      <w:r>
        <w:rPr>
          <w:rStyle w:val="OperatorTok"/>
        </w:rPr>
        <w:t xml:space="preserve">)</w:t>
      </w:r>
      <w:r>
        <w:rPr>
          <w:rStyle w:val="StringTok"/>
        </w:rPr>
        <w:t xml:space="preserve">"</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KEV catalog loaded: </w:t>
      </w:r>
      <w:r>
        <w:rPr>
          <w:rStyle w:val="OperatorTok"/>
        </w:rPr>
        <w:t xml:space="preserve">$(</w:t>
      </w:r>
      <w:r>
        <w:rPr>
          <w:rStyle w:val="VariableTok"/>
        </w:rPr>
        <w:t xml:space="preserve">$kevCatalog</w:t>
      </w:r>
      <w:r>
        <w:rPr>
          <w:rStyle w:val="OperatorTok"/>
        </w:rPr>
        <w:t xml:space="preserve">.</w:t>
      </w:r>
      <w:r>
        <w:rPr>
          <w:rStyle w:val="FunctionTok"/>
        </w:rPr>
        <w:t xml:space="preserve">Count</w:t>
      </w:r>
      <w:r>
        <w:rPr>
          <w:rStyle w:val="OperatorTok"/>
        </w:rPr>
        <w:t xml:space="preserve">)</w:t>
      </w:r>
      <w:r>
        <w:rPr>
          <w:rStyle w:val="StringTok"/>
        </w:rPr>
        <w:t xml:space="preserve">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Retrieved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StringTok"/>
        </w:rPr>
        <w:t xml:space="preserve">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/machines?</w:t>
      </w:r>
      <w:r>
        <w:rPr>
          <w:rStyle w:val="CharTok"/>
        </w:rPr>
        <w:t xml:space="preserve">`$</w:t>
      </w:r>
      <w:r>
        <w:rPr>
          <w:rStyle w:val="StringTok"/>
        </w:rPr>
        <w:t xml:space="preserve">select=id,computerDnsName,isInternetFacing,osPlatform,rbacGroupName"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-and</w:t>
      </w:r>
      <w:r>
        <w:rPr>
          <w:rStyle w:val="NormalTok"/>
        </w:rPr>
        <w:t xml:space="preserve">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OperatorTok"/>
        </w:rPr>
        <w:t xml:space="preserve">-not</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DecValTok"/>
        </w:rPr>
        <w:t xml:space="preserve">5</w:t>
      </w:r>
      <w:r>
        <w:rPr>
          <w:rStyle w:val="NormalTok"/>
        </w:rPr>
        <w:t xml:space="preserve">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DecV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w:t>
      </w:r>
      <w:r>
        <w:rPr>
          <w:rStyle w:val="VariableTok"/>
        </w:rPr>
        <w:t xml:space="preserve">$today</w:t>
      </w:r>
      <w:r>
        <w:rPr>
          <w:rStyle w:val="StringTok"/>
        </w:rPr>
        <w:t xml:space="preserve">.json"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w:t>
      </w:r>
      <w:r>
        <w:rPr>
          <w:rStyle w:val="VariableTok"/>
        </w:rPr>
        <w:t xml:space="preserve">$timestamp</w:t>
      </w:r>
      <w:r>
        <w:rPr>
          <w:rStyle w:val="StringTok"/>
        </w:rPr>
        <w:t xml:space="preserve">.json"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4</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ControlFlow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w:t>
      </w:r>
      <w:r>
        <w:rPr>
          <w:rStyle w:val="VariableTok"/>
        </w:rPr>
        <w:t xml:space="preserve">$today</w:t>
      </w:r>
      <w:r>
        <w:rPr>
          <w:rStyle w:val="StringTok"/>
        </w:rPr>
        <w:t xml:space="preserve">) ==="</w:t>
      </w:r>
      <w:r>
        <w:br/>
      </w:r>
      <w:r>
        <w:rPr>
          <w:rStyle w:val="FunctionTok"/>
        </w:rPr>
        <w:t xml:space="preserve">Write-Host</w:t>
      </w:r>
      <w:r>
        <w:rPr>
          <w:rStyle w:val="NormalTok"/>
        </w:rPr>
        <w:t xml:space="preserve"> </w:t>
      </w:r>
      <w:r>
        <w:rPr>
          <w:rStyle w:val="StringTok"/>
        </w:rPr>
        <w:t xml:space="preserve">"Total CVE-machine findings:  </w:t>
      </w:r>
      <w:r>
        <w:rPr>
          <w:rStyle w:val="OperatorTok"/>
        </w:rPr>
        <w:t xml:space="preserve">$(</w:t>
      </w:r>
      <w:r>
        <w:rPr>
          <w:rStyle w:val="VariableTok"/>
        </w:rPr>
        <w:t xml:space="preserve">$summary</w:t>
      </w:r>
      <w:r>
        <w:rPr>
          <w:rStyle w:val="OperatorTok"/>
        </w:rPr>
        <w:t xml:space="preserve">.</w:t>
      </w:r>
      <w:r>
        <w:rPr>
          <w:rStyle w:val="FunctionTok"/>
        </w:rPr>
        <w:t xml:space="preserve">TotalFindings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"Machines with findings:      </w:t>
      </w:r>
      <w:r>
        <w:rPr>
          <w:rStyle w:val="OperatorTok"/>
        </w:rPr>
        <w:t xml:space="preserve">$(</w:t>
      </w:r>
      <w:r>
        <w:rPr>
          <w:rStyle w:val="VariableTok"/>
        </w:rPr>
        <w:t xml:space="preserve">$summary</w:t>
      </w:r>
      <w:r>
        <w:rPr>
          <w:rStyle w:val="OperatorTok"/>
        </w:rPr>
        <w:t xml:space="preserve">.</w:t>
      </w:r>
      <w:r>
        <w:rPr>
          <w:rStyle w:val="FunctionTok"/>
        </w:rPr>
        <w:t xml:space="preserve">TotalMachines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"KEV findings:                </w:t>
      </w:r>
      <w:r>
        <w:rPr>
          <w:rStyle w:val="OperatorTok"/>
        </w:rPr>
        <w:t xml:space="preserve">$(</w:t>
      </w:r>
      <w:r>
        <w:rPr>
          <w:rStyle w:val="VariableTok"/>
        </w:rPr>
        <w:t xml:space="preserve">$summary</w:t>
      </w:r>
      <w:r>
        <w:rPr>
          <w:rStyle w:val="OperatorTok"/>
        </w:rPr>
        <w:t xml:space="preserve">.</w:t>
      </w:r>
      <w:r>
        <w:rPr>
          <w:rStyle w:val="FunctionTok"/>
        </w:rPr>
        <w:t xml:space="preserve">KEVFindings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P0 (KEV Internet-facing):  </w:t>
      </w:r>
      <w:r>
        <w:rPr>
          <w:rStyle w:val="OperatorTok"/>
        </w:rPr>
        <w:t xml:space="preserve">$(</w:t>
      </w:r>
      <w:r>
        <w:rPr>
          <w:rStyle w:val="VariableTok"/>
        </w:rPr>
        <w:t xml:space="preserve">$summary</w:t>
      </w:r>
      <w:r>
        <w:rPr>
          <w:rStyle w:val="OperatorTok"/>
        </w:rPr>
        <w:t xml:space="preserve">.</w:t>
      </w:r>
      <w:r>
        <w:rPr>
          <w:rStyle w:val="FunctionTok"/>
        </w:rPr>
        <w:t xml:space="preserve">P0_KEV_Internet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P1 (KEV Internal):         </w:t>
      </w:r>
      <w:r>
        <w:rPr>
          <w:rStyle w:val="OperatorTok"/>
        </w:rPr>
        <w:t xml:space="preserve">$(</w:t>
      </w:r>
      <w:r>
        <w:rPr>
          <w:rStyle w:val="VariableTok"/>
        </w:rPr>
        <w:t xml:space="preserve">$summary</w:t>
      </w:r>
      <w:r>
        <w:rPr>
          <w:rStyle w:val="OperatorTok"/>
        </w:rPr>
        <w:t xml:space="preserve">.</w:t>
      </w:r>
      <w:r>
        <w:rPr>
          <w:rStyle w:val="FunctionTok"/>
        </w:rPr>
        <w:t xml:space="preserve">P1_KEV_Internal</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(total):        </w:t>
      </w:r>
      <w:r>
        <w:rPr>
          <w:rStyle w:val="OperatorTok"/>
        </w:rPr>
        <w:t xml:space="preserve">$(</w:t>
      </w:r>
      <w:r>
        <w:rPr>
          <w:rStyle w:val="VariableTok"/>
        </w:rPr>
        <w:t xml:space="preserve">$summary</w:t>
      </w:r>
      <w:r>
        <w:rPr>
          <w:rStyle w:val="OperatorTok"/>
        </w:rPr>
        <w:t xml:space="preserve">.</w:t>
      </w:r>
      <w:r>
        <w:rPr>
          <w:rStyle w:val="FunctionTok"/>
        </w:rPr>
        <w:t xml:space="preserve">SLABreached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(KEV):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"Patch compliance rate:       </w:t>
      </w:r>
      <w:r>
        <w:rPr>
          <w:rStyle w:val="OperatorTok"/>
        </w:rPr>
        <w:t xml:space="preserve">$(</w:t>
      </w:r>
      <w:r>
        <w:rPr>
          <w:rStyle w:val="VariableTok"/>
        </w:rPr>
        <w:t xml:space="preserve">$summary</w:t>
      </w:r>
      <w:r>
        <w:rPr>
          <w:rStyle w:val="OperatorTok"/>
        </w:rPr>
        <w:t xml:space="preserve">.</w:t>
      </w:r>
      <w:r>
        <w:rPr>
          <w:rStyle w:val="FunctionTok"/>
        </w:rPr>
        <w:t xml:space="preserve">PatchComplianceRate</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w:t>
      </w:r>
      <w:r>
        <w:rPr>
          <w:rStyle w:val="VariableTok"/>
        </w:rPr>
        <w:t xml:space="preserve">$queuePath</w:t>
      </w:r>
      <w:r>
        <w:rPr>
          <w:rStyle w:val="StringTok"/>
        </w:rPr>
        <w:t xml:space="preserve">"</w:t>
      </w:r>
      <w:r>
        <w:br/>
      </w:r>
      <w:r>
        <w:rPr>
          <w:rStyle w:val="FunctionTok"/>
        </w:rPr>
        <w:t xml:space="preserve">Write-Host</w:t>
      </w:r>
      <w:r>
        <w:rPr>
          <w:rStyle w:val="NormalTok"/>
        </w:rPr>
        <w:t xml:space="preserve"> </w:t>
      </w:r>
      <w:r>
        <w:rPr>
          <w:rStyle w:val="StringTok"/>
        </w:rPr>
        <w:t xml:space="preserve">"Compliance summary:     </w:t>
      </w:r>
      <w:r>
        <w:rPr>
          <w:rStyle w:val="VariableTok"/>
        </w:rPr>
        <w:t xml:space="preserve">$summaryPath</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36" name="Picture"/>
            <a:graphic>
              <a:graphicData uri="http://schemas.openxmlformats.org/drawingml/2006/picture">
                <pic:pic>
                  <pic:nvPicPr>
                    <pic:cNvPr descr="figs/vuln-fig-02-kev-patch-flow.png" id="37" name="Picture"/>
                    <pic:cNvPicPr>
                      <a:picLocks noChangeArrowheads="1" noChangeAspect="1"/>
                    </pic:cNvPicPr>
                  </pic:nvPicPr>
                  <pic:blipFill>
                    <a:blip r:embed="rId35"/>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important.png" id="3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tc>
      </w:tr>
    </w:tbl>
    <w:p>
      <w:r>
        <w:pict>
          <v:rect style="width:0;height:1.5pt" o:hralign="center" o:hrstd="t" o:hr="t"/>
        </w:pict>
      </w:r>
    </w:p>
    <w:bookmarkEnd w:id="40"/>
    <w:bookmarkEnd w:id="41"/>
    <w:bookmarkStart w:id="52" w:name="intune-patch-automation"/>
    <w:p>
      <w:pPr>
        <w:pStyle w:val="Heading1"/>
      </w:pPr>
      <w:r>
        <w:t xml:space="preserve">5. Intune Patch Automation</w:t>
      </w:r>
    </w:p>
    <w:bookmarkStart w:id="44" w:name="windows-update-for-business-architecture"/>
    <w:p>
      <w:pPr>
        <w:pStyle w:val="Heading2"/>
      </w:pPr>
      <w:r>
        <w:t xml:space="preserve">5.1 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tc>
      </w:tr>
    </w:tbl>
    <w:bookmarkEnd w:id="44"/>
    <w:bookmarkStart w:id="45" w:name="ring-configuration"/>
    <w:p>
      <w:pPr>
        <w:pStyle w:val="Heading2"/>
      </w:pPr>
      <w:r>
        <w:t xml:space="preserve">5.2 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4</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w:t>
      </w:r>
      <w:r>
        <w:rPr>
          <w:rStyle w:val="DecValTok"/>
        </w:rPr>
        <w:t xml:space="preserve">60</w:t>
      </w:r>
      <w:r>
        <w:br/>
      </w:r>
      <w:r>
        <w:rPr>
          <w:rStyle w:val="NormalTok"/>
        </w:rPr>
        <w:t xml:space="preserve">        qualityUpdatesDeferral </w:t>
      </w:r>
      <w:r>
        <w:rPr>
          <w:rStyle w:val="OperatorTok"/>
        </w:rPr>
        <w:t xml:space="preserve">=</w:t>
      </w:r>
      <w:r>
        <w:rPr>
          <w:rStyle w:val="NormalTok"/>
        </w:rPr>
        <w:t xml:space="preserve"> </w:t>
      </w:r>
      <w:r>
        <w:rPr>
          <w:rStyle w:val="DecValTok"/>
        </w:rPr>
        <w:t xml:space="preserve">14</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8</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w:t>
      </w:r>
      <w:r>
        <w:rPr>
          <w:rStyle w:val="DecValTok"/>
        </w:rPr>
        <w:t xml:space="preserve">90</w:t>
      </w:r>
      <w:r>
        <w:br/>
      </w:r>
      <w:r>
        <w:rPr>
          <w:rStyle w:val="NormalTok"/>
        </w:rPr>
        <w:t xml:space="preserve">        qualityUpdatesDeferral </w:t>
      </w:r>
      <w:r>
        <w:rPr>
          <w:rStyle w:val="OperatorTok"/>
        </w:rPr>
        <w:t xml:space="preserve">=</w:t>
      </w:r>
      <w:r>
        <w:rPr>
          <w:rStyle w:val="NormalTok"/>
        </w:rPr>
        <w:t xml:space="preserve"> </w:t>
      </w:r>
      <w:r>
        <w:rPr>
          <w:rStyle w:val="DecValTok"/>
        </w:rPr>
        <w:t xml:space="preserve">21</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12</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w:t>
      </w:r>
      <w:r>
        <w:rPr>
          <w:rStyle w:val="DecValTok"/>
        </w:rPr>
        <w:t xml:space="preserve">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w:t>
      </w:r>
      <w:r>
        <w:rPr>
          <w:rStyle w:val="OperatorTok"/>
        </w:rPr>
        <w:t xml:space="preserve">$(</w:t>
      </w:r>
      <w:r>
        <w:rPr>
          <w:rStyle w:val="VariableTok"/>
        </w:rPr>
        <w:t xml:space="preserve">$result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5"/>
    <w:bookmarkStart w:id="51" w:name="X7f916346cf379f6a81c9f941d6f082d3ef49415"/>
    <w:p>
      <w:pPr>
        <w:pStyle w:val="Heading2"/>
      </w:pPr>
      <w:r>
        <w:t xml:space="preserve">5.3 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w:t>
      </w:r>
      <w:r>
        <w:rPr>
          <w:rStyle w:val="DecValTok"/>
        </w:rPr>
        <w:t xml:space="preserve">0</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0</w:t>
      </w:r>
      <w:r>
        <w:br/>
      </w:r>
      <w:r>
        <w:rPr>
          <w:rStyle w:val="NormalTok"/>
        </w:rPr>
        <w:t xml:space="preserve">    passwordExpirationDays </w:t>
      </w:r>
      <w:r>
        <w:rPr>
          <w:rStyle w:val="OperatorTok"/>
        </w:rPr>
        <w:t xml:space="preserve">=</w:t>
      </w:r>
      <w:r>
        <w:rPr>
          <w:rStyle w:val="NormalTok"/>
        </w:rPr>
        <w:t xml:space="preserve"> </w:t>
      </w:r>
      <w:r>
        <w:rPr>
          <w:rStyle w:val="DecValTok"/>
        </w:rPr>
        <w:t xml:space="preserve">0</w:t>
      </w:r>
      <w:r>
        <w:br/>
      </w:r>
      <w:r>
        <w:rPr>
          <w:rStyle w:val="NormalTok"/>
        </w:rPr>
        <w:t xml:space="preserve">    passwordPreviousPasswordBlockCount </w:t>
      </w:r>
      <w:r>
        <w:rPr>
          <w:rStyle w:val="OperatorTok"/>
        </w:rPr>
        <w:t xml:space="preserve">=</w:t>
      </w:r>
      <w:r>
        <w:rPr>
          <w:rStyle w:val="NormalTok"/>
        </w:rPr>
        <w:t xml:space="preserve"> </w:t>
      </w:r>
      <w:r>
        <w:rPr>
          <w:rStyle w:val="DecValTok"/>
        </w:rPr>
        <w:t xml:space="preserve">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w:t>
      </w:r>
      <w:r>
        <w:rPr>
          <w:rStyle w:val="OperatorTok"/>
        </w:rPr>
        <w:t xml:space="preserve">$(</w:t>
      </w:r>
      <w:r>
        <w:rPr>
          <w:rStyle w:val="VariableTok"/>
        </w:rPr>
        <w:t xml:space="preserve">$compResult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$compResult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tc>
      </w:tr>
    </w:tbl>
    <w:p>
      <w:pPr>
        <w:pStyle w:val="CaptionedFigure"/>
      </w:pPr>
      <w:r>
        <w:drawing>
          <wp:inline>
            <wp:extent cx="5334000" cy="1948961"/>
            <wp:effectExtent b="0" l="0" r="0" t="0"/>
            <wp:docPr descr="Intune update rings: pilot, broad, and production rings with compliance gate and Conditional Access enforcement" title="" id="49" name="Picture"/>
            <a:graphic>
              <a:graphicData uri="http://schemas.openxmlformats.org/drawingml/2006/picture">
                <pic:pic>
                  <pic:nvPicPr>
                    <pic:cNvPr descr="figs/vuln-fig-03-patch-rings.png" id="50" name="Picture"/>
                    <pic:cNvPicPr>
                      <a:picLocks noChangeArrowheads="1" noChangeAspect="1"/>
                    </pic:cNvPicPr>
                  </pic:nvPicPr>
                  <pic:blipFill>
                    <a:blip r:embed="rId48"/>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51"/>
    <w:bookmarkEnd w:id="52"/>
    <w:bookmarkStart w:id="58" w:name="sql-server-patching"/>
    <w:p>
      <w:pPr>
        <w:pStyle w:val="Heading1"/>
      </w:pPr>
      <w:r>
        <w:t xml:space="preserve">6. SQL Server Patching</w:t>
      </w:r>
    </w:p>
    <w:bookmarkStart w:id="53" w:name="sql-server-cumulative-update-lifecycle"/>
    <w:p>
      <w:pPr>
        <w:pStyle w:val="Heading2"/>
      </w:pPr>
      <w:r>
        <w:t xml:space="preserve">6.1 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bookmarkEnd w:id="53"/>
    <w:bookmarkStart w:id="54" w:name="X8cf3e6a35923c002d2d8a59aaa7df926465215a"/>
    <w:p>
      <w:pPr>
        <w:pStyle w:val="Heading2"/>
      </w:pPr>
      <w:r>
        <w:t xml:space="preserve">6.2 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$sqlExtFilter</w:t>
      </w:r>
      <w:r>
        <w:rPr>
          <w:rStyle w:val="OperatorTok"/>
        </w:rPr>
        <w:t xml:space="preserve">.</w:t>
      </w:r>
      <w:r>
        <w:rPr>
          <w:rStyle w:val="FunctionTok"/>
        </w:rPr>
        <w:t xml:space="preserve">Count</w:t>
      </w:r>
      <w:r>
        <w:rPr>
          <w:rStyle w:val="OperatorTok"/>
        </w:rPr>
        <w:t xml:space="preserve">)</w:t>
      </w:r>
      <w:r>
        <w:rPr>
          <w:rStyle w:val="StringTok"/>
        </w:rPr>
        <w:t xml:space="preserve">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-and</w:t>
      </w:r>
      <w:r>
        <w:rPr>
          <w:rStyle w:val="NormalTok"/>
        </w:rPr>
        <w:t xml:space="preserve">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-ge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-split</w:t>
      </w:r>
      <w:r>
        <w:rPr>
          <w:rStyle w:val="NormalTok"/>
        </w:rPr>
        <w:t xml:space="preserve">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VariableTok"/>
        </w:rPr>
        <w:t xml:space="preserve">$productVersion</w:t>
      </w:r>
      <w:r>
        <w:rPr>
          <w:rStyle w:val="NormalTok"/>
        </w:rPr>
        <w:t xml:space="preserve"> </w:t>
      </w:r>
      <w:r>
        <w:rPr>
          <w:rStyle w:val="OperatorTok"/>
        </w:rPr>
        <w:t xml:space="preserve">-ge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-eq</w:t>
      </w:r>
      <w:r>
        <w:rPr>
          <w:rStyle w:val="NormalTok"/>
        </w:rPr>
        <w:t xml:space="preserve"> </w:t>
      </w:r>
      <w:r>
        <w:rPr>
          <w:rStyle w:val="VariableTok"/>
        </w:rPr>
        <w:t xml:space="preserve">$false</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-ne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-eq</w:t>
      </w:r>
      <w:r>
        <w:rPr>
          <w:rStyle w:val="NormalTok"/>
        </w:rPr>
        <w:t xml:space="preserve">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w:t>
      </w:r>
      <w:r>
        <w:rPr>
          <w:rStyle w:val="OperatorTok"/>
        </w:rPr>
        <w:t xml:space="preserve">$(</w:t>
      </w:r>
      <w:r>
        <w:rPr>
          <w:rStyle w:val="VariableTok"/>
        </w:rPr>
        <w:t xml:space="preserve">$inventory</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"Behind current CU:         </w:t>
      </w:r>
      <w:r>
        <w:rPr>
          <w:rStyle w:val="OperatorTok"/>
        </w:rPr>
        <w:t xml:space="preserve">$(</w:t>
      </w:r>
      <w:r>
        <w:rPr>
          <w:rStyle w:val="VariableTok"/>
        </w:rPr>
        <w:t xml:space="preserve">$behindCU</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"End-of-support breached: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 — SQL </w:t>
      </w:r>
      <w:r>
        <w:rPr>
          <w:rStyle w:val="OperatorTok"/>
        </w:rPr>
        <w:t xml:space="preserve">$(</w:t>
      </w:r>
      <w:r>
        <w:rPr>
          <w:rStyle w:val="VariableTok"/>
        </w:rPr>
        <w:t xml:space="preserve">$_</w:t>
      </w:r>
      <w:r>
        <w:rPr>
          <w:rStyle w:val="OperatorTok"/>
        </w:rPr>
        <w:t xml:space="preserve">.</w:t>
      </w:r>
      <w:r>
        <w:rPr>
          <w:rStyle w:val="FunctionTok"/>
        </w:rPr>
        <w:t xml:space="preserve">SQLYear</w:t>
      </w:r>
      <w:r>
        <w:rPr>
          <w:rStyle w:val="OperatorTok"/>
        </w:rPr>
        <w:t xml:space="preserve">)</w:t>
      </w:r>
      <w:r>
        <w:rPr>
          <w:rStyle w:val="StringTok"/>
        </w:rPr>
        <w:t xml:space="preserve"> (EOS: </w:t>
      </w:r>
      <w:r>
        <w:rPr>
          <w:rStyle w:val="OperatorTok"/>
        </w:rPr>
        <w:t xml:space="preserve">$(</w:t>
      </w:r>
      <w:r>
        <w:rPr>
          <w:rStyle w:val="VariableTok"/>
        </w:rPr>
        <w:t xml:space="preserve">$_</w:t>
      </w:r>
      <w:r>
        <w:rPr>
          <w:rStyle w:val="OperatorTok"/>
        </w:rPr>
        <w:t xml:space="preserve">.</w:t>
      </w:r>
      <w:r>
        <w:rPr>
          <w:rStyle w:val="FunctionTok"/>
        </w:rPr>
        <w:t xml:space="preserve">EOS</w:t>
      </w:r>
      <w:r>
        <w:rPr>
          <w:rStyle w:val="Operator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w:t>
      </w:r>
      <w:r>
        <w:rPr>
          <w:rStyle w:val="VariableTok"/>
        </w:rPr>
        <w:t xml:space="preserve">$OutputPath</w:t>
      </w:r>
      <w:r>
        <w:rPr>
          <w:rStyle w:val="StringTok"/>
        </w:rPr>
        <w:t xml:space="preserve">"</w:t>
      </w:r>
    </w:p>
    <w:bookmarkEnd w:id="54"/>
    <w:bookmarkStart w:id="57" w:name="Xaf7bf5cd1b945cc0d6afd9115dfed79e4a37875"/>
    <w:p>
      <w:pPr>
        <w:pStyle w:val="Heading2"/>
      </w:pPr>
      <w:r>
        <w:t xml:space="preserve">6.3 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OperatorTok"/>
        </w:rPr>
        <w:t xml:space="preserve">)</w:t>
      </w:r>
      <w:r>
        <w:br/>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br/>
      </w:r>
      <w:r>
        <w:rPr>
          <w:rStyle w:val="ControlFlow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Update-AzConnectedMachineExtension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 </w:t>
      </w:r>
      <w:r>
        <w:rPr>
          <w:rStyle w:val="VariableTok"/>
        </w:rPr>
        <w:t xml:space="preserve">$_</w:t>
      </w:r>
      <w:r>
        <w:rPr>
          <w:rStyle w:val="StringTok"/>
        </w:rPr>
        <w:t xml:space="preserve">"</w:t>
      </w:r>
      <w:r>
        <w:br/>
      </w:r>
      <w:r>
        <w:rPr>
          <w:rStyle w:val="NormalTok"/>
        </w:rPr>
        <w:t xml:space="preserve">    </w:t>
      </w:r>
      <w:r>
        <w:rPr>
          <w:rStyle w:val="OperatorTok"/>
        </w:rPr>
        <w:t xml:space="preserve">}</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tc>
      </w:tr>
    </w:tbl>
    <w:p>
      <w:r>
        <w:pict>
          <v:rect style="width:0;height:1.5pt" o:hralign="center" o:hrstd="t" o:hr="t"/>
        </w:pict>
      </w:r>
    </w:p>
    <w:bookmarkEnd w:id="57"/>
    <w:bookmarkEnd w:id="58"/>
    <w:bookmarkStart w:id="62" w:name="continuous-monitoring-record"/>
    <w:p>
      <w:pPr>
        <w:pStyle w:val="Heading1"/>
      </w:pPr>
      <w:r>
        <w:t xml:space="preserve">7. Continuous Monitoring Record</w:t>
      </w:r>
    </w:p>
    <w:bookmarkStart w:id="59" w:name="daily-machine-readable-compliance-output"/>
    <w:p>
      <w:pPr>
        <w:pStyle w:val="Heading2"/>
      </w:pPr>
      <w:r>
        <w:t xml:space="preserve">7.1 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59"/>
    <w:bookmarkStart w:id="60" w:name="Xe241b7a293262119fe84db68b4adf0d84423dc4"/>
    <w:p>
      <w:pPr>
        <w:pStyle w:val="Heading2"/>
      </w:pPr>
      <w:r>
        <w:t xml:space="preserve">7.2 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w:t>
      </w:r>
      <w:r>
        <w:rPr>
          <w:rStyle w:val="OperatorTok"/>
        </w:rPr>
        <w:t xml:space="preserve">$(</w:t>
      </w:r>
      <w:r>
        <w:rPr>
          <w:rStyle w:val="FunctionTok"/>
        </w:rPr>
        <w:t xml:space="preserve">Split-Path</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Leaf</w:t>
      </w:r>
      <w:r>
        <w:rPr>
          <w:rStyle w:val="OperatorTok"/>
        </w:rPr>
        <w:t xml:space="preserve">)</w:t>
      </w:r>
      <w:r>
        <w:rPr>
          <w:rStyle w:val="StringTok"/>
        </w:rPr>
        <w:t xml:space="preserve">"</w:t>
      </w:r>
      <w:r>
        <w:br/>
      </w:r>
      <w:r>
        <w:br/>
      </w:r>
      <w:r>
        <w:rPr>
          <w:rStyle w:val="NormalTok"/>
        </w:rPr>
        <w:t xml:space="preserve">Set-AzStorageBlobContent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w:t>
      </w:r>
      <w:r>
        <w:rPr>
          <w:rStyle w:val="VariableTok"/>
        </w:rPr>
        <w:t xml:space="preserve">$StorageAccountName</w:t>
      </w:r>
      <w:r>
        <w:rPr>
          <w:rStyle w:val="StringTok"/>
        </w:rPr>
        <w:t xml:space="preserve">/</w:t>
      </w:r>
      <w:r>
        <w:rPr>
          <w:rStyle w:val="VariableTok"/>
        </w:rPr>
        <w:t xml:space="preserve">$ContainerName</w:t>
      </w:r>
      <w:r>
        <w:rPr>
          <w:rStyle w:val="StringTok"/>
        </w:rPr>
        <w:t xml:space="preserve">/</w:t>
      </w:r>
      <w:r>
        <w:rPr>
          <w:rStyle w:val="VariableTok"/>
        </w:rPr>
        <w:t xml:space="preserve">$blobName</w:t>
      </w:r>
      <w:r>
        <w:rPr>
          <w:rStyle w:val="StringTok"/>
        </w:rPr>
        <w:t xml:space="preserv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'\d{4}-\d{2}-\d{2}'</w:t>
      </w:r>
      <w:r>
        <w:rPr>
          <w:rStyle w:val="NormalTok"/>
        </w:rPr>
        <w:t xml:space="preserve"> </w:t>
      </w:r>
      <w:r>
        <w:rPr>
          <w:rStyle w:val="OperatorTok"/>
        </w:rPr>
        <w:t xml:space="preserve">-and</w:t>
      </w:r>
      <w:r>
        <w:rPr>
          <w:rStyle w:val="NormalTok"/>
        </w:rPr>
        <w:t xml:space="preserve"> </w:t>
      </w:r>
      <w:r>
        <w:rPr>
          <w:rStyle w:val="VariableTok"/>
        </w:rPr>
        <w:t xml:space="preserve">$Matches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-ge</w:t>
      </w:r>
      <w:r>
        <w:rPr>
          <w:rStyle w:val="NormalTok"/>
        </w:rPr>
        <w:t xml:space="preserv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60"/>
    <w:bookmarkStart w:id="61" w:name="azure-monitor-workbook-for-operations"/>
    <w:p>
      <w:pPr>
        <w:pStyle w:val="Heading2"/>
      </w:pPr>
      <w:r>
        <w:t xml:space="preserve">7.3 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$method</w:t>
      </w:r>
      <w:r>
        <w:rPr>
          <w:rStyle w:val="CharTok"/>
        </w:rPr>
        <w:t xml:space="preserve">`n</w:t>
      </w:r>
      <w:r>
        <w:rPr>
          <w:rStyle w:val="VariableTok"/>
        </w:rPr>
        <w:t xml:space="preserve">$contentLength</w:t>
      </w:r>
      <w:r>
        <w:rPr>
          <w:rStyle w:val="CharTok"/>
        </w:rPr>
        <w:t xml:space="preserve">`n</w:t>
      </w:r>
      <w:r>
        <w:rPr>
          <w:rStyle w:val="Variable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w:t>
      </w:r>
      <w:r>
        <w:rPr>
          <w:rStyle w:val="VariableTok"/>
        </w:rPr>
        <w:t xml:space="preserve">$rfc1123date</w:t>
      </w:r>
      <w:r>
        <w:rPr>
          <w:rStyle w:val="CharTok"/>
        </w:rPr>
        <w:t xml:space="preserve">`n</w:t>
      </w:r>
      <w:r>
        <w:rPr>
          <w:rStyle w:val="VariableTok"/>
        </w:rPr>
        <w:t xml:space="preserve">$resource</w:t>
      </w:r>
      <w:r>
        <w:rPr>
          <w:rStyle w:val="StringTok"/>
        </w:rPr>
        <w:t xml:space="preserv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t>
      </w:r>
      <w:r>
        <w:rPr>
          <w:rStyle w:val="PreprocessorTok"/>
        </w:rPr>
        <w:t xml:space="preserve">${</w:t>
      </w:r>
      <w:r>
        <w:rPr>
          <w:rStyle w:val="VariableTok"/>
        </w:rPr>
        <w:t xml:space="preserve">WorkspaceId</w:t>
      </w:r>
      <w:r>
        <w:rPr>
          <w:rStyle w:val="PreprocessorTok"/>
        </w:rPr>
        <w:t xml:space="preserve">}</w:t>
      </w:r>
      <w:r>
        <w:rPr>
          <w:rStyle w:val="StringTok"/>
        </w:rPr>
        <w:t xml:space="preserve">:</w:t>
      </w:r>
      <w:r>
        <w:rPr>
          <w:rStyle w:val="PreprocessorTok"/>
        </w:rPr>
        <w:t xml:space="preserve">${</w:t>
      </w:r>
      <w:r>
        <w:rPr>
          <w:rStyle w:val="VariableTok"/>
        </w:rPr>
        <w:t xml:space="preserve">signature</w:t>
      </w:r>
      <w:r>
        <w:rPr>
          <w:rStyle w:val="PreprocessorTok"/>
        </w:rPr>
        <w:t xml:space="preserve">}</w:t>
      </w:r>
      <w:r>
        <w:rPr>
          <w:rStyle w:val="StringTok"/>
        </w:rPr>
        <w:t xml:space="preserv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t>
      </w:r>
      <w:r>
        <w:rPr>
          <w:rStyle w:val="VariableTok"/>
        </w:rPr>
        <w:t xml:space="preserve">$WorkspaceId</w:t>
      </w:r>
      <w:r>
        <w:rPr>
          <w:rStyle w:val="StringTok"/>
        </w:rPr>
        <w:t xml:space="preserve">.ods.opinsights.azure.com</w:t>
      </w:r>
      <w:r>
        <w:rPr>
          <w:rStyle w:val="VariableTok"/>
        </w:rPr>
        <w:t xml:space="preserve">$resource</w:t>
      </w:r>
      <w:r>
        <w:rPr>
          <w:rStyle w:val="StringTok"/>
        </w:rPr>
        <w:t xml:space="preserv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t>
      </w:r>
      <w:r>
        <w:rPr>
          <w:rStyle w:val="VariableTok"/>
        </w:rPr>
        <w:t xml:space="preserve">$WorkspaceId</w:t>
      </w:r>
      <w:r>
        <w:rPr>
          <w:rStyle w:val="StringTok"/>
        </w:rPr>
        <w:t xml:space="preserve">"</w:t>
      </w:r>
    </w:p>
    <w:p>
      <w:r>
        <w:pict>
          <v:rect style="width:0;height:1.5pt" o:hralign="center" o:hrstd="t" o:hr="t"/>
        </w:pict>
      </w:r>
    </w:p>
    <w:bookmarkEnd w:id="61"/>
    <w:bookmarkEnd w:id="62"/>
    <w:bookmarkStart w:id="67" w:name="nist-control-closure-table"/>
    <w:p>
      <w:pPr>
        <w:pStyle w:val="Heading1"/>
      </w:pPr>
      <w:r>
        <w:t xml:space="preserve">8. 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
          <w:bCs/>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63">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w:t>
      </w:r>
    </w:p>
    <w:tbl>
      <w:tblPr>
        <w:tblStyle w:val="Table"/>
        <w:tblW w:type="pct" w:w="5000"/>
        <w:tblLayout w:type="fixed"/>
        <w:tblLook w:firstRow="1" w:lastRow="0" w:firstColumn="0" w:lastColumn="0" w:noHBand="0" w:noVBand="0" w:val="0020"/>
        <w:tblCaption w:val="NIST SP 800-53 Rev 5 control closure — Part 11 Vulnerability Management"/>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Implementation</w:t>
            </w:r>
          </w:p>
        </w:tc>
        <w:tc>
          <w:tcPr/>
          <w:p>
            <w:pPr>
              <w:pStyle w:val="Compact"/>
            </w:pPr>
            <w:r>
              <w:t xml:space="preserve">With This Implementation</w:t>
            </w:r>
          </w:p>
        </w:tc>
        <w:tc>
          <w:tcPr/>
          <w:p>
            <w:pPr>
              <w:pStyle w:val="Compact"/>
            </w:pPr>
            <w:r>
              <w:t xml:space="preserve">Authority</w:t>
            </w:r>
          </w:p>
        </w:tc>
      </w:tr>
      <w:tr>
        <w:tc>
          <w:tcPr/>
          <w:p>
            <w:pPr>
              <w:pStyle w:val="Compact"/>
            </w:pPr>
            <w:r>
              <w:t xml:space="preserve">RA-5</w:t>
            </w:r>
          </w:p>
        </w:tc>
        <w:tc>
          <w:tcPr/>
          <w:p>
            <w:pPr>
              <w:pStyle w:val="Compact"/>
            </w:pPr>
            <w:r>
              <w:t xml:space="preserve">Vulnerability Monitoring and Scanning</w:t>
            </w:r>
          </w:p>
        </w:tc>
        <w:tc>
          <w:tcPr/>
          <w:p>
            <w:pPr>
              <w:pStyle w:val="Compact"/>
            </w:pPr>
            <w:r>
              <w:t xml:space="preserve">Quarterly scans from manual Nessus runs; cloud assets excluded; no continuous monitoring</w:t>
            </w:r>
          </w:p>
        </w:tc>
        <w:tc>
          <w:tcPr/>
          <w:p>
            <w:pPr>
              <w:pStyle w:val="Compact"/>
            </w:pPr>
            <w:r>
              <w:t xml:space="preserve">Continuous scanning via MDVM through Arc AMA channel; all Arc-enrolled assets covered automatically; daily finding export</w:t>
            </w:r>
          </w:p>
        </w:tc>
        <w:tc>
          <w:tcPr/>
          <w:p>
            <w:pPr>
              <w:pStyle w:val="Compact"/>
            </w:pPr>
            <w:r>
              <w:t xml:space="preserve">NIST SP 800-53 Rev 5 RA-5; FedRAMP Moderate baseline</w:t>
            </w:r>
          </w:p>
        </w:tc>
      </w:tr>
      <w:tr>
        <w:tc>
          <w:tcPr/>
          <w:p>
            <w:pPr>
              <w:pStyle w:val="Compact"/>
            </w:pPr>
            <w:r>
              <w:t xml:space="preserve">RA-5(2)</w:t>
            </w:r>
          </w:p>
        </w:tc>
        <w:tc>
          <w:tcPr/>
          <w:p>
            <w:pPr>
              <w:pStyle w:val="Compact"/>
            </w:pPr>
            <w:r>
              <w:t xml:space="preserve">Update Vulnerabilities to Be Scanned</w:t>
            </w:r>
          </w:p>
        </w:tc>
        <w:tc>
          <w:tcPr/>
          <w:p>
            <w:pPr>
              <w:pStyle w:val="Compact"/>
            </w:pPr>
            <w:r>
              <w:t xml:space="preserve">CVE database updated with scanner subscription renewal cycle; no KEV cross-reference</w:t>
            </w:r>
          </w:p>
        </w:tc>
        <w:tc>
          <w:tcPr/>
          <w:p>
            <w:pPr>
              <w:pStyle w:val="Compact"/>
            </w:pPr>
            <w:r>
              <w:t xml:space="preserve">KEV catalog pulled daily; CVSS scores updated via MDVM auto-sync; scan scope expands automatically as Arc inventory grows</w:t>
            </w:r>
          </w:p>
        </w:tc>
        <w:tc>
          <w:tcPr/>
          <w:p>
            <w:pPr>
              <w:pStyle w:val="Compact"/>
            </w:pPr>
            <w:r>
              <w:t xml:space="preserve">NIST SP 800-53 Rev 5 RA-5(2)</w:t>
            </w:r>
          </w:p>
        </w:tc>
      </w:tr>
      <w:tr>
        <w:tc>
          <w:tcPr/>
          <w:p>
            <w:pPr>
              <w:pStyle w:val="Compact"/>
            </w:pPr>
            <w:r>
              <w:t xml:space="preserve">RA-5(5)</w:t>
            </w:r>
          </w:p>
        </w:tc>
        <w:tc>
          <w:tcPr/>
          <w:p>
            <w:pPr>
              <w:pStyle w:val="Compact"/>
            </w:pPr>
            <w:r>
              <w:t xml:space="preserve">Privileged Access for Scanning</w:t>
            </w:r>
          </w:p>
        </w:tc>
        <w:tc>
          <w:tcPr/>
          <w:p>
            <w:pPr>
              <w:pStyle w:val="Compact"/>
            </w:pPr>
            <w:r>
              <w:t xml:space="preserve">Scanner requires separate privileged service account per target system; credentials managed manually</w:t>
            </w:r>
          </w:p>
        </w:tc>
        <w:tc>
          <w:tcPr/>
          <w:p>
            <w:pPr>
              <w:pStyle w:val="Compact"/>
            </w:pPr>
            <w:r>
              <w:t xml:space="preserve">AMA channel authenticated via Azure Managed Identity; no per-system credential required; least-privilege Arc enrollment role</w:t>
            </w:r>
          </w:p>
        </w:tc>
        <w:tc>
          <w:tcPr/>
          <w:p>
            <w:pPr>
              <w:pStyle w:val="Compact"/>
            </w:pPr>
            <w:r>
              <w:t xml:space="preserve">NIST SP 800-53 Rev 5 RA-5(5)</w:t>
            </w:r>
          </w:p>
        </w:tc>
      </w:tr>
      <w:tr>
        <w:tc>
          <w:tcPr/>
          <w:p>
            <w:pPr>
              <w:pStyle w:val="Compact"/>
            </w:pPr>
            <w:r>
              <w:t xml:space="preserve">SI-2</w:t>
            </w:r>
          </w:p>
        </w:tc>
        <w:tc>
          <w:tcPr/>
          <w:p>
            <w:pPr>
              <w:pStyle w:val="Compact"/>
            </w:pPr>
            <w:r>
              <w:t xml:space="preserve">Flaw Remediation</w:t>
            </w:r>
          </w:p>
        </w:tc>
        <w:tc>
          <w:tcPr/>
          <w:p>
            <w:pPr>
              <w:pStyle w:val="Compact"/>
            </w:pPr>
            <w:r>
              <w:t xml:space="preserve">Patch SLA in policy document; no automated tracking; no machine-readable compliance record</w:t>
            </w:r>
          </w:p>
        </w:tc>
        <w:tc>
          <w:tcPr/>
          <w:p>
            <w:pPr>
              <w:pStyle w:val="Compact"/>
            </w:pPr>
            <w:r>
              <w:t xml:space="preserve">BOD 22-01 SLA tiers implemented; SLA due date calculated per CVE-machine pair; daily SLA breach report; remediation tracked to patch date</w:t>
            </w:r>
          </w:p>
        </w:tc>
        <w:tc>
          <w:tcPr/>
          <w:p>
            <w:pPr>
              <w:pStyle w:val="Compact"/>
            </w:pPr>
            <w:r>
              <w:t xml:space="preserve">NIST SP 800-53 Rev 5 SI-2; CISA BOD 22-01</w:t>
            </w:r>
          </w:p>
        </w:tc>
      </w:tr>
      <w:tr>
        <w:tc>
          <w:tcPr/>
          <w:p>
            <w:pPr>
              <w:pStyle w:val="Compact"/>
            </w:pPr>
            <w:r>
              <w:t xml:space="preserve">SI-2(2)</w:t>
            </w:r>
          </w:p>
        </w:tc>
        <w:tc>
          <w:tcPr/>
          <w:p>
            <w:pPr>
              <w:pStyle w:val="Compact"/>
            </w:pPr>
            <w:r>
              <w:t xml:space="preserve">Automated Flaw Remediation Status</w:t>
            </w:r>
          </w:p>
        </w:tc>
        <w:tc>
          <w:tcPr/>
          <w:p>
            <w:pPr>
              <w:pStyle w:val="Compact"/>
            </w:pPr>
            <w:r>
              <w:t xml:space="preserve">No automated status; compliance checked only at assessment time</w:t>
            </w:r>
          </w:p>
        </w:tc>
        <w:tc>
          <w:tcPr/>
          <w:p>
            <w:pPr>
              <w:pStyle w:val="Compact"/>
            </w:pPr>
            <w:r>
              <w:t xml:space="preserve">Daily patch-queue JSON provides automated flaw remediation status per machine; Log Analytics workbook surfaces operational view; 90-day trend available on demand</w:t>
            </w:r>
          </w:p>
        </w:tc>
        <w:tc>
          <w:tcPr/>
          <w:p>
            <w:pPr>
              <w:pStyle w:val="Compact"/>
            </w:pPr>
            <w:r>
              <w:t xml:space="preserve">NIST SP 800-53 Rev 5 SI-2(2)</w:t>
            </w:r>
          </w:p>
        </w:tc>
      </w:tr>
      <w:tr>
        <w:tc>
          <w:tcPr/>
          <w:p>
            <w:pPr>
              <w:pStyle w:val="Compact"/>
            </w:pPr>
            <w:r>
              <w:t xml:space="preserve">SI-5</w:t>
            </w:r>
          </w:p>
        </w:tc>
        <w:tc>
          <w:tcPr/>
          <w:p>
            <w:pPr>
              <w:pStyle w:val="Compact"/>
            </w:pPr>
            <w:r>
              <w:t xml:space="preserve">Security Alerts, Advisories, and Directives</w:t>
            </w:r>
          </w:p>
        </w:tc>
        <w:tc>
          <w:tcPr/>
          <w:p>
            <w:pPr>
              <w:pStyle w:val="Compact"/>
            </w:pPr>
            <w:r>
              <w:t xml:space="preserve">CISA KEV alerts consumed manually via email subscription; no systematic cross-reference against estate</w:t>
            </w:r>
          </w:p>
        </w:tc>
        <w:tc>
          <w:tcPr/>
          <w:p>
            <w:pPr>
              <w:pStyle w:val="Compact"/>
            </w:pPr>
            <w:r>
              <w:t xml:space="preserve">CISA KEV JSON feed pulled daily; every new KEV entry cross-referenced against all MDVM findings within 24 hours; BOD 22-01 remediation timeline auto-assigned</w:t>
            </w:r>
          </w:p>
        </w:tc>
        <w:tc>
          <w:tcPr/>
          <w:p>
            <w:pPr>
              <w:pStyle w:val="Compact"/>
            </w:pPr>
            <w:r>
              <w:t xml:space="preserve">NIST SP 800-53 Rev 5 SI-5; CISA BOD 22-01</w:t>
            </w:r>
          </w:p>
        </w:tc>
      </w:tr>
      <w:tr>
        <w:tc>
          <w:tcPr/>
          <w:p>
            <w:pPr>
              <w:pStyle w:val="Compact"/>
            </w:pPr>
            <w:r>
              <w:t xml:space="preserve">CM-7</w:t>
            </w:r>
          </w:p>
        </w:tc>
        <w:tc>
          <w:tcPr/>
          <w:p>
            <w:pPr>
              <w:pStyle w:val="Compact"/>
            </w:pPr>
            <w:r>
              <w:t xml:space="preserve">Least Functionality</w:t>
            </w:r>
          </w:p>
        </w:tc>
        <w:tc>
          <w:tcPr/>
          <w:p>
            <w:pPr>
              <w:pStyle w:val="Compact"/>
            </w:pPr>
            <w:r>
              <w:t xml:space="preserve">Software inventory not maintained continuously; unauthorized software discovered only during periodic scans</w:t>
            </w:r>
          </w:p>
        </w:tc>
        <w:tc>
          <w:tcPr/>
          <w:p>
            <w:pPr>
              <w:pStyle w:val="Compact"/>
            </w:pPr>
            <w:r>
              <w:t xml:space="preserve">MDVM software inventory via Arc AMA channel provides continuous installed-software list; unauthorized software flagged against approved baseline</w:t>
            </w:r>
          </w:p>
        </w:tc>
        <w:tc>
          <w:tcPr/>
          <w:p>
            <w:pPr>
              <w:pStyle w:val="Compact"/>
            </w:pPr>
            <w:r>
              <w:t xml:space="preserve">NIST SP 800-53 Rev 5 CM-7</w:t>
            </w:r>
          </w:p>
        </w:tc>
      </w:tr>
      <w:tr>
        <w:tc>
          <w:tcPr/>
          <w:p>
            <w:pPr>
              <w:pStyle w:val="Compact"/>
            </w:pPr>
            <w:r>
              <w:t xml:space="preserve">CM-7(1)</w:t>
            </w:r>
          </w:p>
        </w:tc>
        <w:tc>
          <w:tcPr/>
          <w:p>
            <w:pPr>
              <w:pStyle w:val="Compact"/>
            </w:pPr>
            <w:r>
              <w:t xml:space="preserve">Periodic Review</w:t>
            </w:r>
          </w:p>
        </w:tc>
        <w:tc>
          <w:tcPr/>
          <w:p>
            <w:pPr>
              <w:pStyle w:val="Compact"/>
            </w:pPr>
            <w:r>
              <w:t xml:space="preserve">Annual review of enabled functions and services; gaps between reviews</w:t>
            </w:r>
          </w:p>
        </w:tc>
        <w:tc>
          <w:tcPr/>
          <w:p>
            <w:pPr>
              <w:pStyle w:val="Compact"/>
            </w:pPr>
            <w:r>
              <w:t xml:space="preserve">MDVM configuration assessment runs continuously; deviations from security baseline flagged in Defender portal; review evidence available at any time</w:t>
            </w:r>
          </w:p>
        </w:tc>
        <w:tc>
          <w:tcPr/>
          <w:p>
            <w:pPr>
              <w:pStyle w:val="Compac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65" name="Picture"/>
            <a:graphic>
              <a:graphicData uri="http://schemas.openxmlformats.org/drawingml/2006/picture">
                <pic:pic>
                  <pic:nvPicPr>
                    <pic:cNvPr descr="figs/vuln-fig-04-nist-closure.png" id="66" name="Picture"/>
                    <pic:cNvPicPr>
                      <a:picLocks noChangeArrowheads="1" noChangeAspect="1"/>
                    </pic:cNvPicPr>
                  </pic:nvPicPr>
                  <pic:blipFill>
                    <a:blip r:embed="rId64"/>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67"/>
    <w:bookmarkStart w:id="70" w:name="fedramp-20x-ksi-alignment"/>
    <w:p>
      <w:pPr>
        <w:pStyle w:val="Heading1"/>
      </w:pPr>
      <w:r>
        <w:t xml:space="preserve">9. FedRAMP 20x KSI Alignment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
                <w:bCs/>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
                <w:bCs/>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
                <w:bCs/>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
                <w:bCs/>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pPr>
              <w:spacing w:after="16"/>
            </w:pPr>
            <w:r>
              <w:t xml:space="preserve">All five artifacts are produced by the scripts in this document. No manual assembly is required for an assessment request. The 90-day history is retained in Azure Blob Storage and is available on demand.</w:t>
            </w:r>
          </w:p>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hyperlink" Id="rId63"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63"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2026-07-08T09:36:34Z</dcterms:created>
  <dcterms:modified xsi:type="dcterms:W3CDTF">2026-07-08T09:36:34Z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