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9.png" ContentType="image/png"/>
  <Override PartName="/word/media/rId17.png" ContentType="image/png"/>
  <Override PartName="/word/media/rId25.png" ContentType="image/png"/>
  <Override PartName="/word/media/rId45.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14 — Federal Application-Aware Networking — Part 14</w:t>
      </w:r>
    </w:p>
    <w:p>
      <w:pPr>
        <w:pStyle w:val="Subtitle"/>
      </w:pPr>
      <w:r>
        <w:t xml:space="preserve">Federal Business Continuity: Contingency Planning, DR Architecture, and Recovery Validation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1 What This Document Addresses</w:t>
      </w:r>
    </w:p>
    <w:p>
      <w:pPr>
        <w:pStyle w:val="FirstParagraph"/>
      </w:pPr>
      <w:r>
        <w:t xml:space="preserve">Parts 1 through 13 of this series built the infrastructure substrate for a resilient federal network: DNS with Grid replication (Part 1), SD-WAN with dual underlay circuits and automatic path failover (Part 6), identity with break-glass access procedures (Parts 3 and 10), SQL Server Always On Availability Groups with geo-replicated disaster recovery replicas (Parts 8 and 9), and a centralized logging and alerting fabric (Part 13). Each part produced runbooks, configuration templates, and tested recovery procedures. A FedRAMP assessor reviewing all thirteen parts would find a technically impressive architecture. They would also find that the agency cannot demonstrate compliance with CP-2.</w:t>
      </w:r>
    </w:p>
    <w:p>
      <w:pPr>
        <w:pStyle w:val="BodyText"/>
      </w:pPr>
      <w:r>
        <w:t xml:space="preserve">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8 that walks a DBA through failing over an Availability Group is a recovery procedure. It is not a Contingency Plan. The SD-WAN configuration in Part 6 that automatically steers traffic onto the backup DIA circuit when MPLS degrades is a resilience capability — one that lives in the overlay’s probe-driven path selection, not in the circuit. It is not a Contingency Plan either. An assessor who opens the Plan of Action and Milestones and sees CP-2 open can turn off the screens showing a perfectly functioning DR failover and write a High finding, because the artifact does not exist.</w:t>
      </w:r>
    </w:p>
    <w:p>
      <w:pPr>
        <w:pStyle w:val="BodyText"/>
      </w:pPr>
      <w:r>
        <w:t xml:space="preserve">This document closes that gap. It assembles the infrastructure components from Parts 1 through 13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values that anchor the plan, and the testing framework produces the artifacts an assessor expects to see.</w:t>
      </w:r>
    </w:p>
    <w:bookmarkEnd w:id="12"/>
    <w:bookmarkStart w:id="15" w:name="technology-without-a-plan-fails-cp-2"/>
    <w:p>
      <w:pPr>
        <w:pStyle w:val="Heading2"/>
      </w:pPr>
      <w:r>
        <w:t xml:space="preserve">2 Technology Without a Plan Fails CP-2</w:t>
      </w:r>
    </w:p>
    <w:bookmarkStart w:id="13" w:name="what-assessors-actually-check"/>
    <w:p>
      <w:pPr>
        <w:pStyle w:val="Heading3"/>
      </w:pPr>
      <w:r>
        <w:t xml:space="preserve">2.1 What Assessors Actually Check</w:t>
      </w:r>
    </w:p>
    <w:p>
      <w:pPr>
        <w:pStyle w:val="FirstParagraph"/>
      </w:pPr>
      <w:r>
        <w:t xml:space="preserve">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the primary, the plan has an inconsistency finding. But if no plan exists, no amount of correctly configured infrastructure resolves the finding.</w:t>
      </w:r>
    </w:p>
    <w:p>
      <w:pPr>
        <w:pStyle w:val="BodyText"/>
      </w:pPr>
      <w:r>
        <w:t xml:space="preserve">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deploys a geo-redundant SQL replica is a capability. The sentence</w:t>
      </w:r>
      <w:r>
        <w:t xml:space="preserve"> </w:t>
      </w:r>
      <w:r>
        <w:t xml:space="preserve">“Database recovery will be performed by the Database Recovery Lead using the procedure in Appendix B, targeting completion within two hours of plan activation”</w:t>
      </w:r>
      <w:r>
        <w:t xml:space="preserve"> </w:t>
      </w:r>
      <w:r>
        <w:t xml:space="preserve">is the plan artifact that CP-2 requires.</w:t>
      </w:r>
    </w:p>
    <w:p>
      <w:pPr>
        <w:pStyle w:val="BodyText"/>
      </w:pPr>
      <w:r>
        <w:t xml:space="preserve">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into a coordinated organizational response.</w:t>
      </w:r>
    </w:p>
    <w:bookmarkEnd w:id="13"/>
    <w:bookmarkStart w:id="14" w:name="what-a-dr-runbook-is-and-is-not"/>
    <w:p>
      <w:pPr>
        <w:pStyle w:val="Heading3"/>
      </w:pPr>
      <w:r>
        <w:t xml:space="preserve">2.2 What a DR Runbook Is and Is Not</w:t>
      </w:r>
    </w:p>
    <w:p>
      <w:pPr>
        <w:pStyle w:val="FirstParagraph"/>
      </w:pPr>
      <w:r>
        <w:t xml:space="preserve">The DR runbooks in Parts 8 and 9 are Section 5 content for the Contingency Plan. They are not the Contingency Plan itself. The difference is visible in what each artifact contains.</w:t>
      </w:r>
    </w:p>
    <w:p>
      <w:pPr>
        <w:pStyle w:val="BodyText"/>
      </w:pPr>
      <w:r>
        <w:t xml:space="preserve">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pPr>
        <w:pStyle w:val="BodyText"/>
      </w:pPr>
      <w:r>
        <w:t xml:space="preserve">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pPr>
        <w:pStyle w:val="BodyText"/>
      </w:pPr>
      <w:r>
        <w:t xml:space="preserve">An agency that has only runbooks has the middle of the response documented. The CP-2 document provides the beginning (activation, notification, role assembly) and the end (validation, reconstitution, deactivation) that the runbooks assume but do not contain.</w:t>
      </w:r>
    </w:p>
    <w:bookmarkEnd w:id="14"/>
    <w:bookmarkEnd w:id="15"/>
    <w:bookmarkStart w:id="24" w:name="business-impact-analysis-methodology"/>
    <w:p>
      <w:pPr>
        <w:pStyle w:val="Heading2"/>
      </w:pPr>
      <w:r>
        <w:t xml:space="preserve">3 Business Impact Analysis Methodology</w:t>
      </w:r>
    </w:p>
    <w:bookmarkStart w:id="16" w:name="purpose-and-scope"/>
    <w:p>
      <w:pPr>
        <w:pStyle w:val="Heading3"/>
      </w:pPr>
      <w:r>
        <w:t xml:space="preserve">3.1 Purpose and Scope</w:t>
      </w:r>
    </w:p>
    <w:p>
      <w:pPr>
        <w:pStyle w:val="FirstParagraph"/>
      </w:pPr>
      <w:r>
        <w:t xml:space="preserve">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pPr>
        <w:pStyle w:val="BodyText"/>
      </w:pPr>
      <w:r>
        <w:t xml:space="preserve">The BIA produces four values for each mission-critical system:</w:t>
      </w:r>
    </w:p>
    <w:p>
      <w:pPr>
        <w:pStyle w:val="Compact"/>
        <w:numPr>
          <w:ilvl w:val="0"/>
          <w:numId w:val="1001"/>
        </w:numPr>
      </w:pPr>
      <w:r>
        <w:rPr>
          <w:b/>
          <w:bCs/>
        </w:rPr>
        <w:t xml:space="preserve">Maximum Tolerable Downtime (MTD)</w:t>
      </w:r>
      <w:r>
        <w:t xml:space="preserve">: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pPr>
        <w:pStyle w:val="Compact"/>
        <w:numPr>
          <w:ilvl w:val="0"/>
          <w:numId w:val="1001"/>
        </w:numPr>
      </w:pPr>
      <w:r>
        <w:rPr>
          <w:b/>
          <w:bCs/>
        </w:rPr>
        <w:t xml:space="preserve">Recovery Time Objective (RTO)</w:t>
      </w:r>
      <w:r>
        <w:t xml:space="preserve">: the targeted elapsed time from incident declaration to full system restoration. The RTO must be less than the MTD; the gap between them is a buffer for complications.</w:t>
      </w:r>
    </w:p>
    <w:p>
      <w:pPr>
        <w:pStyle w:val="Compact"/>
        <w:numPr>
          <w:ilvl w:val="0"/>
          <w:numId w:val="1001"/>
        </w:numPr>
      </w:pPr>
      <w:r>
        <w:rPr>
          <w:b/>
          <w:bCs/>
        </w:rPr>
        <w:t xml:space="preserve">Recovery Point Objective (RPO)</w:t>
      </w:r>
      <w:r>
        <w:t xml:space="preserve">: the maximum tolerable data loss, expressed as time. An RPO of 15 minutes means the agency accepts losing up to 15 minutes of transactions during a recovery event.</w:t>
      </w:r>
    </w:p>
    <w:p>
      <w:pPr>
        <w:pStyle w:val="Compact"/>
        <w:numPr>
          <w:ilvl w:val="0"/>
          <w:numId w:val="1001"/>
        </w:numPr>
      </w:pPr>
      <w:r>
        <w:rPr>
          <w:b/>
          <w:bCs/>
        </w:rPr>
        <w:t xml:space="preserve">Work Recovery Time (WRT)</w:t>
      </w:r>
      <w:r>
        <w:t xml:space="preserve">: the time required after technical restoration to validate data integrity, reconcile transactions, clear backlogs, and return to normal operations. RTO + WRT must be less than MTD.</w:t>
      </w:r>
    </w:p>
    <w:bookmarkEnd w:id="16"/>
    <w:bookmarkStart w:id="23" w:name="conducting-the-bia"/>
    <w:p>
      <w:pPr>
        <w:pStyle w:val="Heading3"/>
      </w:pPr>
      <w:r>
        <w:t xml:space="preserve">3.2 Conducting the BIA</w:t>
      </w:r>
    </w:p>
    <w:p>
      <w:pPr>
        <w:pStyle w:val="FirstParagraph"/>
      </w:pPr>
      <w:r>
        <w:rPr>
          <w:b/>
          <w:bCs/>
        </w:rPr>
        <w:t xml:space="preserve">Step 1: System inventory and scoping.</w:t>
      </w:r>
      <w:r>
        <w:t xml:space="preserve"> </w:t>
      </w:r>
      <w:r>
        <w:t xml:space="preserve">Begin with the asset inventory. The SQL estate inventory from Part 8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pPr>
        <w:pStyle w:val="BodyText"/>
      </w:pPr>
      <w:r>
        <w:rPr>
          <w:b/>
          <w:bCs/>
        </w:rPr>
        <w:t xml:space="preserve">Step 2: Stakeholder interviews.</w:t>
      </w:r>
      <w:r>
        <w:t xml:space="preserve"> </w:t>
      </w:r>
      <w:r>
        <w:t xml:space="preserve">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pPr>
        <w:pStyle w:val="BodyText"/>
      </w:pPr>
      <w:r>
        <w:t xml:space="preserve">Interview questions for mission owners:</w:t>
      </w:r>
    </w:p>
    <w:p>
      <w:pPr>
        <w:pStyle w:val="Compact"/>
        <w:numPr>
          <w:ilvl w:val="0"/>
          <w:numId w:val="1002"/>
        </w:numPr>
      </w:pPr>
      <w:r>
        <w:t xml:space="preserve">If this system were unavailable starting right now, at what point would you be required to escalate to your director?</w:t>
      </w:r>
    </w:p>
    <w:p>
      <w:pPr>
        <w:pStyle w:val="Compact"/>
        <w:numPr>
          <w:ilvl w:val="0"/>
          <w:numId w:val="1002"/>
        </w:numPr>
      </w:pPr>
      <w:r>
        <w:t xml:space="preserve">At what point would the unavailability affect your agency’s external commitments or statutory obligations?</w:t>
      </w:r>
    </w:p>
    <w:p>
      <w:pPr>
        <w:pStyle w:val="Compact"/>
        <w:numPr>
          <w:ilvl w:val="0"/>
          <w:numId w:val="1002"/>
        </w:numPr>
      </w:pPr>
      <w:r>
        <w:t xml:space="preserve">Are there specific time windows — end-of-day processing, scheduled batch jobs, federal reporting deadlines — during which an outage would be more severe?</w:t>
      </w:r>
    </w:p>
    <w:p>
      <w:pPr>
        <w:pStyle w:val="Compact"/>
        <w:numPr>
          <w:ilvl w:val="0"/>
          <w:numId w:val="1002"/>
        </w:numPr>
      </w:pPr>
      <w:r>
        <w:t xml:space="preserve">What manual workaround procedures exist, and how long can staff sustain them?</w:t>
      </w:r>
    </w:p>
    <w:p>
      <w:pPr>
        <w:pStyle w:val="FirstParagraph"/>
      </w:pPr>
      <w:r>
        <w:rPr>
          <w:b/>
          <w:bCs/>
        </w:rPr>
        <w:t xml:space="preserve">Step 3: Transaction rate analysis.</w:t>
      </w:r>
      <w:r>
        <w:t xml:space="preserve"> </w:t>
      </w:r>
      <w:r>
        <w:t xml:space="preserve">Pull peak transaction rates from monitoring (the Sentinel dashboards from Part 13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occurs at peak time.</w:t>
      </w:r>
    </w:p>
    <w:p>
      <w:pPr>
        <w:pStyle w:val="BodyText"/>
      </w:pPr>
      <w:r>
        <w:rPr>
          <w:b/>
          <w:bCs/>
        </w:rPr>
        <w:t xml:space="preserve">Step 4: Dependency mapping.</w:t>
      </w:r>
      <w:r>
        <w:t xml:space="preserve"> </w:t>
      </w:r>
      <w:r>
        <w:t xml:space="preserve">For each system, enumerate upstream and downstream dependencies using the IPAM dependency map from Part 1 and the SQL replication topology from Part 9.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pPr>
        <w:pStyle w:val="BodyText"/>
      </w:pPr>
      <w:r>
        <w:rPr>
          <w:b/>
          <w:bCs/>
        </w:rPr>
        <w:t xml:space="preserve">Step 5: BIA table.</w:t>
      </w:r>
      <w:r>
        <w:t xml:space="preserve"> </w:t>
      </w:r>
      <w:r>
        <w:t xml:space="preserve">Compile results into a formal table for mission owner and ISSO review and sign-off.</w:t>
      </w:r>
    </w:p>
    <w:p>
      <w:pPr>
        <w:pStyle w:val="TableCaption"/>
      </w:pPr>
      <w:r>
        <w:t xml:space="preserve">BIA Summary — Mission-Critical Systems</w:t>
      </w:r>
    </w:p>
    <w:tbl>
      <w:tblPr>
        <w:tblStyle w:val="Table"/>
        <w:tblW w:type="pct" w:w="5000"/>
        <w:tblLayout w:type="fixed"/>
        <w:tblLook w:firstRow="1" w:lastRow="0" w:firstColumn="0" w:lastColumn="0" w:noHBand="0" w:noVBand="0" w:val="0020"/>
        <w:tblCaption w:val="BIA Summary — Mission-Critical System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w:r>
              <w:t xml:space="preserve">MTD</w:t>
            </w:r>
          </w:p>
        </w:tc>
        <w:tc>
          <w:tcPr/>
          <w:p>
            <w:pPr>
              <w:pStyle w:val="Compact"/>
            </w:pPr>
            <w:r>
              <w:t xml:space="preserve">RTO</w:t>
            </w:r>
          </w:p>
        </w:tc>
        <w:tc>
          <w:tcPr/>
          <w:p>
            <w:pPr>
              <w:pStyle w:val="Compact"/>
            </w:pPr>
            <w:r>
              <w:t xml:space="preserve">RPO</w:t>
            </w:r>
          </w:p>
        </w:tc>
        <w:tc>
          <w:tcPr/>
          <w:p>
            <w:pPr>
              <w:pStyle w:val="Compact"/>
            </w:pPr>
            <w:r>
              <w:t xml:space="preserve">WRT</w:t>
            </w:r>
          </w:p>
        </w:tc>
        <w:tc>
          <w:tcPr/>
          <w:p>
            <w:pPr>
              <w:pStyle w:val="Compact"/>
            </w:pPr>
            <w:r>
              <w:t xml:space="preserve">Primary Dependencies</w:t>
            </w:r>
          </w:p>
        </w:tc>
      </w:tr>
      <w:tr>
        <w:tc>
          <w:tcPr/>
          <w:p>
            <w:pPr>
              <w:pStyle w:val="Compact"/>
            </w:pPr>
            <w:r>
              <w:t xml:space="preserve">Emergency Contact Center (telephony platform)</w:t>
            </w:r>
          </w:p>
        </w:tc>
        <w:tc>
          <w:tcPr/>
          <w:p>
            <w:pPr>
              <w:pStyle w:val="Compact"/>
            </w:pPr>
            <w:r>
              <w:t xml:space="preserve">4 hours (business hours)</w:t>
            </w:r>
          </w:p>
        </w:tc>
        <w:tc>
          <w:tcPr/>
          <w:p>
            <w:pPr>
              <w:pStyle w:val="Compact"/>
            </w:pPr>
            <w:r>
              <w:t xml:space="preserve">2 hours</w:t>
            </w:r>
          </w:p>
        </w:tc>
        <w:tc>
          <w:tcPr/>
          <w:p>
            <w:pPr>
              <w:pStyle w:val="Compact"/>
            </w:pPr>
            <w:r>
              <w:t xml:space="preserve">15 minutes (call recording)</w:t>
            </w:r>
          </w:p>
        </w:tc>
        <w:tc>
          <w:tcPr/>
          <w:p>
            <w:pPr>
              <w:pStyle w:val="Compact"/>
            </w:pPr>
            <w:r>
              <w:t xml:space="preserve">30 minutes</w:t>
            </w:r>
          </w:p>
        </w:tc>
        <w:tc>
          <w:tcPr/>
          <w:p>
            <w:pPr>
              <w:pStyle w:val="Compact"/>
            </w:pPr>
            <w:r>
              <w:t xml:space="preserve">DNS (DDI), Identity Provider (Entra), WAN circuit</w:t>
            </w:r>
          </w:p>
        </w:tc>
      </w:tr>
      <w:tr>
        <w:tc>
          <w:tcPr/>
          <w:p>
            <w:pPr>
              <w:pStyle w:val="Compact"/>
            </w:pPr>
            <w:r>
              <w:t xml:space="preserve">Case Management Database (SQL primary)</w:t>
            </w:r>
          </w:p>
        </w:tc>
        <w:tc>
          <w:tcPr/>
          <w:p>
            <w:pPr>
              <w:pStyle w:val="Compact"/>
            </w:pPr>
            <w:r>
              <w:t xml:space="preserve">8 hours</w:t>
            </w:r>
          </w:p>
        </w:tc>
        <w:tc>
          <w:tcPr/>
          <w:p>
            <w:pPr>
              <w:pStyle w:val="Compact"/>
            </w:pPr>
            <w:r>
              <w:t xml:space="preserve">4 hours</w:t>
            </w:r>
          </w:p>
        </w:tc>
        <w:tc>
          <w:tcPr/>
          <w:p>
            <w:pPr>
              <w:pStyle w:val="Compact"/>
            </w:pPr>
            <w:r>
              <w:t xml:space="preserve">5 minutes</w:t>
            </w:r>
          </w:p>
        </w:tc>
        <w:tc>
          <w:tcPr/>
          <w:p>
            <w:pPr>
              <w:pStyle w:val="Compact"/>
            </w:pPr>
            <w:r>
              <w:t xml:space="preserve">60 minutes</w:t>
            </w:r>
          </w:p>
        </w:tc>
        <w:tc>
          <w:tcPr/>
          <w:p>
            <w:pPr>
              <w:pStyle w:val="Compact"/>
            </w:pPr>
            <w:r>
              <w:t xml:space="preserve">SQL AG replica, DDI, Active Directory</w:t>
            </w:r>
          </w:p>
        </w:tc>
      </w:tr>
      <w:tr>
        <w:tc>
          <w:tcPr/>
          <w:p>
            <w:pPr>
              <w:pStyle w:val="Compact"/>
            </w:pPr>
            <w:r>
              <w:t xml:space="preserve">Internal Collaboration Platform</w:t>
            </w:r>
          </w:p>
        </w:tc>
        <w:tc>
          <w:tcPr/>
          <w:p>
            <w:pPr>
              <w:pStyle w:val="Compact"/>
            </w:pPr>
            <w:r>
              <w:t xml:space="preserve">24 hours</w:t>
            </w:r>
          </w:p>
        </w:tc>
        <w:tc>
          <w:tcPr/>
          <w:p>
            <w:pPr>
              <w:pStyle w:val="Compact"/>
            </w:pPr>
            <w:r>
              <w:t xml:space="preserve">8 hours</w:t>
            </w:r>
          </w:p>
        </w:tc>
        <w:tc>
          <w:tcPr/>
          <w:p>
            <w:pPr>
              <w:pStyle w:val="Compact"/>
            </w:pPr>
            <w:r>
              <w:t xml:space="preserve">60 minutes</w:t>
            </w:r>
          </w:p>
        </w:tc>
        <w:tc>
          <w:tcPr/>
          <w:p>
            <w:pPr>
              <w:pStyle w:val="Compact"/>
            </w:pPr>
            <w:r>
              <w:t xml:space="preserve">2 hours</w:t>
            </w:r>
          </w:p>
        </w:tc>
        <w:tc>
          <w:tcPr/>
          <w:p>
            <w:pPr>
              <w:pStyle w:val="Compact"/>
            </w:pPr>
            <w:r>
              <w:t xml:space="preserve">Identity Provider, Storage</w:t>
            </w:r>
          </w:p>
        </w:tc>
      </w:tr>
      <w:tr>
        <w:tc>
          <w:tcPr/>
          <w:p>
            <w:pPr>
              <w:pStyle w:val="Compact"/>
            </w:pPr>
            <w:r>
              <w:t xml:space="preserve">Network Services — DDI</w:t>
            </w:r>
          </w:p>
        </w:tc>
        <w:tc>
          <w:tcPr/>
          <w:p>
            <w:pPr>
              <w:pStyle w:val="Compact"/>
            </w:pPr>
            <w:r>
              <w:t xml:space="preserve">2 hours</w:t>
            </w:r>
          </w:p>
        </w:tc>
        <w:tc>
          <w:tcPr/>
          <w:p>
            <w:pPr>
              <w:pStyle w:val="Compact"/>
            </w:pPr>
            <w:r>
              <w:t xml:space="preserve">1 hour</w:t>
            </w:r>
          </w:p>
        </w:tc>
        <w:tc>
          <w:tcPr/>
          <w:p>
            <w:pPr>
              <w:pStyle w:val="Compact"/>
            </w:pPr>
            <w:r>
              <w:t xml:space="preserve">N/A (stateless resolution)</w:t>
            </w:r>
          </w:p>
        </w:tc>
        <w:tc>
          <w:tcPr/>
          <w:p>
            <w:pPr>
              <w:pStyle w:val="Compact"/>
            </w:pPr>
            <w:r>
              <w:t xml:space="preserve">15 minutes</w:t>
            </w:r>
          </w:p>
        </w:tc>
        <w:tc>
          <w:tcPr/>
          <w:p>
            <w:pPr>
              <w:pStyle w:val="Compact"/>
            </w:pPr>
            <w:r>
              <w:t xml:space="preserve">Physical network, Grid replication</w:t>
            </w:r>
          </w:p>
        </w:tc>
      </w:tr>
      <w:tr>
        <w:tc>
          <w:tcPr/>
          <w:p>
            <w:pPr>
              <w:pStyle w:val="Compact"/>
            </w:pPr>
            <w:r>
              <w:t xml:space="preserve">SD-WAN Control Plane</w:t>
            </w:r>
          </w:p>
        </w:tc>
        <w:tc>
          <w:tcPr/>
          <w:p>
            <w:pPr>
              <w:pStyle w:val="Compact"/>
            </w:pPr>
            <w:r>
              <w:t xml:space="preserve">30 minutes</w:t>
            </w:r>
          </w:p>
        </w:tc>
        <w:tc>
          <w:tcPr/>
          <w:p>
            <w:pPr>
              <w:pStyle w:val="Compact"/>
            </w:pPr>
            <w:r>
              <w:t xml:space="preserve">15 minutes (automatic)</w:t>
            </w:r>
          </w:p>
        </w:tc>
        <w:tc>
          <w:tcPr/>
          <w:p>
            <w:pPr>
              <w:pStyle w:val="Compact"/>
            </w:pPr>
            <w:r>
              <w:t xml:space="preserve">N/A</w:t>
            </w:r>
          </w:p>
        </w:tc>
        <w:tc>
          <w:tcPr/>
          <w:p>
            <w:pPr>
              <w:pStyle w:val="Compact"/>
            </w:pPr>
            <w:r>
              <w:t xml:space="preserve">5 minutes</w:t>
            </w:r>
          </w:p>
        </w:tc>
        <w:tc>
          <w:tcPr/>
          <w:p>
            <w:pPr>
              <w:pStyle w:val="Compact"/>
            </w:pPr>
            <w:r>
              <w:t xml:space="preserve">Internet DIA circuit</w:t>
            </w:r>
          </w:p>
        </w:tc>
      </w:tr>
      <w:tr>
        <w:tc>
          <w:tcPr/>
          <w:p>
            <w:pPr>
              <w:pStyle w:val="Compact"/>
            </w:pPr>
            <w:r>
              <w:t xml:space="preserve">Identity Provider (cloud-hosted)</w:t>
            </w:r>
          </w:p>
        </w:tc>
        <w:tc>
          <w:tcPr/>
          <w:p>
            <w:pPr>
              <w:pStyle w:val="Compact"/>
            </w:pPr>
            <w:r>
              <w:t xml:space="preserve">4 hours</w:t>
            </w:r>
          </w:p>
        </w:tc>
        <w:tc>
          <w:tcPr/>
          <w:p>
            <w:pPr>
              <w:pStyle w:val="Compact"/>
            </w:pPr>
            <w:r>
              <w:t xml:space="preserve">N/A (vendor-managed HA)</w:t>
            </w:r>
          </w:p>
        </w:tc>
        <w:tc>
          <w:tcPr/>
          <w:p>
            <w:pPr>
              <w:pStyle w:val="Compact"/>
            </w:pPr>
            <w:r>
              <w:t xml:space="preserve">N/A</w:t>
            </w:r>
          </w:p>
        </w:tc>
        <w:tc>
          <w:tcPr/>
          <w:p>
            <w:pPr>
              <w:pStyle w:val="Compact"/>
            </w:pPr>
            <w:r>
              <w:t xml:space="preserve">15 minutes (break-glass validation)</w:t>
            </w:r>
          </w:p>
        </w:tc>
        <w:tc>
          <w:tcPr/>
          <w:p>
            <w:pPr>
              <w:pStyle w:val="Compact"/>
            </w:pPr>
            <w:r>
              <w:t xml:space="preserve">Internet connectivity</w:t>
            </w:r>
          </w:p>
        </w:tc>
      </w:tr>
      <w:tr>
        <w:tc>
          <w:tcPr/>
          <w:p>
            <w:pPr>
              <w:pStyle w:val="Compact"/>
            </w:pPr>
            <w:r>
              <w:t xml:space="preserve">Audit Logging Platform</w:t>
            </w:r>
          </w:p>
        </w:tc>
        <w:tc>
          <w:tcPr/>
          <w:p>
            <w:pPr>
              <w:pStyle w:val="Compact"/>
            </w:pPr>
            <w:r>
              <w:t xml:space="preserve">12 hours</w:t>
            </w:r>
          </w:p>
        </w:tc>
        <w:tc>
          <w:tcPr/>
          <w:p>
            <w:pPr>
              <w:pStyle w:val="Compact"/>
            </w:pPr>
            <w:r>
              <w:t xml:space="preserve">6 hours</w:t>
            </w:r>
          </w:p>
        </w:tc>
        <w:tc>
          <w:tcPr/>
          <w:p>
            <w:pPr>
              <w:pStyle w:val="Compact"/>
            </w:pPr>
            <w:r>
              <w:t xml:space="preserve">60 minutes</w:t>
            </w:r>
          </w:p>
        </w:tc>
        <w:tc>
          <w:tcPr/>
          <w:p>
            <w:pPr>
              <w:pStyle w:val="Compact"/>
            </w:pPr>
            <w:r>
              <w:t xml:space="preserve">30 minutes</w:t>
            </w:r>
          </w:p>
        </w:tc>
        <w:tc>
          <w:tcPr/>
          <w:p>
            <w:pPr>
              <w:pStyle w:val="Compact"/>
            </w:pPr>
            <w:r>
              <w:t xml:space="preserve">Storage, network</w:t>
            </w:r>
          </w:p>
        </w:tc>
      </w:tr>
      <w:tr>
        <w:tc>
          <w:tcPr/>
          <w:p>
            <w:pPr>
              <w:pStyle w:val="Compact"/>
            </w:pPr>
            <w:r>
              <w:t xml:space="preserve">Application Binaries / Deployment Store</w:t>
            </w:r>
          </w:p>
        </w:tc>
        <w:tc>
          <w:tcPr/>
          <w:p>
            <w:pPr>
              <w:pStyle w:val="Compact"/>
            </w:pPr>
            <w:r>
              <w:t xml:space="preserve">48 hours</w:t>
            </w:r>
          </w:p>
        </w:tc>
        <w:tc>
          <w:tcPr/>
          <w:p>
            <w:pPr>
              <w:pStyle w:val="Compact"/>
            </w:pPr>
            <w:r>
              <w:t xml:space="preserve">24 hours</w:t>
            </w:r>
          </w:p>
        </w:tc>
        <w:tc>
          <w:tcPr/>
          <w:p>
            <w:pPr>
              <w:pStyle w:val="Compact"/>
            </w:pPr>
            <w:r>
              <w:t xml:space="preserve">24 hours</w:t>
            </w:r>
          </w:p>
        </w:tc>
        <w:tc>
          <w:tcPr/>
          <w:p>
            <w:pPr>
              <w:pStyle w:val="Compact"/>
            </w:pPr>
            <w:r>
              <w:t xml:space="preserve">4 hours</w:t>
            </w:r>
          </w:p>
        </w:tc>
        <w:tc>
          <w:tcPr/>
          <w:p>
            <w:pPr>
              <w:pStyle w:val="Compact"/>
            </w:pPr>
            <w:r>
              <w:t xml:space="preserve">Storage, DDI</w:t>
            </w:r>
          </w:p>
        </w:tc>
      </w:tr>
    </w:tbl>
    <w:p>
      <w:pPr>
        <w:pStyle w:val="CaptionedFigure"/>
      </w:pPr>
      <w:r>
        <w:drawing>
          <wp:inline>
            <wp:extent cx="5334000" cy="2154115"/>
            <wp:effectExtent b="0" l="0" r="0" t="0"/>
            <wp:docPr descr="BIA output: system MTD/RTO/RPO table for critical federal systems" title="" id="18" name="Picture"/>
            <a:graphic>
              <a:graphicData uri="http://schemas.openxmlformats.org/drawingml/2006/picture">
                <pic:pic>
                  <pic:nvPicPr>
                    <pic:cNvPr descr="figs/bc-fig-01-bia-rto-rpo.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BIA output: system MTD/RTO/RPO table for critical federal systems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BIA Values Require Mission-Owner Signature</w:t>
            </w:r>
          </w:p>
        </w:tc>
      </w:tr>
      <w:tr>
        <w:trPr>
          <w:cantSplit/>
        </w:trPr>
        <w:tc>
          <w:tcPr>
            <w:tcMar>
              <w:top w:w="108" w:type="dxa"/>
              <w:bottom w:w="108" w:type="dxa"/>
            </w:tcMar>
          </w:tcPr>
          <w:p>
            <w:pPr>
              <w:pStyle w:val="BodyText"/>
            </w:pPr>
            <w:pPr>
              <w:spacing w:before="16" w:after="16"/>
            </w:pPr>
            <w:r>
              <w:t xml:space="preserve">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p/>
        </w:tc>
      </w:tr>
    </w:tbl>
    <w:bookmarkEnd w:id="23"/>
    <w:bookmarkEnd w:id="24"/>
    <w:bookmarkStart w:id="38" w:name="cp-2-contingency-plan-document-structure"/>
    <w:p>
      <w:pPr>
        <w:pStyle w:val="Heading2"/>
      </w:pPr>
      <w:r>
        <w:t xml:space="preserve">4 CP-2 Contingency Plan Document Structure</w:t>
      </w:r>
    </w:p>
    <w:p>
      <w:pPr>
        <w:pStyle w:val="FirstParagraph"/>
      </w:pPr>
      <w:r>
        <w:t xml:space="preserve">NIST SP 800-34 Rev 1 defines seven sections for a federal Contingency Plan. This section provides the structural outline for each section with sufficient detail for agency authors to populate it. The runbooks from Parts 8 and 9 are explicitly referenced as appendix content that satisfies Section 5 recovery procedure requirements.</w:t>
      </w:r>
    </w:p>
    <w:p>
      <w:pPr>
        <w:pStyle w:val="CaptionedFigure"/>
      </w:pPr>
      <w:r>
        <w:drawing>
          <wp:inline>
            <wp:extent cx="5334000" cy="3225209"/>
            <wp:effectExtent b="0" l="0" r="0" t="0"/>
            <wp:docPr descr="CP-2 document structure: 7 sections with NIST SP 800-34 mapping" title="" id="26" name="Picture"/>
            <a:graphic>
              <a:graphicData uri="http://schemas.openxmlformats.org/drawingml/2006/picture">
                <pic:pic>
                  <pic:nvPicPr>
                    <pic:cNvPr descr="figs/bc-fig-02-cp2-structure.png" id="27" name="Picture"/>
                    <pic:cNvPicPr>
                      <a:picLocks noChangeArrowheads="1" noChangeAspect="1"/>
                    </pic:cNvPicPr>
                  </pic:nvPicPr>
                  <pic:blipFill>
                    <a:blip r:embed="rId25"/>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CP-2 document structure: 7 sections with NIST SP 800-34 mapping</w:t>
      </w:r>
    </w:p>
    <w:bookmarkStart w:id="28" w:name="section-1-introduction"/>
    <w:p>
      <w:pPr>
        <w:pStyle w:val="Heading3"/>
      </w:pPr>
      <w:r>
        <w:t xml:space="preserve">4.1 Section 1: Introduction</w:t>
      </w:r>
    </w:p>
    <w:p>
      <w:pPr>
        <w:pStyle w:val="FirstParagraph"/>
      </w:pPr>
      <w:r>
        <w:rPr>
          <w:b/>
          <w:bCs/>
        </w:rPr>
        <w:t xml:space="preserve">1.1 Purpose.</w:t>
      </w:r>
      <w:r>
        <w:t xml:space="preserve"> </w:t>
      </w:r>
      <w:r>
        <w:t xml:space="preserve">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pPr>
        <w:pStyle w:val="BodyText"/>
      </w:pPr>
      <w:r>
        <w:rPr>
          <w:b/>
          <w:bCs/>
        </w:rPr>
        <w:t xml:space="preserve">1.2 Scope.</w:t>
      </w:r>
      <w:r>
        <w:t xml:space="preserve"> </w:t>
      </w:r>
      <w:r>
        <w:t xml:space="preserve">This plan applies to the following systems and their supporting infrastructure:</w:t>
      </w:r>
    </w:p>
    <w:p>
      <w:pPr>
        <w:pStyle w:val="Compact"/>
        <w:numPr>
          <w:ilvl w:val="0"/>
          <w:numId w:val="1003"/>
        </w:numPr>
      </w:pPr>
      <w:r>
        <w:t xml:space="preserve">[List each system from the BIA table, with its Federal Information System designation if applicable]</w:t>
      </w:r>
    </w:p>
    <w:p>
      <w:pPr>
        <w:pStyle w:val="Compact"/>
        <w:numPr>
          <w:ilvl w:val="0"/>
          <w:numId w:val="1003"/>
        </w:numPr>
      </w:pPr>
      <w:r>
        <w:t xml:space="preserve">Network infrastructure: SD-WAN fabric, DDI (DNS/DHCP/IPAM), and associated WAN circuits</w:t>
      </w:r>
    </w:p>
    <w:p>
      <w:pPr>
        <w:pStyle w:val="Compact"/>
        <w:numPr>
          <w:ilvl w:val="0"/>
          <w:numId w:val="1003"/>
        </w:numPr>
      </w:pPr>
      <w:r>
        <w:t xml:space="preserve">Cloud-hosted services operating under the agency’s FedRAMP authorization boundary</w:t>
      </w:r>
    </w:p>
    <w:p>
      <w:pPr>
        <w:pStyle w:val="Compact"/>
        <w:numPr>
          <w:ilvl w:val="0"/>
          <w:numId w:val="1003"/>
        </w:numPr>
      </w:pPr>
      <w:r>
        <w:t xml:space="preserve">Third-party services with interconnection agreements (list each)</w:t>
      </w:r>
    </w:p>
    <w:p>
      <w:pPr>
        <w:pStyle w:val="FirstParagraph"/>
      </w:pPr>
      <w:r>
        <w:rPr>
          <w:b/>
          <w:bCs/>
        </w:rPr>
        <w:t xml:space="preserve">1.3 System Description.</w:t>
      </w:r>
      <w:r>
        <w:t xml:space="preserve"> </w:t>
      </w:r>
      <w:r>
        <w:t xml:space="preserve">[Summarize the mission-critical systems covered by this plan in plain language: what they do, who uses them, and why they are essential to the agency mission. Reference the System Security Plan for the full system description.]</w:t>
      </w:r>
    </w:p>
    <w:p>
      <w:pPr>
        <w:pStyle w:val="BodyText"/>
      </w:pPr>
      <w:r>
        <w:rPr>
          <w:b/>
          <w:bCs/>
        </w:rPr>
        <w:t xml:space="preserve">1.4 Applicable Laws, Regulations, and Policies.</w:t>
      </w:r>
    </w:p>
    <w:p>
      <w:pPr>
        <w:pStyle w:val="Compact"/>
        <w:numPr>
          <w:ilvl w:val="0"/>
          <w:numId w:val="1004"/>
        </w:numPr>
      </w:pPr>
      <w:r>
        <w:t xml:space="preserve">Federal Information Security Modernization Act (FISMA) of 2014</w:t>
      </w:r>
    </w:p>
    <w:p>
      <w:pPr>
        <w:pStyle w:val="Compact"/>
        <w:numPr>
          <w:ilvl w:val="0"/>
          <w:numId w:val="1004"/>
        </w:numPr>
      </w:pPr>
      <w:r>
        <w:t xml:space="preserve">OMB Circular A-130, Managing Information as a Strategic Resource</w:t>
      </w:r>
    </w:p>
    <w:p>
      <w:pPr>
        <w:pStyle w:val="Compact"/>
        <w:numPr>
          <w:ilvl w:val="0"/>
          <w:numId w:val="1004"/>
        </w:numPr>
      </w:pPr>
      <w:r>
        <w:t xml:space="preserve">NIST SP 800-34 Rev 1, Contingency Planning Guide for Federal Information Systems</w:t>
      </w:r>
    </w:p>
    <w:p>
      <w:pPr>
        <w:pStyle w:val="Compact"/>
        <w:numPr>
          <w:ilvl w:val="0"/>
          <w:numId w:val="1004"/>
        </w:numPr>
      </w:pPr>
      <w:r>
        <w:t xml:space="preserve">NIST SP 800-53 Rev 5, Security and Privacy Controls for Information Systems and Organizations</w:t>
      </w:r>
    </w:p>
    <w:p>
      <w:pPr>
        <w:pStyle w:val="Compact"/>
        <w:numPr>
          <w:ilvl w:val="0"/>
          <w:numId w:val="1004"/>
        </w:numPr>
      </w:pPr>
      <w:r>
        <w:t xml:space="preserve">[Agency-specific continuity of operations plan (COOP) reference]</w:t>
      </w:r>
    </w:p>
    <w:p>
      <w:pPr>
        <w:pStyle w:val="Compact"/>
        <w:numPr>
          <w:ilvl w:val="0"/>
          <w:numId w:val="1004"/>
        </w:numPr>
      </w:pPr>
      <w:r>
        <w:t xml:space="preserve">[FedRAMP authorization package reference]</w:t>
      </w:r>
    </w:p>
    <w:p>
      <w:pPr>
        <w:pStyle w:val="FirstParagraph"/>
      </w:pPr>
      <w:r>
        <w:rPr>
          <w:b/>
          <w:bCs/>
        </w:rPr>
        <w:t xml:space="preserve">1.5 Record of Changes.</w:t>
      </w:r>
    </w:p>
    <w:p>
      <w:pPr>
        <w:pStyle w:val="TableCaption"/>
      </w:pPr>
      <w:r>
        <w:t xml:space="preserve">Plan Change History</w:t>
      </w:r>
    </w:p>
    <w:tbl>
      <w:tblPr>
        <w:tblStyle w:val="Table"/>
        <w:tblW w:type="auto" w:w="0"/>
        <w:tblLook w:firstRow="1" w:lastRow="0" w:firstColumn="0" w:lastColumn="0" w:noHBand="0" w:noVBand="0" w:val="0020"/>
        <w:tblCaption w:val="Plan Change History"/>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[Initial date]</w:t>
            </w:r>
          </w:p>
        </w:tc>
        <w:tc>
          <w:tcPr/>
          <w:p>
            <w:pPr>
              <w:pStyle w:val="Compact"/>
            </w:pPr>
            <w:r>
              <w:t xml:space="preserve">[Author]</w:t>
            </w:r>
          </w:p>
        </w:tc>
        <w:tc>
          <w:tcPr/>
          <w:p>
            <w:pPr>
              <w:pStyle w:val="Compact"/>
            </w:pPr>
            <w:r>
              <w:t xml:space="preserve">Initial plan publication</w:t>
            </w:r>
          </w:p>
        </w:tc>
      </w:tr>
      <w:tr>
        <w:tc>
          <w:tcPr/>
          <w:p>
            <w:pPr>
              <w:pStyle w:val="Compact"/>
            </w:pPr>
            <w:r>
              <w:t xml:space="preserve">1.1</w:t>
            </w:r>
          </w:p>
        </w:tc>
        <w:tc>
          <w:tcPr/>
          <w:p>
            <w:pPr>
              <w:pStyle w:val="Compact"/>
            </w:pPr>
            <w:r>
              <w:t xml:space="preserve">[Date]</w:t>
            </w:r>
          </w:p>
        </w:tc>
        <w:tc>
          <w:tcPr/>
          <w:p>
            <w:pPr>
              <w:pStyle w:val="Compact"/>
            </w:pPr>
            <w:r>
              <w:t xml:space="preserve">[Author]</w:t>
            </w:r>
          </w:p>
        </w:tc>
        <w:tc>
          <w:tcPr/>
          <w:p>
            <w:pPr>
              <w:pStyle w:val="Compact"/>
            </w:pPr>
            <w:r>
              <w:t xml:space="preserve">Updated per [annual test / system change]</w:t>
            </w:r>
          </w:p>
        </w:tc>
      </w:tr>
    </w:tbl>
    <w:p>
      <w:pPr>
        <w:pStyle w:val="BodyText"/>
      </w:pPr>
      <w:r>
        <w:rPr>
          <w:b/>
          <w:bCs/>
        </w:rPr>
        <w:t xml:space="preserve">1.6 Plan Approval.</w:t>
      </w:r>
      <w:r>
        <w:t xml:space="preserve"> </w:t>
      </w:r>
      <w:r>
        <w:t xml:space="preserve">This plan is approved by [Authorizing Official Name and Title] and takes effect on [date]. The System Owner and Information System Security Officer co-sign the plan cover page. The plan must be re-approved following any update to Section 3, 4, or 5.</w:t>
      </w:r>
    </w:p>
    <w:bookmarkEnd w:id="28"/>
    <w:bookmarkStart w:id="29" w:name="section-2-concept-of-operations"/>
    <w:p>
      <w:pPr>
        <w:pStyle w:val="Heading3"/>
      </w:pPr>
      <w:r>
        <w:t xml:space="preserve">4.2 Section 2: Concept of Operations</w:t>
      </w:r>
    </w:p>
    <w:p>
      <w:pPr>
        <w:pStyle w:val="FirstParagraph"/>
      </w:pPr>
      <w:r>
        <w:rPr>
          <w:b/>
          <w:bCs/>
        </w:rPr>
        <w:t xml:space="preserve">2.1 Recovery Phases.</w:t>
      </w:r>
      <w:r>
        <w:t xml:space="preserve"> </w:t>
      </w:r>
      <w:r>
        <w:t xml:space="preserve">Contingency response proceeds through five phases:</w:t>
      </w:r>
    </w:p>
    <w:p>
      <w:pPr>
        <w:pStyle w:val="Compact"/>
        <w:numPr>
          <w:ilvl w:val="0"/>
          <w:numId w:val="1005"/>
        </w:numPr>
      </w:pPr>
      <w:r>
        <w:rPr>
          <w:b/>
          <w:bCs/>
        </w:rPr>
        <w:t xml:space="preserve">Activation</w:t>
      </w:r>
      <w:r>
        <w:t xml:space="preserve"> </w:t>
      </w:r>
      <w:r>
        <w:t xml:space="preserve">— the triggering event is detected, evaluated against activation thresholds, and the plan is formally declared active by authorized personnel.</w:t>
      </w:r>
    </w:p>
    <w:p>
      <w:pPr>
        <w:pStyle w:val="Compact"/>
        <w:numPr>
          <w:ilvl w:val="0"/>
          <w:numId w:val="1005"/>
        </w:numPr>
      </w:pPr>
      <w:r>
        <w:rPr>
          <w:b/>
          <w:bCs/>
        </w:rPr>
        <w:t xml:space="preserve">Notification</w:t>
      </w:r>
      <w:r>
        <w:t xml:space="preserve"> </w:t>
      </w:r>
      <w:r>
        <w:t xml:space="preserve">— the Contingency Plan Coordinator notifies recovery team members, management, and external stakeholders in accordance with the notification tree in Section 4.</w:t>
      </w:r>
    </w:p>
    <w:p>
      <w:pPr>
        <w:pStyle w:val="Compact"/>
        <w:numPr>
          <w:ilvl w:val="0"/>
          <w:numId w:val="1005"/>
        </w:numPr>
      </w:pPr>
      <w:r>
        <w:rPr>
          <w:b/>
          <w:bCs/>
        </w:rPr>
        <w:t xml:space="preserve">Recovery</w:t>
      </w:r>
      <w:r>
        <w:t xml:space="preserve"> </w:t>
      </w:r>
      <w:r>
        <w:t xml:space="preserve">— technical recovery teams execute component-level recovery procedures (Appendices A through E) in priority order.</w:t>
      </w:r>
    </w:p>
    <w:p>
      <w:pPr>
        <w:pStyle w:val="Compact"/>
        <w:numPr>
          <w:ilvl w:val="0"/>
          <w:numId w:val="1005"/>
        </w:numPr>
      </w:pPr>
      <w:r>
        <w:rPr>
          <w:b/>
          <w:bCs/>
        </w:rPr>
        <w:t xml:space="preserve">Validation</w:t>
      </w:r>
      <w:r>
        <w:t xml:space="preserve"> </w:t>
      </w:r>
      <w:r>
        <w:t xml:space="preserve">— recovered systems are tested against defined acceptance criteria before being returned to production use.</w:t>
      </w:r>
    </w:p>
    <w:p>
      <w:pPr>
        <w:pStyle w:val="Compact"/>
        <w:numPr>
          <w:ilvl w:val="0"/>
          <w:numId w:val="1005"/>
        </w:numPr>
      </w:pPr>
      <w:r>
        <w:rPr>
          <w:b/>
          <w:bCs/>
        </w:rPr>
        <w:t xml:space="preserve">Reconstitution</w:t>
      </w:r>
      <w:r>
        <w:t xml:space="preserve"> </w:t>
      </w:r>
      <w:r>
        <w:t xml:space="preserve">— once validation is complete, operations are returned to the primary site (if applicable), temporary workarounds are terminated, and the plan is deactivated.</w:t>
      </w:r>
    </w:p>
    <w:p>
      <w:pPr>
        <w:pStyle w:val="FirstParagraph"/>
      </w:pPr>
      <w:r>
        <w:rPr>
          <w:b/>
          <w:bCs/>
        </w:rPr>
        <w:t xml:space="preserve">2.2 Recovery Priorities.</w:t>
      </w:r>
      <w:r>
        <w:t xml:space="preserve"> </w:t>
      </w:r>
      <w:r>
        <w:t xml:space="preserve">Systems are recovered in the following priority order, based on the MTD values from the BIA:</w:t>
      </w:r>
    </w:p>
    <w:p>
      <w:pPr>
        <w:pStyle w:val="TableCaption"/>
      </w:pPr>
      <w:r>
        <w:t xml:space="preserve">Recovery Priority Order</w:t>
      </w:r>
    </w:p>
    <w:tbl>
      <w:tblPr>
        <w:tblStyle w:val="Table"/>
        <w:tblW w:type="pct" w:w="5000"/>
        <w:tblLayout w:type="fixed"/>
        <w:tblLook w:firstRow="1" w:lastRow="0" w:firstColumn="0" w:lastColumn="0" w:noHBand="0" w:noVBand="0" w:val="0020"/>
        <w:tblCaption w:val="Recovery Priority Order"/>
      </w:tblPr>
      <w:tblGrid>
        <w:gridCol w:w="1980"/>
        <w:gridCol w:w="1980"/>
        <w:gridCol w:w="1980"/>
        <w:gridCol w:w="1980"/>
      </w:tblGrid>
      <w:tr>
        <w:trPr>
          <w:tblHeader w:val="on"/>
        </w:trPr>
        <w:tc>
          <w:tcPr/>
          <w:p>
            <w:pPr>
              <w:pStyle w:val="Compact"/>
            </w:pPr>
            <w:r>
              <w:t xml:space="preserve">Priority</w:t>
            </w:r>
          </w:p>
        </w:tc>
        <w:tc>
          <w:tcPr/>
          <w:p>
            <w:pPr>
              <w:pStyle w:val="Compact"/>
            </w:pPr>
            <w:r>
              <w:t xml:space="preserve">System</w:t>
            </w:r>
          </w:p>
        </w:tc>
        <w:tc>
          <w:tcPr/>
          <w:p>
            <w:pPr>
              <w:pStyle w:val="Compact"/>
            </w:pPr>
            <w:r>
              <w:t xml:space="preserve">MTD</w:t>
            </w:r>
          </w:p>
        </w:tc>
        <w:tc>
          <w:tcPr/>
          <w:p>
            <w:pPr>
              <w:pStyle w:val="Compact"/>
            </w:pPr>
            <w:r>
              <w:t xml:space="preserve">Rationale</w:t>
            </w:r>
          </w:p>
        </w:tc>
      </w:tr>
      <w:tr>
        <w:tc>
          <w:tcPr/>
          <w:p>
            <w:pPr>
              <w:pStyle w:val="Compact"/>
            </w:pPr>
            <w:r>
              <w:t xml:space="preserve">1</w:t>
            </w:r>
          </w:p>
        </w:tc>
        <w:tc>
          <w:tcPr/>
          <w:p>
            <w:pPr>
              <w:pStyle w:val="Compact"/>
            </w:pPr>
            <w:r>
              <w:t xml:space="preserve">Network Services (DDI, SD-WAN)</w:t>
            </w:r>
          </w:p>
        </w:tc>
        <w:tc>
          <w:tcPr/>
          <w:p>
            <w:pPr>
              <w:pStyle w:val="Compact"/>
            </w:pPr>
            <w:r>
              <w:t xml:space="preserve">2 hours / 30 minutes</w:t>
            </w:r>
          </w:p>
        </w:tc>
        <w:tc>
          <w:tcPr/>
          <w:p>
            <w:pPr>
              <w:pStyle w:val="Compact"/>
            </w:pPr>
            <w:r>
              <w:t xml:space="preserve">All other systems depend on network connectivity</w:t>
            </w:r>
          </w:p>
        </w:tc>
      </w:tr>
      <w:tr>
        <w:tc>
          <w:tcPr/>
          <w:p>
            <w:pPr>
              <w:pStyle w:val="Compact"/>
            </w:pPr>
            <w:r>
              <w:t xml:space="preserve">2</w:t>
            </w:r>
          </w:p>
        </w:tc>
        <w:tc>
          <w:tcPr/>
          <w:p>
            <w:pPr>
              <w:pStyle w:val="Compact"/>
            </w:pPr>
            <w:r>
              <w:t xml:space="preserve">Identity Provider</w:t>
            </w:r>
          </w:p>
        </w:tc>
        <w:tc>
          <w:tcPr/>
          <w:p>
            <w:pPr>
              <w:pStyle w:val="Compact"/>
            </w:pPr>
            <w:r>
              <w:t xml:space="preserve">4 hours (break-glass available)</w:t>
            </w:r>
          </w:p>
        </w:tc>
        <w:tc>
          <w:tcPr/>
          <w:p>
            <w:pPr>
              <w:pStyle w:val="Compact"/>
            </w:pPr>
            <w:r>
              <w:t xml:space="preserve">Authentication required before any application recovery</w:t>
            </w:r>
          </w:p>
        </w:tc>
      </w:tr>
      <w:tr>
        <w:tc>
          <w:tcPr/>
          <w:p>
            <w:pPr>
              <w:pStyle w:val="Compact"/>
            </w:pPr>
            <w:r>
              <w:t xml:space="preserve">3</w:t>
            </w:r>
          </w:p>
        </w:tc>
        <w:tc>
          <w:tcPr/>
          <w:p>
            <w:pPr>
              <w:pStyle w:val="Compact"/>
            </w:pPr>
            <w:r>
              <w:t xml:space="preserve">Emergency Contact Center</w:t>
            </w:r>
          </w:p>
        </w:tc>
        <w:tc>
          <w:tcPr/>
          <w:p>
            <w:pPr>
              <w:pStyle w:val="Compact"/>
            </w:pPr>
            <w:r>
              <w:t xml:space="preserve">4 hours</w:t>
            </w:r>
          </w:p>
        </w:tc>
        <w:tc>
          <w:tcPr/>
          <w:p>
            <w:pPr>
              <w:pStyle w:val="Compact"/>
            </w:pPr>
            <w:r>
              <w:t xml:space="preserve">Statutory mission obligation; public-facing</w:t>
            </w:r>
          </w:p>
        </w:tc>
      </w:tr>
      <w:tr>
        <w:tc>
          <w:tcPr/>
          <w:p>
            <w:pPr>
              <w:pStyle w:val="Compact"/>
            </w:pPr>
            <w:r>
              <w:t xml:space="preserve">4</w:t>
            </w:r>
          </w:p>
        </w:tc>
        <w:tc>
          <w:tcPr/>
          <w:p>
            <w:pPr>
              <w:pStyle w:val="Compact"/>
            </w:pPr>
            <w:r>
              <w:t xml:space="preserve">Case Management Database</w:t>
            </w:r>
          </w:p>
        </w:tc>
        <w:tc>
          <w:tcPr/>
          <w:p>
            <w:pPr>
              <w:pStyle w:val="Compact"/>
            </w:pPr>
            <w:r>
              <w:t xml:space="preserve">8 hours</w:t>
            </w:r>
          </w:p>
        </w:tc>
        <w:tc>
          <w:tcPr/>
          <w:p>
            <w:pPr>
              <w:pStyle w:val="Compact"/>
            </w:pPr>
            <w:r>
              <w:t xml:space="preserve">Operational continuity for case workers</w:t>
            </w:r>
          </w:p>
        </w:tc>
      </w:tr>
      <w:tr>
        <w:tc>
          <w:tcPr/>
          <w:p>
            <w:pPr>
              <w:pStyle w:val="Compact"/>
            </w:pPr>
            <w:r>
              <w:t xml:space="preserve">5</w:t>
            </w:r>
          </w:p>
        </w:tc>
        <w:tc>
          <w:tcPr/>
          <w:p>
            <w:pPr>
              <w:pStyle w:val="Compact"/>
            </w:pPr>
            <w:r>
              <w:t xml:space="preserve">Audit Logging Platform</w:t>
            </w:r>
          </w:p>
        </w:tc>
        <w:tc>
          <w:tcPr/>
          <w:p>
            <w:pPr>
              <w:pStyle w:val="Compact"/>
            </w:pPr>
            <w:r>
              <w:t xml:space="preserve">12 hours</w:t>
            </w:r>
          </w:p>
        </w:tc>
        <w:tc>
          <w:tcPr/>
          <w:p>
            <w:pPr>
              <w:pStyle w:val="Compact"/>
            </w:pPr>
            <w:r>
              <w:t xml:space="preserve">Required for incident investigation; not operational blocker</w:t>
            </w:r>
          </w:p>
        </w:tc>
      </w:tr>
      <w:tr>
        <w:tc>
          <w:tcPr/>
          <w:p>
            <w:pPr>
              <w:pStyle w:val="Compact"/>
            </w:pPr>
            <w:r>
              <w:t xml:space="preserve">6</w:t>
            </w:r>
          </w:p>
        </w:tc>
        <w:tc>
          <w:tcPr/>
          <w:p>
            <w:pPr>
              <w:pStyle w:val="Compact"/>
            </w:pPr>
            <w:r>
              <w:t xml:space="preserve">Internal Collaboration Platform</w:t>
            </w:r>
          </w:p>
        </w:tc>
        <w:tc>
          <w:tcPr/>
          <w:p>
            <w:pPr>
              <w:pStyle w:val="Compact"/>
            </w:pPr>
            <w:r>
              <w:t xml:space="preserve">24 hours</w:t>
            </w:r>
          </w:p>
        </w:tc>
        <w:tc>
          <w:tcPr/>
          <w:p>
            <w:pPr>
              <w:pStyle w:val="Compact"/>
            </w:pPr>
            <w:r>
              <w:t xml:space="preserve">Staff can use manual alternates</w:t>
            </w:r>
          </w:p>
        </w:tc>
      </w:tr>
      <w:tr>
        <w:tc>
          <w:tcPr/>
          <w:p>
            <w:pPr>
              <w:pStyle w:val="Compact"/>
            </w:pPr>
            <w:r>
              <w:t xml:space="preserve">7</w:t>
            </w:r>
          </w:p>
        </w:tc>
        <w:tc>
          <w:tcPr/>
          <w:p>
            <w:pPr>
              <w:pStyle w:val="Compact"/>
            </w:pPr>
            <w:r>
              <w:t xml:space="preserve">Application Deployment Store</w:t>
            </w:r>
          </w:p>
        </w:tc>
        <w:tc>
          <w:tcPr/>
          <w:p>
            <w:pPr>
              <w:pStyle w:val="Compact"/>
            </w:pPr>
            <w:r>
              <w:t xml:space="preserve">48 hours</w:t>
            </w:r>
          </w:p>
        </w:tc>
        <w:tc>
          <w:tcPr/>
          <w:p>
            <w:pPr>
              <w:pStyle w:val="Compact"/>
            </w:pPr>
            <w:r>
              <w:t xml:space="preserve">No active sessions depend on deployment pipeline</w:t>
            </w:r>
          </w:p>
        </w:tc>
      </w:tr>
    </w:tbl>
    <w:p>
      <w:pPr>
        <w:pStyle w:val="BodyText"/>
      </w:pPr>
      <w:r>
        <w:rPr>
          <w:b/>
          <w:bCs/>
        </w:rPr>
        <w:t xml:space="preserve">2.3 Assumptions and Conditions.</w:t>
      </w:r>
    </w:p>
    <w:p>
      <w:pPr>
        <w:pStyle w:val="Compact"/>
        <w:numPr>
          <w:ilvl w:val="0"/>
          <w:numId w:val="1006"/>
        </w:numPr>
      </w:pPr>
      <w:r>
        <w:t xml:space="preserve">The alternate processing site (secondary cloud region) is provisioned and tested at least annually.</w:t>
      </w:r>
    </w:p>
    <w:p>
      <w:pPr>
        <w:pStyle w:val="Compact"/>
        <w:numPr>
          <w:ilvl w:val="0"/>
          <w:numId w:val="1006"/>
        </w:numPr>
      </w:pPr>
      <w:r>
        <w:t xml:space="preserve">Recovery personnel are familiar with their roles and have completed annual contingency training (CP-3).</w:t>
      </w:r>
    </w:p>
    <w:p>
      <w:pPr>
        <w:pStyle w:val="Compact"/>
        <w:numPr>
          <w:ilvl w:val="0"/>
          <w:numId w:val="1006"/>
        </w:numPr>
      </w:pPr>
      <w:r>
        <w:t xml:space="preserve">Contact information in the notification tree (Section 4) is reviewed and updated quarterly.</w:t>
      </w:r>
    </w:p>
    <w:p>
      <w:pPr>
        <w:pStyle w:val="Compact"/>
        <w:numPr>
          <w:ilvl w:val="0"/>
          <w:numId w:val="1006"/>
        </w:numPr>
      </w:pPr>
      <w:r>
        <w:t xml:space="preserve">The alternate storage site (Section 5, CP-6) contains current copies of all data and application artifacts.</w:t>
      </w:r>
    </w:p>
    <w:p>
      <w:pPr>
        <w:pStyle w:val="Compact"/>
        <w:numPr>
          <w:ilvl w:val="0"/>
          <w:numId w:val="1006"/>
        </w:numPr>
      </w:pPr>
      <w:r>
        <w:t xml:space="preserve">Internet connectivity is available at the alternate site. If Internet connectivity is also disrupted, the plan assumes connectivity is restored within one hour.</w:t>
      </w:r>
    </w:p>
    <w:p>
      <w:pPr>
        <w:pStyle w:val="Compact"/>
        <w:numPr>
          <w:ilvl w:val="0"/>
          <w:numId w:val="1006"/>
        </w:numPr>
      </w:pPr>
      <w:r>
        <w:t xml:space="preserve">This plan does not address scenarios in which all personnel with recovery authority are simultaneously unavailable (addressed by the agency COOP).</w:t>
      </w:r>
    </w:p>
    <w:p>
      <w:pPr>
        <w:pStyle w:val="FirstParagraph"/>
      </w:pPr>
      <w:r>
        <w:rPr>
          <w:b/>
          <w:bCs/>
        </w:rPr>
        <w:t xml:space="preserve">2.4 Points of Contact.</w:t>
      </w:r>
      <w:r>
        <w:t xml:space="preserve"> </w:t>
      </w:r>
      <w:r>
        <w:t xml:space="preserve">[Reference Section 3 for role-based contacts. Do not embed personal phone numbers in the body of the plan; maintain a separately controlled contact roster that is updated independently of plan revisions.]</w:t>
      </w:r>
    </w:p>
    <w:bookmarkEnd w:id="29"/>
    <w:bookmarkStart w:id="30" w:name="section-3-roles-and-responsibilities"/>
    <w:p>
      <w:pPr>
        <w:pStyle w:val="Heading3"/>
      </w:pPr>
      <w:r>
        <w:t xml:space="preserve">4.3 Section 3: Roles and Responsibilities</w:t>
      </w:r>
    </w:p>
    <w:p>
      <w:pPr>
        <w:pStyle w:val="FirstParagraph"/>
      </w:pPr>
      <w:r>
        <w:rPr>
          <w:b/>
          <w:bCs/>
        </w:rPr>
        <w:t xml:space="preserve">3.1 Contingency Plan Coordinator (CPC).</w:t>
      </w:r>
      <w:r>
        <w:t xml:space="preserve"> </w:t>
      </w:r>
      <w:r>
        <w:t xml:space="preserve">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pPr>
        <w:pStyle w:val="BodyText"/>
      </w:pPr>
      <w:r>
        <w:t xml:space="preserve">Responsibilities:</w:t>
      </w:r>
      <w:r>
        <w:t xml:space="preserve"> </w:t>
      </w:r>
      <w:r>
        <w:t xml:space="preserve">- Evaluate triggering events against activation thresholds</w:t>
      </w:r>
      <w:r>
        <w:t xml:space="preserve"> </w:t>
      </w:r>
      <w:r>
        <w:t xml:space="preserve">- Formally declare plan activation (verbal followed by documented declaration within two hours)</w:t>
      </w:r>
      <w:r>
        <w:t xml:space="preserve"> </w:t>
      </w:r>
      <w:r>
        <w:t xml:space="preserve">- Notify the Management Team and external stakeholders</w:t>
      </w:r>
      <w:r>
        <w:t xml:space="preserve"> </w:t>
      </w:r>
      <w:r>
        <w:t xml:space="preserve">- Coordinate across recovery team leads</w:t>
      </w:r>
      <w:r>
        <w:t xml:space="preserve"> </w:t>
      </w:r>
      <w:r>
        <w:t xml:space="preserve">- Authorize the transition from Recovery Phase to Reconstitution Phase</w:t>
      </w:r>
      <w:r>
        <w:t xml:space="preserve"> </w:t>
      </w:r>
      <w:r>
        <w:t xml:space="preserve">- Conduct After-Action Review and initiate plan update</w:t>
      </w:r>
    </w:p>
    <w:p>
      <w:pPr>
        <w:pStyle w:val="BodyText"/>
      </w:pPr>
      <w:r>
        <w:rPr>
          <w:b/>
          <w:bCs/>
        </w:rPr>
        <w:t xml:space="preserve">3.2 IT Recovery Team Leads.</w:t>
      </w:r>
    </w:p>
    <w:p>
      <w:pPr>
        <w:pStyle w:val="TableCaption"/>
      </w:pPr>
      <w:r>
        <w:t xml:space="preserve">IT Recovery Team Roles</w:t>
      </w:r>
    </w:p>
    <w:tbl>
      <w:tblPr>
        <w:tblStyle w:val="Table"/>
        <w:tblW w:type="pct" w:w="5000"/>
        <w:tblLayout w:type="fixed"/>
        <w:tblLook w:firstRow="1" w:lastRow="0" w:firstColumn="0" w:lastColumn="0" w:noHBand="0" w:noVBand="0" w:val="0020"/>
        <w:tblCaption w:val="IT Recovery Team Roles"/>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Backup</w:t>
            </w:r>
          </w:p>
        </w:tc>
      </w:tr>
      <w:tr>
        <w:tc>
          <w:tcPr/>
          <w:p>
            <w:pPr>
              <w:pStyle w:val="Compact"/>
            </w:pPr>
            <w:r>
              <w:t xml:space="preserve">Network Recovery Lead</w:t>
            </w:r>
          </w:p>
        </w:tc>
        <w:tc>
          <w:tcPr/>
          <w:p>
            <w:pPr>
              <w:pStyle w:val="Compact"/>
            </w:pPr>
            <w:r>
              <w:t xml:space="preserve">SD-WAN failover, DDI Grid failover, circuit coordination with carrier NOC</w:t>
            </w:r>
          </w:p>
        </w:tc>
        <w:tc>
          <w:tcPr/>
          <w:p>
            <w:pPr>
              <w:pStyle w:val="Compact"/>
            </w:pPr>
            <w:r>
              <w:t xml:space="preserve">[Alternate name]</w:t>
            </w:r>
          </w:p>
        </w:tc>
      </w:tr>
      <w:tr>
        <w:tc>
          <w:tcPr/>
          <w:p>
            <w:pPr>
              <w:pStyle w:val="Compact"/>
            </w:pPr>
            <w:r>
              <w:t xml:space="preserve">Database Recovery Lead</w:t>
            </w:r>
          </w:p>
        </w:tc>
        <w:tc>
          <w:tcPr/>
          <w:p>
            <w:pPr>
              <w:pStyle w:val="Compact"/>
            </w:pPr>
            <w:r>
              <w:t xml:space="preserve">SQL AG failover, data integrity validation, backup restoration if needed</w:t>
            </w:r>
          </w:p>
        </w:tc>
        <w:tc>
          <w:tcPr/>
          <w:p>
            <w:pPr>
              <w:pStyle w:val="Compact"/>
            </w:pPr>
            <w:r>
              <w:t xml:space="preserve">[Alternate name]</w:t>
            </w:r>
          </w:p>
        </w:tc>
      </w:tr>
      <w:tr>
        <w:tc>
          <w:tcPr/>
          <w:p>
            <w:pPr>
              <w:pStyle w:val="Compact"/>
            </w:pPr>
            <w:r>
              <w:t xml:space="preserve">Identity Recovery Lead</w:t>
            </w:r>
          </w:p>
        </w:tc>
        <w:tc>
          <w:tcPr/>
          <w:p>
            <w:pPr>
              <w:pStyle w:val="Compact"/>
            </w:pPr>
            <w:r>
              <w:t xml:space="preserve">Break-glass account activation, Conditional Access policy adjustment, Entra ID validation</w:t>
            </w:r>
          </w:p>
        </w:tc>
        <w:tc>
          <w:tcPr/>
          <w:p>
            <w:pPr>
              <w:pStyle w:val="Compact"/>
            </w:pPr>
            <w:r>
              <w:t xml:space="preserve">[Alternate name]</w:t>
            </w:r>
          </w:p>
        </w:tc>
      </w:tr>
      <w:tr>
        <w:tc>
          <w:tcPr/>
          <w:p>
            <w:pPr>
              <w:pStyle w:val="Compact"/>
            </w:pPr>
            <w:r>
              <w:t xml:space="preserve">Application Recovery Lead</w:t>
            </w:r>
          </w:p>
        </w:tc>
        <w:tc>
          <w:tcPr/>
          <w:p>
            <w:pPr>
              <w:pStyle w:val="Compact"/>
            </w:pPr>
            <w:r>
              <w:t xml:space="preserve">Failover of application tier to alternate region, DNS cutover validation</w:t>
            </w:r>
          </w:p>
        </w:tc>
        <w:tc>
          <w:tcPr/>
          <w:p>
            <w:pPr>
              <w:pStyle w:val="Compact"/>
            </w:pPr>
            <w:r>
              <w:t xml:space="preserve">[Alternate name]</w:t>
            </w:r>
          </w:p>
        </w:tc>
      </w:tr>
      <w:tr>
        <w:tc>
          <w:tcPr/>
          <w:p>
            <w:pPr>
              <w:pStyle w:val="Compact"/>
            </w:pPr>
            <w:r>
              <w:t xml:space="preserve">Security and Logging Lead</w:t>
            </w:r>
          </w:p>
        </w:tc>
        <w:tc>
          <w:tcPr/>
          <w:p>
            <w:pPr>
              <w:pStyle w:val="Compact"/>
            </w:pPr>
            <w:r>
              <w:t xml:space="preserve">Confirm audit logging continuity, validate Sentinel workspace in alternate region</w:t>
            </w:r>
          </w:p>
        </w:tc>
        <w:tc>
          <w:tcPr/>
          <w:p>
            <w:pPr>
              <w:pStyle w:val="Compact"/>
            </w:pPr>
            <w:r>
              <w:t xml:space="preserve">[Alternate name]</w:t>
            </w:r>
          </w:p>
        </w:tc>
      </w:tr>
    </w:tbl>
    <w:p>
      <w:pPr>
        <w:pStyle w:val="BodyText"/>
      </w:pPr>
      <w:r>
        <w:rPr>
          <w:b/>
          <w:bCs/>
        </w:rPr>
        <w:t xml:space="preserve">3.3 Management Team.</w:t>
      </w:r>
      <w:r>
        <w:t xml:space="preserve"> </w:t>
      </w:r>
      <w:r>
        <w:t xml:space="preserve">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pPr>
        <w:pStyle w:val="BodyText"/>
      </w:pPr>
      <w:r>
        <w:rPr>
          <w:b/>
          <w:bCs/>
        </w:rPr>
        <w:t xml:space="preserve">3.4 Vendor and Service Provider Contacts.</w:t>
      </w:r>
    </w:p>
    <w:p>
      <w:pPr>
        <w:pStyle w:val="TableCaption"/>
      </w:pPr>
      <w:r>
        <w:t xml:space="preserve">Vendor Contact Directory</w:t>
      </w:r>
    </w:p>
    <w:tbl>
      <w:tblPr>
        <w:tblStyle w:val="Table"/>
        <w:tblW w:type="pct" w:w="5000"/>
        <w:tblLayout w:type="fixed"/>
        <w:tblLook w:firstRow="1" w:lastRow="0" w:firstColumn="0" w:lastColumn="0" w:noHBand="0" w:noVBand="0" w:val="0020"/>
        <w:tblCaption w:val="Vendor Contact Directory"/>
      </w:tblPr>
      <w:tblGrid>
        <w:gridCol w:w="1980"/>
        <w:gridCol w:w="1980"/>
        <w:gridCol w:w="1980"/>
        <w:gridCol w:w="1980"/>
      </w:tblGrid>
      <w:tr>
        <w:trPr>
          <w:tblHeader w:val="on"/>
        </w:trPr>
        <w:tc>
          <w:tcPr/>
          <w:p>
            <w:pPr>
              <w:pStyle w:val="Compact"/>
            </w:pPr>
            <w:r>
              <w:t xml:space="preserve">Vendor</w:t>
            </w:r>
          </w:p>
        </w:tc>
        <w:tc>
          <w:tcPr/>
          <w:p>
            <w:pPr>
              <w:pStyle w:val="Compact"/>
            </w:pPr>
            <w:r>
              <w:t xml:space="preserve">Service</w:t>
            </w:r>
          </w:p>
        </w:tc>
        <w:tc>
          <w:tcPr/>
          <w:p>
            <w:pPr>
              <w:pStyle w:val="Compact"/>
            </w:pPr>
            <w:r>
              <w:t xml:space="preserve">Contact Type</w:t>
            </w:r>
          </w:p>
        </w:tc>
        <w:tc>
          <w:tcPr/>
          <w:p>
            <w:pPr>
              <w:pStyle w:val="Compact"/>
            </w:pPr>
            <w:r>
              <w:t xml:space="preserve">Contact</w:t>
            </w:r>
          </w:p>
        </w:tc>
      </w:tr>
      <w:tr>
        <w:tc>
          <w:tcPr/>
          <w:p>
            <w:pPr>
              <w:pStyle w:val="Compact"/>
            </w:pPr>
            <w:r>
              <w:t xml:space="preserve">Cloud Service Provider</w:t>
            </w:r>
          </w:p>
        </w:tc>
        <w:tc>
          <w:tcPr/>
          <w:p>
            <w:pPr>
              <w:pStyle w:val="Compact"/>
            </w:pPr>
            <w:r>
              <w:t xml:space="preserve">Primary and alternate cloud regions</w:t>
            </w:r>
          </w:p>
        </w:tc>
        <w:tc>
          <w:tcPr/>
          <w:p>
            <w:pPr>
              <w:pStyle w:val="Compact"/>
            </w:pPr>
            <w:r>
              <w:t xml:space="preserve">NOC, Escalation</w:t>
            </w:r>
          </w:p>
        </w:tc>
        <w:tc>
          <w:tcPr/>
          <w:p>
            <w:pPr>
              <w:pStyle w:val="Compact"/>
            </w:pPr>
            <w:r>
              <w:t xml:space="preserve">[CSP support portal; P1 incident phone]</w:t>
            </w:r>
          </w:p>
        </w:tc>
      </w:tr>
      <w:tr>
        <w:tc>
          <w:tcPr/>
          <w:p>
            <w:pPr>
              <w:pStyle w:val="Compact"/>
            </w:pPr>
            <w:r>
              <w:t xml:space="preserve">SD-WAN Vendor</w:t>
            </w:r>
          </w:p>
        </w:tc>
        <w:tc>
          <w:tcPr/>
          <w:p>
            <w:pPr>
              <w:pStyle w:val="Compact"/>
            </w:pPr>
            <w:r>
              <w:t xml:space="preserve">Overlay fabric</w:t>
            </w:r>
          </w:p>
        </w:tc>
        <w:tc>
          <w:tcPr/>
          <w:p>
            <w:pPr>
              <w:pStyle w:val="Compact"/>
            </w:pPr>
            <w:r>
              <w:t xml:space="preserve">TAC</w:t>
            </w:r>
          </w:p>
        </w:tc>
        <w:tc>
          <w:tcPr/>
          <w:p>
            <w:pPr>
              <w:pStyle w:val="Compact"/>
            </w:pPr>
            <w:r>
              <w:t xml:space="preserve">[Case portal; TAC direct phone]</w:t>
            </w:r>
          </w:p>
        </w:tc>
      </w:tr>
      <w:tr>
        <w:tc>
          <w:tcPr/>
          <w:p>
            <w:pPr>
              <w:pStyle w:val="Compact"/>
            </w:pPr>
            <w:r>
              <w:t xml:space="preserve">Primary WAN Carrier</w:t>
            </w:r>
          </w:p>
        </w:tc>
        <w:tc>
          <w:tcPr/>
          <w:p>
            <w:pPr>
              <w:pStyle w:val="Compact"/>
            </w:pPr>
            <w:r>
              <w:t xml:space="preserve">MPLS circuit</w:t>
            </w:r>
          </w:p>
        </w:tc>
        <w:tc>
          <w:tcPr/>
          <w:p>
            <w:pPr>
              <w:pStyle w:val="Compact"/>
            </w:pPr>
            <w:r>
              <w:t xml:space="preserve">NOC</w:t>
            </w:r>
          </w:p>
        </w:tc>
        <w:tc>
          <w:tcPr/>
          <w:p>
            <w:pPr>
              <w:pStyle w:val="Compact"/>
            </w:pPr>
            <w:r>
              <w:t xml:space="preserve">[Circuit ID; NOC phone]</w:t>
            </w:r>
          </w:p>
        </w:tc>
      </w:tr>
      <w:tr>
        <w:tc>
          <w:tcPr/>
          <w:p>
            <w:pPr>
              <w:pStyle w:val="Compact"/>
            </w:pPr>
            <w:r>
              <w:t xml:space="preserve">Backup Internet Provider</w:t>
            </w:r>
          </w:p>
        </w:tc>
        <w:tc>
          <w:tcPr/>
          <w:p>
            <w:pPr>
              <w:pStyle w:val="Compact"/>
            </w:pPr>
            <w:r>
              <w:t xml:space="preserve">DIA circuit</w:t>
            </w:r>
          </w:p>
        </w:tc>
        <w:tc>
          <w:tcPr/>
          <w:p>
            <w:pPr>
              <w:pStyle w:val="Compact"/>
            </w:pPr>
            <w:r>
              <w:t xml:space="preserve">NOC</w:t>
            </w:r>
          </w:p>
        </w:tc>
        <w:tc>
          <w:tcPr/>
          <w:p>
            <w:pPr>
              <w:pStyle w:val="Compact"/>
            </w:pPr>
            <w:r>
              <w:t xml:space="preserve">[Circuit ID; NOC phone]</w:t>
            </w:r>
          </w:p>
        </w:tc>
      </w:tr>
      <w:tr>
        <w:tc>
          <w:tcPr/>
          <w:p>
            <w:pPr>
              <w:pStyle w:val="Compact"/>
            </w:pPr>
            <w:r>
              <w:t xml:space="preserve">DDI Platform Vendor</w:t>
            </w:r>
          </w:p>
        </w:tc>
        <w:tc>
          <w:tcPr/>
          <w:p>
            <w:pPr>
              <w:pStyle w:val="Compact"/>
            </w:pPr>
            <w:r>
              <w:t xml:space="preserve">Grid software</w:t>
            </w:r>
          </w:p>
        </w:tc>
        <w:tc>
          <w:tcPr/>
          <w:p>
            <w:pPr>
              <w:pStyle w:val="Compact"/>
            </w:pPr>
            <w:r>
              <w:t xml:space="preserve">Support</w:t>
            </w:r>
          </w:p>
        </w:tc>
        <w:tc>
          <w:tcPr/>
          <w:p>
            <w:pPr>
              <w:pStyle w:val="Compact"/>
            </w:pPr>
            <w:r>
              <w:t xml:space="preserve">[Case portal; critical support phone]</w:t>
            </w:r>
          </w:p>
        </w:tc>
      </w:tr>
    </w:tbl>
    <w:p>
      <w:pPr>
        <w:pStyle w:val="BodyText"/>
      </w:pPr>
      <w:r>
        <w:rPr>
          <w:b/>
          <w:bCs/>
        </w:rPr>
        <w:t xml:space="preserve">3.5 External Stakeholders.</w:t>
      </w:r>
      <w:r>
        <w:t xml:space="preserve"> </w:t>
      </w:r>
      <w:r>
        <w:t xml:space="preserve">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bookmarkEnd w:id="30"/>
    <w:bookmarkStart w:id="31" w:name="section-4-activation-and-notification"/>
    <w:p>
      <w:pPr>
        <w:pStyle w:val="Heading3"/>
      </w:pPr>
      <w:r>
        <w:t xml:space="preserve">4.4 Section 4: Activation and Notification</w:t>
      </w:r>
    </w:p>
    <w:p>
      <w:pPr>
        <w:pStyle w:val="FirstParagraph"/>
      </w:pPr>
      <w:r>
        <w:rPr>
          <w:b/>
          <w:bCs/>
        </w:rPr>
        <w:t xml:space="preserve">4.1 Activation Thresholds.</w:t>
      </w:r>
      <w:r>
        <w:t xml:space="preserve"> </w:t>
      </w:r>
      <w:r>
        <w:t xml:space="preserve">The Contingency Plan is activated when one or more of the following conditions is confirmed:</w:t>
      </w:r>
    </w:p>
    <w:p>
      <w:pPr>
        <w:pStyle w:val="Compact"/>
        <w:numPr>
          <w:ilvl w:val="0"/>
          <w:numId w:val="1007"/>
        </w:numPr>
      </w:pPr>
      <w:r>
        <w:t xml:space="preserve">An outage affecting Priority 1 or Priority 2 systems that has persisted or is projected to persist beyond 30 minutes without a clear resolution path</w:t>
      </w:r>
    </w:p>
    <w:p>
      <w:pPr>
        <w:pStyle w:val="Compact"/>
        <w:numPr>
          <w:ilvl w:val="0"/>
          <w:numId w:val="1007"/>
        </w:numPr>
      </w:pPr>
      <w:r>
        <w:t xml:space="preserve">A security incident that has caused or is likely to cause data destruction, ransomware encryption of production systems, or loss of availability of authentication infrastructure</w:t>
      </w:r>
    </w:p>
    <w:p>
      <w:pPr>
        <w:pStyle w:val="Compact"/>
        <w:numPr>
          <w:ilvl w:val="0"/>
          <w:numId w:val="1007"/>
        </w:numPr>
      </w:pPr>
      <w:r>
        <w:t xml:space="preserve">A physical facility event (fire, flood, loss of power without generator restoration within one hour) affecting the primary data center or primary cloud region</w:t>
      </w:r>
    </w:p>
    <w:p>
      <w:pPr>
        <w:pStyle w:val="Compact"/>
        <w:numPr>
          <w:ilvl w:val="0"/>
          <w:numId w:val="1007"/>
        </w:numPr>
      </w:pPr>
      <w:r>
        <w:t xml:space="preserve">A declaration by the Cloud Service Provider of a regional outage affecting availability zone redundancy</w:t>
      </w:r>
    </w:p>
    <w:p>
      <w:pPr>
        <w:pStyle w:val="Compact"/>
        <w:numPr>
          <w:ilvl w:val="0"/>
          <w:numId w:val="1007"/>
        </w:numPr>
      </w:pPr>
      <w:r>
        <w:t xml:space="preserve">Direction from the agency COOP to activate IT contingency procedures</w:t>
      </w:r>
    </w:p>
    <w:p>
      <w:pPr>
        <w:pStyle w:val="FirstParagraph"/>
      </w:pPr>
      <w:r>
        <w:rPr>
          <w:b/>
          <w:bCs/>
        </w:rPr>
        <w:t xml:space="preserve">4.2 Activation Decision Authority.</w:t>
      </w:r>
      <w:r>
        <w:t xml:space="preserve"> </w:t>
      </w:r>
      <w:r>
        <w:t xml:space="preserve">The CPC has authority to activate the plan. In the absence of the CPC, the designated alternate CPC has equal authority. The Management Team is notified concurrently with activation; they do not need to approve activation.</w:t>
      </w:r>
    </w:p>
    <w:p>
      <w:pPr>
        <w:pStyle w:val="BodyText"/>
      </w:pPr>
      <w:r>
        <w:rPr>
          <w:b/>
          <w:bCs/>
        </w:rPr>
        <w:t xml:space="preserve">4.3 Notification Procedure.</w:t>
      </w:r>
    </w:p>
    <w:p>
      <w:pPr>
        <w:pStyle w:val="BodyText"/>
      </w:pPr>
      <w:r>
        <w:t xml:space="preserve">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pPr>
        <w:pStyle w:val="BodyText"/>
      </w:pPr>
      <w:r>
        <w:t xml:space="preserve">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pPr>
        <w:pStyle w:val="BodyText"/>
      </w:pPr>
      <w:r>
        <w:t xml:space="preserve">Step 3 (30–60 minutes): CPC notifies Management Team with initial situation report: what failed, when, what the impact is, what the projected recovery timeline is, and what decisions (if any) are needed from management immediately.</w:t>
      </w:r>
    </w:p>
    <w:p>
      <w:pPr>
        <w:pStyle w:val="BodyText"/>
      </w:pPr>
      <w:r>
        <w:t xml:space="preserve">Step 4 (60 minutes and every 2 hours thereafter): CPC issues status updates to Management Team. Format: [Systems recovered], [Systems still recovering], [Projected completion], [Issues blocking recovery], [Decisions needed].</w:t>
      </w:r>
    </w:p>
    <w:p>
      <w:pPr>
        <w:pStyle w:val="BodyText"/>
      </w:pPr>
      <w:r>
        <w:t xml:space="preserve">Step 5 (as applicable): If the outage affects public-facing services or partner agency connections, the Management Team authorizes external notification. External notification templates are in Appendix F.</w:t>
      </w:r>
    </w:p>
    <w:p>
      <w:pPr>
        <w:pStyle w:val="BodyText"/>
      </w:pPr>
      <w:r>
        <w:rPr>
          <w:b/>
          <w:bCs/>
        </w:rPr>
        <w:t xml:space="preserve">4.4 Escalation.</w:t>
      </w:r>
      <w:r>
        <w:t xml:space="preserve"> </w:t>
      </w:r>
      <w:r>
        <w:t xml:space="preserve">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bookmarkEnd w:id="31"/>
    <w:bookmarkStart w:id="35" w:name="section-5-recovery-procedures"/>
    <w:p>
      <w:pPr>
        <w:pStyle w:val="Heading3"/>
      </w:pPr>
      <w:r>
        <w:t xml:space="preserve">4.5 Section 5: Recovery Procedures</w:t>
      </w:r>
    </w:p>
    <w:p>
      <w:pPr>
        <w:pStyle w:val="FirstParagraph"/>
      </w:pPr>
      <w:r>
        <w:rPr>
          <w:b/>
          <w:bCs/>
        </w:rPr>
        <w:t xml:space="preserve">5.1 Structure.</w:t>
      </w:r>
      <w:r>
        <w:t xml:space="preserve"> </w:t>
      </w:r>
      <w:r>
        <w:t xml:space="preserve">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Cross-References</w:t>
            </w:r>
          </w:p>
        </w:tc>
      </w:tr>
      <w:tr>
        <w:trPr>
          <w:cantSplit/>
        </w:trPr>
        <w:tc>
          <w:tcPr>
            <w:tcMar>
              <w:top w:w="108" w:type="dxa"/>
              <w:bottom w:w="108" w:type="dxa"/>
            </w:tcMar>
          </w:tcPr>
          <w:p>
            <w:pPr>
              <w:pStyle w:val="BodyText"/>
            </w:pPr>
            <w:pPr>
              <w:spacing w:before="16"/>
            </w:pPr>
            <w:r>
              <w:t xml:space="preserve">Appendix A — Network Recovery Procedures (SD-WAN failover and DDI Grid failover; derived from the runbooks in Parts 1 and 6 of this series)</w:t>
            </w:r>
          </w:p>
          <w:p>
            <w:pPr>
              <w:pStyle w:val="BodyText"/>
            </w:pPr>
            <w:r>
              <w:t xml:space="preserve">Appendix B — Database Recovery Procedures (SQL AG failover and point-in-time restore; derived from the runbooks in Parts 8 and 9 of this series)</w:t>
            </w:r>
          </w:p>
          <w:p>
            <w:pPr>
              <w:pStyle w:val="BodyText"/>
            </w:pPr>
            <w:r>
              <w:t xml:space="preserve">Appendix C — Identity Recovery Procedures (break-glass account activation and Conditional Access adjustment; derived from Parts 3 and 10 of this series)</w:t>
            </w:r>
          </w:p>
          <w:p>
            <w:pPr>
              <w:pStyle w:val="BodyText"/>
            </w:pPr>
            <w:r>
              <w:t xml:space="preserve">Appendix D — Application and Cloud Service Recovery Procedures (application tier failover to secondary region)</w:t>
            </w:r>
          </w:p>
          <w:p>
            <w:pPr>
              <w:pStyle w:val="BodyText"/>
            </w:pPr>
            <w:r>
              <w:t xml:space="preserve">Appendix E — Audit Logging Recovery Procedures (Sentinel workspace validation and log analytics continuity; derived from Part 13 of this series)</w:t>
            </w:r>
          </w:p>
          <w:p>
            <w:pPr>
              <w:pStyle w:val="BodyText"/>
            </w:pPr>
            <w:pPr>
              <w:spacing w:after="16"/>
            </w:pPr>
            <w:r>
              <w:t xml:space="preserve">Appendix F — Notification Templates and External Stakeholder Contact Roster</w:t>
            </w:r>
          </w:p>
          <w:p/>
        </w:tc>
      </w:tr>
    </w:tbl>
    <w:p>
      <w:pPr>
        <w:pStyle w:val="BodyText"/>
      </w:pPr>
      <w:r>
        <w:rPr>
          <w:b/>
          <w:bCs/>
        </w:rPr>
        <w:t xml:space="preserve">5.2 Component Recovery Summary.</w:t>
      </w:r>
    </w:p>
    <w:p>
      <w:pPr>
        <w:pStyle w:val="TableCaption"/>
      </w:pPr>
      <w:r>
        <w:t xml:space="preserve">Component Recovery Summary</w:t>
      </w:r>
    </w:p>
    <w:tbl>
      <w:tblPr>
        <w:tblStyle w:val="Table"/>
        <w:tblW w:type="pct" w:w="5000"/>
        <w:tblLayout w:type="fixed"/>
        <w:tblLook w:firstRow="1" w:lastRow="0" w:firstColumn="0" w:lastColumn="0" w:noHBand="0" w:noVBand="0" w:val="0020"/>
        <w:tblCaption w:val="Component Recovery Summary"/>
      </w:tblPr>
      <w:tblGrid>
        <w:gridCol w:w="1980"/>
        <w:gridCol w:w="1980"/>
        <w:gridCol w:w="1980"/>
        <w:gridCol w:w="1980"/>
      </w:tblGrid>
      <w:tr>
        <w:trPr>
          <w:tblHeader w:val="on"/>
        </w:trPr>
        <w:tc>
          <w:tcPr/>
          <w:p>
            <w:pPr>
              <w:pStyle w:val="Compact"/>
            </w:pPr>
            <w:r>
              <w:t xml:space="preserve">Component</w:t>
            </w:r>
          </w:p>
        </w:tc>
        <w:tc>
          <w:tcPr/>
          <w:p>
            <w:pPr>
              <w:pStyle w:val="Compact"/>
            </w:pPr>
            <w:r>
              <w:t xml:space="preserve">Appendix</w:t>
            </w:r>
          </w:p>
        </w:tc>
        <w:tc>
          <w:tcPr/>
          <w:p>
            <w:pPr>
              <w:pStyle w:val="Compact"/>
            </w:pPr>
            <w:r>
              <w:t xml:space="preserve">Estimated Duration</w:t>
            </w:r>
          </w:p>
        </w:tc>
        <w:tc>
          <w:tcPr/>
          <w:p>
            <w:pPr>
              <w:pStyle w:val="Compact"/>
            </w:pPr>
            <w:r>
              <w:t xml:space="preserve">Acceptance Criteria</w:t>
            </w:r>
          </w:p>
        </w:tc>
      </w:tr>
      <w:tr>
        <w:tc>
          <w:tcPr/>
          <w:p>
            <w:pPr>
              <w:pStyle w:val="Compact"/>
            </w:pPr>
            <w:r>
              <w:t xml:space="preserve">SD-WAN automatic circuit failover</w:t>
            </w:r>
          </w:p>
        </w:tc>
        <w:tc>
          <w:tcPr/>
          <w:p>
            <w:pPr>
              <w:pStyle w:val="Compact"/>
            </w:pPr>
            <w:r>
              <w:t xml:space="preserve">A-1</w:t>
            </w:r>
          </w:p>
        </w:tc>
        <w:tc>
          <w:tcPr/>
          <w:p>
            <w:pPr>
              <w:pStyle w:val="Compact"/>
            </w:pPr>
            <w:r>
              <w:t xml:space="preserve">3–5 minutes (automatic)</w:t>
            </w:r>
          </w:p>
        </w:tc>
        <w:tc>
          <w:tcPr/>
          <w:p>
            <w:pPr>
              <w:pStyle w:val="Compact"/>
            </w:pPr>
            <w:r>
              <w:t xml:space="preserve">All spoke sites show active BGP via backup DIA; no packet loss for 60 seconds</w:t>
            </w:r>
          </w:p>
        </w:tc>
      </w:tr>
      <w:tr>
        <w:tc>
          <w:tcPr/>
          <w:p>
            <w:pPr>
              <w:pStyle w:val="Compact"/>
            </w:pPr>
            <w:r>
              <w:t xml:space="preserve">DDI Grid failover to alternate Grid member</w:t>
            </w:r>
          </w:p>
        </w:tc>
        <w:tc>
          <w:tcPr/>
          <w:p>
            <w:pPr>
              <w:pStyle w:val="Compact"/>
            </w:pPr>
            <w:r>
              <w:t xml:space="preserve">A-2</w:t>
            </w:r>
          </w:p>
        </w:tc>
        <w:tc>
          <w:tcPr/>
          <w:p>
            <w:pPr>
              <w:pStyle w:val="Compact"/>
            </w:pPr>
            <w:r>
              <w:t xml:space="preserve">15–30 minutes</w:t>
            </w:r>
          </w:p>
        </w:tc>
        <w:tc>
          <w:tcPr/>
          <w:p>
            <w:pPr>
              <w:pStyle w:val="Compact"/>
            </w:pPr>
            <w:r>
              <w:t xml:space="preserve">DNS resolution functional from all sites; DHCP leases active; IPAM data current</w:t>
            </w:r>
          </w:p>
        </w:tc>
      </w:tr>
      <w:tr>
        <w:tc>
          <w:tcPr/>
          <w:p>
            <w:pPr>
              <w:pStyle w:val="Compact"/>
            </w:pPr>
            <w:r>
              <w:t xml:space="preserve">Break-glass identity access</w:t>
            </w:r>
          </w:p>
        </w:tc>
        <w:tc>
          <w:tcPr/>
          <w:p>
            <w:pPr>
              <w:pStyle w:val="Compact"/>
            </w:pPr>
            <w:r>
              <w:t xml:space="preserve">C-1</w:t>
            </w:r>
          </w:p>
        </w:tc>
        <w:tc>
          <w:tcPr/>
          <w:p>
            <w:pPr>
              <w:pStyle w:val="Compact"/>
            </w:pPr>
            <w:r>
              <w:t xml:space="preserve">5 minutes</w:t>
            </w:r>
          </w:p>
        </w:tc>
        <w:tc>
          <w:tcPr/>
          <w:p>
            <w:pPr>
              <w:pStyle w:val="Compact"/>
            </w:pPr>
            <w:r>
              <w:t xml:space="preserve">Break-glass accounts authenticate successfully; MFA bypass documented</w:t>
            </w:r>
          </w:p>
        </w:tc>
      </w:tr>
      <w:tr>
        <w:tc>
          <w:tcPr/>
          <w:p>
            <w:pPr>
              <w:pStyle w:val="Compact"/>
            </w:pPr>
            <w:r>
              <w:t xml:space="preserve">SQL AG failover (synchronous replica)</w:t>
            </w:r>
          </w:p>
        </w:tc>
        <w:tc>
          <w:tcPr/>
          <w:p>
            <w:pPr>
              <w:pStyle w:val="Compact"/>
            </w:pPr>
            <w:r>
              <w:t xml:space="preserve">B-1</w:t>
            </w:r>
          </w:p>
        </w:tc>
        <w:tc>
          <w:tcPr/>
          <w:p>
            <w:pPr>
              <w:pStyle w:val="Compact"/>
            </w:pPr>
            <w:r>
              <w:t xml:space="preserve">5–15 minutes</w:t>
            </w:r>
          </w:p>
        </w:tc>
        <w:tc>
          <w:tcPr/>
          <w:p>
            <w:pPr>
              <w:pStyle w:val="Compact"/>
            </w:pPr>
            <w:r>
              <w:t xml:space="preserve">Secondary replica promoted; application connection string updated; read/write functional</w:t>
            </w:r>
          </w:p>
        </w:tc>
      </w:tr>
      <w:tr>
        <w:tc>
          <w:tcPr/>
          <w:p>
            <w:pPr>
              <w:pStyle w:val="Compact"/>
            </w:pPr>
            <w:r>
              <w:t xml:space="preserve">SQL AG failover (async DR replica, RPO applies)</w:t>
            </w:r>
          </w:p>
        </w:tc>
        <w:tc>
          <w:tcPr/>
          <w:p>
            <w:pPr>
              <w:pStyle w:val="Compact"/>
            </w:pPr>
            <w:r>
              <w:t xml:space="preserve">B-2</w:t>
            </w:r>
          </w:p>
        </w:tc>
        <w:tc>
          <w:tcPr/>
          <w:p>
            <w:pPr>
              <w:pStyle w:val="Compact"/>
            </w:pPr>
            <w:r>
              <w:t xml:space="preserve">30–60 minutes</w:t>
            </w:r>
          </w:p>
        </w:tc>
        <w:tc>
          <w:tcPr/>
          <w:p>
            <w:pPr>
              <w:pStyle w:val="Compact"/>
            </w:pPr>
            <w:r>
              <w:t xml:space="preserve">DR replica promoted; data integrity check complete; missing transactions identified and logged</w:t>
            </w:r>
          </w:p>
        </w:tc>
      </w:tr>
      <w:tr>
        <w:tc>
          <w:tcPr/>
          <w:p>
            <w:pPr>
              <w:pStyle w:val="Compact"/>
            </w:pPr>
            <w:r>
              <w:t xml:space="preserve">Application tier failover to secondary region</w:t>
            </w:r>
          </w:p>
        </w:tc>
        <w:tc>
          <w:tcPr/>
          <w:p>
            <w:pPr>
              <w:pStyle w:val="Compact"/>
            </w:pPr>
            <w:r>
              <w:t xml:space="preserve">D-1</w:t>
            </w:r>
          </w:p>
        </w:tc>
        <w:tc>
          <w:tcPr/>
          <w:p>
            <w:pPr>
              <w:pStyle w:val="Compact"/>
            </w:pPr>
            <w:r>
              <w:t xml:space="preserve">30–60 minutes</w:t>
            </w:r>
          </w:p>
        </w:tc>
        <w:tc>
          <w:tcPr/>
          <w:p>
            <w:pPr>
              <w:pStyle w:val="Compact"/>
            </w:pPr>
            <w:r>
              <w:t xml:space="preserve">Application health checks pass in secondary region; DNS A records updated; user sessions functional</w:t>
            </w:r>
          </w:p>
        </w:tc>
      </w:tr>
      <w:tr>
        <w:tc>
          <w:tcPr/>
          <w:p>
            <w:pPr>
              <w:pStyle w:val="Compact"/>
            </w:pPr>
            <w:r>
              <w:t xml:space="preserve">Audit logging validation</w:t>
            </w:r>
          </w:p>
        </w:tc>
        <w:tc>
          <w:tcPr/>
          <w:p>
            <w:pPr>
              <w:pStyle w:val="Compact"/>
            </w:pPr>
            <w:r>
              <w:t xml:space="preserve">E-1</w:t>
            </w:r>
          </w:p>
        </w:tc>
        <w:tc>
          <w:tcPr/>
          <w:p>
            <w:pPr>
              <w:pStyle w:val="Compact"/>
            </w:pPr>
            <w:r>
              <w:t xml:space="preserve">30 minutes</w:t>
            </w:r>
          </w:p>
        </w:tc>
        <w:tc>
          <w:tcPr/>
          <w:p>
            <w:pPr>
              <w:pStyle w:val="Compact"/>
            </w:pPr>
            <w:r>
              <w:t xml:space="preserve">Sentinel workspace receiving events; no gaps in log ingestion longer than RPO threshold</w:t>
            </w:r>
          </w:p>
        </w:tc>
      </w:tr>
    </w:tbl>
    <w:p>
      <w:pPr>
        <w:pStyle w:val="BodyText"/>
      </w:pPr>
      <w:r>
        <w:rPr>
          <w:b/>
          <w:bCs/>
        </w:rPr>
        <w:t xml:space="preserve">5.3 Manual Workaround Procedures.</w:t>
      </w:r>
      <w:r>
        <w:t xml:space="preserve"> </w:t>
      </w:r>
      <w:r>
        <w:t xml:space="preserve">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bookmarkEnd w:id="35"/>
    <w:bookmarkStart w:id="36" w:name="section-6-reconstitution"/>
    <w:p>
      <w:pPr>
        <w:pStyle w:val="Heading3"/>
      </w:pPr>
      <w:r>
        <w:t xml:space="preserve">4.6 Section 6: Reconstitution</w:t>
      </w:r>
    </w:p>
    <w:p>
      <w:pPr>
        <w:pStyle w:val="FirstParagraph"/>
      </w:pPr>
      <w:r>
        <w:rPr>
          <w:b/>
          <w:bCs/>
        </w:rPr>
        <w:t xml:space="preserve">6.1 Reconstitution Decision.</w:t>
      </w:r>
      <w:r>
        <w:t xml:space="preserve"> </w:t>
      </w:r>
      <w:r>
        <w:t xml:space="preserve">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pPr>
        <w:pStyle w:val="BodyText"/>
      </w:pPr>
      <w:r>
        <w:rPr>
          <w:b/>
          <w:bCs/>
        </w:rPr>
        <w:t xml:space="preserve">6.2 Return to Primary Site.</w:t>
      </w:r>
      <w:r>
        <w:t xml:space="preserve"> </w:t>
      </w:r>
      <w:r>
        <w:t xml:space="preserve">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pPr>
        <w:pStyle w:val="BodyText"/>
      </w:pPr>
      <w:r>
        <w:rPr>
          <w:b/>
          <w:bCs/>
        </w:rPr>
        <w:t xml:space="preserve">6.2.1 Data Synchronization Before Failback.</w:t>
      </w:r>
      <w:r>
        <w:t xml:space="preserve"> </w:t>
      </w:r>
      <w:r>
        <w:t xml:space="preserve">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pPr>
        <w:pStyle w:val="BodyText"/>
      </w:pPr>
      <w:r>
        <w:rPr>
          <w:b/>
          <w:bCs/>
        </w:rPr>
        <w:t xml:space="preserve">6.3 Validation.</w:t>
      </w:r>
      <w:r>
        <w:t xml:space="preserve"> </w:t>
      </w:r>
      <w:r>
        <w:t xml:space="preserve">After reconstitution, each Recovery Team Lead executes a validation checklist confirming that:</w:t>
      </w:r>
      <w:r>
        <w:t xml:space="preserve"> </w:t>
      </w:r>
      <w:r>
        <w:t xml:space="preserve">- All services are running at normal capacity on primary infrastructure</w:t>
      </w:r>
      <w:r>
        <w:t xml:space="preserve"> </w:t>
      </w:r>
      <w:r>
        <w:t xml:space="preserve">- Data integrity checks are complete and no unexplained gaps exist</w:t>
      </w:r>
      <w:r>
        <w:t xml:space="preserve"> </w:t>
      </w:r>
      <w:r>
        <w:t xml:space="preserve">- Audit logging has resumed on primary infrastructure with no gap</w:t>
      </w:r>
      <w:r>
        <w:t xml:space="preserve"> </w:t>
      </w:r>
      <w:r>
        <w:t xml:space="preserve">- All temporary workarounds (manual call-tracking, break-glass accounts, Conditional Access policy adjustments) have been reversed</w:t>
      </w:r>
      <w:r>
        <w:t xml:space="preserve"> </w:t>
      </w:r>
      <w:r>
        <w:t xml:space="preserve">- Monitoring and alerting thresholds are reset to normal baselines</w:t>
      </w:r>
    </w:p>
    <w:p>
      <w:pPr>
        <w:pStyle w:val="BodyText"/>
      </w:pPr>
      <w:r>
        <w:rPr>
          <w:b/>
          <w:bCs/>
        </w:rPr>
        <w:t xml:space="preserve">6.4 Deactivation.</w:t>
      </w:r>
      <w:r>
        <w:t xml:space="preserve"> </w:t>
      </w:r>
      <w:r>
        <w:t xml:space="preserve">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pPr>
        <w:pStyle w:val="BodyText"/>
      </w:pPr>
      <w:r>
        <w:rPr>
          <w:b/>
          <w:bCs/>
        </w:rPr>
        <w:t xml:space="preserve">6.5 After-Action Review.</w:t>
      </w:r>
      <w:r>
        <w:t xml:space="preserve"> </w:t>
      </w:r>
      <w:r>
        <w:t xml:space="preserve">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bookmarkEnd w:id="36"/>
    <w:bookmarkStart w:id="37" w:name="section-7-plan-maintenance"/>
    <w:p>
      <w:pPr>
        <w:pStyle w:val="Heading3"/>
      </w:pPr>
      <w:r>
        <w:t xml:space="preserve">4.7 Section 7: Plan Maintenance</w:t>
      </w:r>
    </w:p>
    <w:p>
      <w:pPr>
        <w:pStyle w:val="FirstParagraph"/>
      </w:pPr>
      <w:r>
        <w:rPr>
          <w:b/>
          <w:bCs/>
        </w:rPr>
        <w:t xml:space="preserve">7.1 Review Cycle.</w:t>
      </w:r>
      <w:r>
        <w:t xml:space="preserve"> </w:t>
      </w:r>
      <w:r>
        <w:t xml:space="preserve">The Contingency Plan is reviewed and updated annually, or following any of these triggering events:</w:t>
      </w:r>
      <w:r>
        <w:t xml:space="preserve"> </w:t>
      </w:r>
      <w:r>
        <w:t xml:space="preserve">- A contingency event that results in plan activation</w:t>
      </w:r>
      <w:r>
        <w:t xml:space="preserve"> </w:t>
      </w:r>
      <w:r>
        <w:t xml:space="preserve">- A contingency plan test that reveals significant gaps</w:t>
      </w:r>
      <w:r>
        <w:t xml:space="preserve"> </w:t>
      </w:r>
      <w:r>
        <w:t xml:space="preserve">- A material change to any system covered by the plan (new application, architecture change, change in service provider, change in WAN topology)</w:t>
      </w:r>
      <w:r>
        <w:t xml:space="preserve"> </w:t>
      </w:r>
      <w:r>
        <w:t xml:space="preserve">- A change in recovery team personnel or organizational structure</w:t>
      </w:r>
      <w:r>
        <w:t xml:space="preserve"> </w:t>
      </w:r>
      <w:r>
        <w:t xml:space="preserve">- A change in applicable law, regulation, or agency policy</w:t>
      </w:r>
    </w:p>
    <w:p>
      <w:pPr>
        <w:pStyle w:val="BodyText"/>
      </w:pPr>
      <w:r>
        <w:rPr>
          <w:b/>
          <w:bCs/>
        </w:rPr>
        <w:t xml:space="preserve">7.2 Update Responsibility.</w:t>
      </w:r>
      <w:r>
        <w:t xml:space="preserve"> </w:t>
      </w:r>
      <w:r>
        <w:t xml:space="preserve">The ISSO owns the annual review process. Recovery Team Leads are responsible for keeping their corresponding appendices current. The mission owners are responsible for re-validating BIA values annually.</w:t>
      </w:r>
    </w:p>
    <w:p>
      <w:pPr>
        <w:pStyle w:val="BodyText"/>
      </w:pPr>
      <w:r>
        <w:rPr>
          <w:b/>
          <w:bCs/>
        </w:rPr>
        <w:t xml:space="preserve">7.3 Distribution.</w:t>
      </w:r>
      <w:r>
        <w:t xml:space="preserve"> </w:t>
      </w:r>
      <w:r>
        <w:t xml:space="preserve">The current plan version is maintained in the document management system. A printed copy is maintained in the CPC’s secure binder and at the alternate site. All Recovery Team Leads receive notification when a new version is published.</w:t>
      </w:r>
    </w:p>
    <w:bookmarkEnd w:id="37"/>
    <w:bookmarkEnd w:id="38"/>
    <w:bookmarkStart w:id="44" w:name="alternate-storage-site-cp-6"/>
    <w:p>
      <w:pPr>
        <w:pStyle w:val="Heading2"/>
      </w:pPr>
      <w:r>
        <w:t xml:space="preserve">5 Alternate Storage Site (CP-6)</w:t>
      </w:r>
    </w:p>
    <w:bookmarkStart w:id="39" w:name="what-cp-6-requires"/>
    <w:p>
      <w:pPr>
        <w:pStyle w:val="Heading3"/>
      </w:pPr>
      <w:r>
        <w:t xml:space="preserve">5.1 What CP-6 Requires</w:t>
      </w:r>
    </w:p>
    <w:p>
      <w:pPr>
        <w:pStyle w:val="FirstParagraph"/>
      </w:pPr>
      <w:r>
        <w:t xml:space="preserve">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pPr>
        <w:pStyle w:val="BodyText"/>
      </w:pPr>
      <w:r>
        <w:t xml:space="preserve">The geo-replicated database architecture from Part 9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bookmarkEnd w:id="39"/>
    <w:bookmarkStart w:id="40" w:name="structured-data-database-tier"/>
    <w:p>
      <w:pPr>
        <w:pStyle w:val="Heading3"/>
      </w:pPr>
      <w:r>
        <w:t xml:space="preserve">5.2 Structured Data (Database Tier)</w:t>
      </w:r>
    </w:p>
    <w:p>
      <w:pPr>
        <w:pStyle w:val="FirstParagraph"/>
      </w:pPr>
      <w:r>
        <w:t xml:space="preserve">The SQL Server Always On Availability Group architecture from Parts 8 and 9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pPr>
        <w:pStyle w:val="BodyText"/>
      </w:pPr>
      <w:r>
        <w:t xml:space="preserve">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bookmarkEnd w:id="40"/>
    <w:bookmarkStart w:id="41" w:name="X556c172175f8298ccd6201f7a8defe33eff6fd1"/>
    <w:p>
      <w:pPr>
        <w:pStyle w:val="Heading3"/>
      </w:pPr>
      <w:r>
        <w:t xml:space="preserve">5.3 Unstructured Data (Files, Collaboration Content)</w:t>
      </w:r>
    </w:p>
    <w:p>
      <w:pPr>
        <w:pStyle w:val="FirstParagraph"/>
      </w:pPr>
      <w:r>
        <w:t xml:space="preserve">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pPr>
        <w:pStyle w:val="Compact"/>
        <w:numPr>
          <w:ilvl w:val="0"/>
          <w:numId w:val="1008"/>
        </w:numPr>
      </w:pPr>
      <w:r>
        <w:t xml:space="preserve">Verifying that multi-geo is enabled and that the secondary geo location is in a different region from the primary</w:t>
      </w:r>
    </w:p>
    <w:p>
      <w:pPr>
        <w:pStyle w:val="Compact"/>
        <w:numPr>
          <w:ilvl w:val="0"/>
          <w:numId w:val="1008"/>
        </w:numPr>
      </w:pPr>
      <w:r>
        <w:t xml:space="preserve">Documenting the replication frequency and any RPO limitations (Microsoft’s SLA defines the replication commitment)</w:t>
      </w:r>
    </w:p>
    <w:p>
      <w:pPr>
        <w:pStyle w:val="Compact"/>
        <w:numPr>
          <w:ilvl w:val="0"/>
          <w:numId w:val="1008"/>
        </w:numPr>
      </w:pPr>
      <w:r>
        <w:t xml:space="preserve">Including this verification in the annual CP-6 test</w:t>
      </w:r>
    </w:p>
    <w:bookmarkEnd w:id="41"/>
    <w:bookmarkStart w:id="42" w:name="X7de2cba187d3e667877e4e3f4e0c11a9b1f8e75"/>
    <w:p>
      <w:pPr>
        <w:pStyle w:val="Heading3"/>
      </w:pPr>
      <w:r>
        <w:t xml:space="preserve">5.4 Application Binaries and Configuration Baselines</w:t>
      </w:r>
    </w:p>
    <w:p>
      <w:pPr>
        <w:pStyle w:val="FirstParagraph"/>
      </w:pPr>
      <w:r>
        <w:t xml:space="preserve">Two additional categories must be addressed for a complete CP-6 implementation:</w:t>
      </w:r>
    </w:p>
    <w:p>
      <w:pPr>
        <w:pStyle w:val="BodyText"/>
      </w:pPr>
      <w:r>
        <w:rPr>
          <w:b/>
          <w:bCs/>
        </w:rPr>
        <w:t xml:space="preserve">Application binaries.</w:t>
      </w:r>
      <w:r>
        <w:t xml:space="preserve"> </w:t>
      </w:r>
      <w:r>
        <w:t xml:space="preserve">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pPr>
        <w:pStyle w:val="BodyText"/>
      </w:pPr>
      <w:r>
        <w:rPr>
          <w:b/>
          <w:bCs/>
        </w:rPr>
        <w:t xml:space="preserve">Configuration baselines.</w:t>
      </w:r>
      <w:r>
        <w:t xml:space="preserve"> </w:t>
      </w:r>
      <w:r>
        <w:t xml:space="preserve">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pPr>
        <w:pStyle w:val="SourceCode"/>
      </w:pPr>
      <w:r>
        <w:rPr>
          <w:rStyle w:val="CommentTok"/>
        </w:rPr>
        <w:t xml:space="preserve"># Export device management policies to the alternate Key Vault</w:t>
      </w:r>
      <w:r>
        <w:br/>
      </w:r>
      <w:r>
        <w:rPr>
          <w:rStyle w:val="CommentTok"/>
        </w:rPr>
        <w:t xml:space="preserve"># Run quarterly or after any policy change</w:t>
      </w:r>
      <w:r>
        <w:br/>
      </w:r>
      <w:r>
        <w:br/>
      </w:r>
      <w:r>
        <w:rPr>
          <w:rStyle w:val="VariableTok"/>
        </w:rPr>
        <w:t xml:space="preserve">$SecondaryKeyVaultName</w:t>
      </w:r>
      <w:r>
        <w:rPr>
          <w:rStyle w:val="NormalTok"/>
        </w:rPr>
        <w:t xml:space="preserve"> </w:t>
      </w:r>
      <w:r>
        <w:rPr>
          <w:rStyle w:val="OperatorTok"/>
        </w:rPr>
        <w:t xml:space="preserve">=</w:t>
      </w:r>
      <w:r>
        <w:rPr>
          <w:rStyle w:val="NormalTok"/>
        </w:rPr>
        <w:t xml:space="preserve"> </w:t>
      </w:r>
      <w:r>
        <w:rPr>
          <w:rStyle w:val="StringTok"/>
        </w:rPr>
        <w:t xml:space="preserve">"kv-agency-dr-&lt;region&gt;"</w:t>
      </w:r>
      <w:r>
        <w:br/>
      </w:r>
      <w:r>
        <w:rPr>
          <w:rStyle w:val="VariableTok"/>
        </w:rPr>
        <w:t xml:space="preserve">$ExportPath</w:t>
      </w:r>
      <w:r>
        <w:rPr>
          <w:rStyle w:val="NormalTok"/>
        </w:rPr>
        <w:t xml:space="preserve"> </w:t>
      </w:r>
      <w:r>
        <w:rPr>
          <w:rStyle w:val="OperatorTok"/>
        </w:rPr>
        <w:t xml:space="preserve">=</w:t>
      </w:r>
      <w:r>
        <w:rPr>
          <w:rStyle w:val="NormalTok"/>
        </w:rPr>
        <w:t xml:space="preserve"> </w:t>
      </w:r>
      <w:r>
        <w:rPr>
          <w:rStyle w:val="StringTok"/>
        </w:rPr>
        <w:t xml:space="preserve">"C:\CP6\PolicyExports"</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Export device compliance policies via Microsoft Graph</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"DeviceManagementConfiguration.Read.All"</w:t>
      </w:r>
      <w:r>
        <w:br/>
      </w:r>
      <w:r>
        <w:br/>
      </w:r>
      <w:r>
        <w:rPr>
          <w:rStyle w:val="VariableTok"/>
        </w:rPr>
        <w:t xml:space="preserve">$Policies</w:t>
      </w:r>
      <w:r>
        <w:rPr>
          <w:rStyle w:val="NormalTok"/>
        </w:rPr>
        <w:t xml:space="preserve"> </w:t>
      </w:r>
      <w:r>
        <w:rPr>
          <w:rStyle w:val="OperatorTok"/>
        </w:rPr>
        <w:t xml:space="preserve">=</w:t>
      </w:r>
      <w:r>
        <w:rPr>
          <w:rStyle w:val="NormalTok"/>
        </w:rPr>
        <w:t xml:space="preserve"> Get-MgDeviceManagementDeviceCompliancePolicy</w:t>
      </w:r>
      <w:r>
        <w:br/>
      </w:r>
      <w:r>
        <w:rPr>
          <w:rStyle w:val="ControlFlowTok"/>
        </w:rPr>
        <w:t xml:space="preserve">foreach</w:t>
      </w:r>
      <w:r>
        <w:rPr>
          <w:rStyle w:val="NormalTok"/>
        </w:rPr>
        <w:t xml:space="preserve"> </w:t>
      </w:r>
      <w:r>
        <w:rPr>
          <w:rStyle w:val="OperatorTok"/>
        </w:rPr>
        <w:t xml:space="preserve">(</w:t>
      </w:r>
      <w:r>
        <w:rPr>
          <w:rStyle w:val="VariableTok"/>
        </w:rPr>
        <w:t xml:space="preserve">$Policy</w:t>
      </w:r>
      <w:r>
        <w:rPr>
          <w:rStyle w:val="NormalTok"/>
        </w:rPr>
        <w:t xml:space="preserve"> </w:t>
      </w:r>
      <w:r>
        <w:rPr>
          <w:rStyle w:val="KeywordTok"/>
        </w:rPr>
        <w:t xml:space="preserve">in</w:t>
      </w:r>
      <w:r>
        <w:rPr>
          <w:rStyle w:val="NormalTok"/>
        </w:rPr>
        <w:t xml:space="preserve"> </w:t>
      </w:r>
      <w:r>
        <w:rPr>
          <w:rStyle w:val="VariableTok"/>
        </w:rPr>
        <w:t xml:space="preserve">$Policies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$PolicyJson</w:t>
      </w:r>
      <w:r>
        <w:rPr>
          <w:rStyle w:val="NormalTok"/>
        </w:rPr>
        <w:t xml:space="preserve"> </w:t>
      </w:r>
      <w:r>
        <w:rPr>
          <w:rStyle w:val="OperatorTok"/>
        </w:rPr>
        <w:t xml:space="preserve">=</w:t>
      </w:r>
      <w:r>
        <w:rPr>
          <w:rStyle w:val="NormalTok"/>
        </w:rPr>
        <w:t xml:space="preserve"> </w:t>
      </w:r>
      <w:r>
        <w:rPr>
          <w:rStyle w:val="VariableTok"/>
        </w:rPr>
        <w:t xml:space="preserve">$Policy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10</w:t>
      </w:r>
      <w:r>
        <w:br/>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w:t>
      </w:r>
      <w:r>
        <w:rPr>
          <w:rStyle w:val="VariableTok"/>
        </w:rPr>
        <w:t xml:space="preserve">$Policy</w:t>
      </w:r>
      <w:r>
        <w:rPr>
          <w:rStyle w:val="OperatorTok"/>
        </w:rPr>
        <w:t xml:space="preserve">.</w:t>
      </w:r>
      <w:r>
        <w:rPr>
          <w:rStyle w:val="FunctionTok"/>
        </w:rPr>
        <w:t xml:space="preserve">DisplayName</w:t>
      </w:r>
      <w:r>
        <w:rPr>
          <w:rStyle w:val="NormalTok"/>
        </w:rPr>
        <w:t xml:space="preserve"> </w:t>
      </w:r>
      <w:r>
        <w:rPr>
          <w:rStyle w:val="OperatorTok"/>
        </w:rPr>
        <w:t xml:space="preserve">-replace</w:t>
      </w:r>
      <w:r>
        <w:rPr>
          <w:rStyle w:val="NormalTok"/>
        </w:rPr>
        <w:t xml:space="preserve"> </w:t>
      </w:r>
      <w:r>
        <w:rPr>
          <w:rStyle w:val="StringTok"/>
        </w:rPr>
        <w:t xml:space="preserve">'[^A-Za-z0-9-]'</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VariableTok"/>
        </w:rPr>
        <w:t xml:space="preserve">$FilePath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$ExportPath</w:t>
      </w:r>
      <w:r>
        <w:rPr>
          <w:rStyle w:val="StringTok"/>
        </w:rPr>
        <w:t xml:space="preserve">\</w:t>
      </w:r>
      <w:r>
        <w:rPr>
          <w:rStyle w:val="VariableTok"/>
        </w:rPr>
        <w:t xml:space="preserve">$SafeName</w:t>
      </w:r>
      <w:r>
        <w:rPr>
          <w:rStyle w:val="StringTok"/>
        </w:rPr>
        <w:t xml:space="preserve">-</w:t>
      </w:r>
      <w:r>
        <w:rPr>
          <w:rStyle w:val="VariableTok"/>
        </w:rPr>
        <w:t xml:space="preserve">$Timestamp</w:t>
      </w:r>
      <w:r>
        <w:rPr>
          <w:rStyle w:val="StringTok"/>
        </w:rPr>
        <w:t xml:space="preserve">.json"</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Path </w:t>
      </w:r>
      <w:r>
        <w:rPr>
          <w:rStyle w:val="VariableTok"/>
        </w:rPr>
        <w:t xml:space="preserve">$FilePath</w:t>
      </w:r>
      <w:r>
        <w:rPr>
          <w:rStyle w:val="NormalTok"/>
        </w:rPr>
        <w:t xml:space="preserve"> </w:t>
      </w:r>
      <w:r>
        <w:rPr>
          <w:rStyle w:val="OperatorTok"/>
        </w:rPr>
        <w:t xml:space="preserve">-</w:t>
      </w:r>
      <w:r>
        <w:rPr>
          <w:rStyle w:val="NormalTok"/>
        </w:rPr>
        <w:t xml:space="preserve">Value </w:t>
      </w:r>
      <w:r>
        <w:rPr>
          <w:rStyle w:val="VariableTok"/>
        </w:rPr>
        <w:t xml:space="preserve">$PolicyJson</w:t>
      </w:r>
      <w:r>
        <w:rPr>
          <w:rStyle w:val="NormalTok"/>
        </w:rPr>
        <w:t xml:space="preserve"> </w:t>
      </w:r>
      <w:r>
        <w:rPr>
          <w:rStyle w:val="OperatorTok"/>
        </w:rPr>
        <w:t xml:space="preserve">-</w:t>
      </w:r>
      <w:r>
        <w:rPr>
          <w:rStyle w:val="NormalTok"/>
        </w:rPr>
        <w:t xml:space="preserve">Encoding UTF8</w:t>
      </w:r>
      <w:r>
        <w:br/>
      </w:r>
      <w:r>
        <w:rPr>
          <w:rStyle w:val="OperatorTok"/>
        </w:rPr>
        <w:t xml:space="preserve">}</w:t>
      </w:r>
      <w:r>
        <w:br/>
      </w:r>
      <w:r>
        <w:br/>
      </w:r>
      <w:r>
        <w:rPr>
          <w:rStyle w:val="CommentTok"/>
        </w:rPr>
        <w:t xml:space="preserve"># Upload to secondary Key Vault storage</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StringTok"/>
        </w:rPr>
        <w:t xml:space="preserve">"staagencydr&lt;region&gt;"</w:t>
      </w:r>
      <w:r>
        <w:rPr>
          <w:rStyle w:val="NormalTok"/>
        </w:rPr>
        <w:t xml:space="preserve"> `</w:t>
      </w:r>
      <w:r>
        <w:br/>
      </w:r>
      <w:r>
        <w:rPr>
          <w:rStyle w:val="NormalTok"/>
        </w:rPr>
        <w:t xml:space="preserve">    </w:t>
      </w:r>
      <w:r>
        <w:rPr>
          <w:rStyle w:val="OperatorTok"/>
        </w:rPr>
        <w:t xml:space="preserve">-</w:t>
      </w:r>
      <w:r>
        <w:rPr>
          <w:rStyle w:val="NormalTok"/>
        </w:rPr>
        <w:t xml:space="preserve">UseConnectedAccount</w:t>
      </w:r>
      <w:r>
        <w:br/>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VariableTok"/>
        </w:rPr>
        <w:t xml:space="preserve">$ExportPath</w:t>
      </w:r>
      <w:r>
        <w:rPr>
          <w:rStyle w:val="NormalTok"/>
        </w:rPr>
        <w:t xml:space="preserve"> </w:t>
      </w:r>
      <w:r>
        <w:rPr>
          <w:rStyle w:val="OperatorTok"/>
        </w:rPr>
        <w:t xml:space="preserve">-</w:t>
      </w:r>
      <w:r>
        <w:rPr>
          <w:rStyle w:val="NormalTok"/>
        </w:rPr>
        <w:t xml:space="preserve">Filter </w:t>
      </w:r>
      <w:r>
        <w:rPr>
          <w:rStyle w:val="StringTok"/>
        </w:rPr>
        <w:t xml:space="preserve">"*.json"</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Set-AzStorageBlobContent </w:t>
      </w:r>
      <w:r>
        <w:rPr>
          <w:rStyle w:val="OperatorTok"/>
        </w:rPr>
        <w:t xml:space="preserve">-</w:t>
      </w:r>
      <w:r>
        <w:rPr>
          <w:rStyle w:val="NormalTok"/>
        </w:rPr>
        <w:t xml:space="preserve">File </w:t>
      </w:r>
      <w:r>
        <w:rPr>
          <w:rStyle w:val="VariableTok"/>
        </w:rPr>
        <w:t xml:space="preserve">$_</w:t>
      </w:r>
      <w:r>
        <w:rPr>
          <w:rStyle w:val="OperatorTok"/>
        </w:rPr>
        <w:t xml:space="preserve">.</w:t>
      </w:r>
      <w:r>
        <w:rPr>
          <w:rStyle w:val="FunctionTok"/>
        </w:rPr>
        <w:t xml:space="preserve">FullName</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StringTok"/>
        </w:rPr>
        <w:t xml:space="preserve">"policy-exports"</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StringTok"/>
        </w:rPr>
        <w:t xml:space="preserve">"compliance/</w:t>
      </w:r>
      <w:r>
        <w:rPr>
          <w:rStyle w:val="OperatorTok"/>
        </w:rPr>
        <w:t xml:space="preserve">$(</w:t>
      </w:r>
      <w:r>
        <w:rPr>
          <w:rStyle w:val="VariableTok"/>
        </w:rPr>
        <w:t xml:space="preserve">$_</w:t>
      </w:r>
      <w:r>
        <w:rPr>
          <w:rStyle w:val="OperatorTok"/>
        </w:rPr>
        <w:t xml:space="preserve">.</w:t>
      </w:r>
      <w:r>
        <w:rPr>
          <w:rStyle w:val="FunctionTok"/>
        </w:rPr>
        <w:t xml:space="preserve">Name</w:t>
      </w:r>
      <w:r>
        <w:rPr>
          <w:rStyle w:val="OperatorTok"/>
        </w:rPr>
        <w:t xml:space="preserve">)</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w:t>
      </w:r>
      <w:r>
        <w:br/>
      </w:r>
      <w:r>
        <w:rPr>
          <w:rStyle w:val="OperatorTok"/>
        </w:rPr>
        <w:t xml:space="preserve">}</w:t>
      </w:r>
      <w:r>
        <w:br/>
      </w:r>
      <w:r>
        <w:br/>
      </w:r>
      <w:r>
        <w:rPr>
          <w:rStyle w:val="FunctionTok"/>
        </w:rPr>
        <w:t xml:space="preserve">Write-Output</w:t>
      </w:r>
      <w:r>
        <w:rPr>
          <w:rStyle w:val="NormalTok"/>
        </w:rPr>
        <w:t xml:space="preserve"> </w:t>
      </w:r>
      <w:r>
        <w:rPr>
          <w:rStyle w:val="StringTok"/>
        </w:rPr>
        <w:t xml:space="preserve">"Policy export complete. Files uploaded to alternate region storage."</w:t>
      </w:r>
    </w:p>
    <w:bookmarkEnd w:id="42"/>
    <w:bookmarkStart w:id="43" w:name="validating-cp-6-compliance"/>
    <w:p>
      <w:pPr>
        <w:pStyle w:val="Heading3"/>
      </w:pPr>
      <w:r>
        <w:t xml:space="preserve">5.5 Validating CP-6 Compliance</w:t>
      </w:r>
    </w:p>
    <w:p>
      <w:pPr>
        <w:pStyle w:val="FirstParagraph"/>
      </w:pPr>
      <w:r>
        <w:t xml:space="preserve">An annual CP-6 validation test confirms that the alternate storage site contains a copy sufficient to restore operations. The test procedure:</w:t>
      </w:r>
    </w:p>
    <w:p>
      <w:pPr>
        <w:pStyle w:val="Compact"/>
        <w:numPr>
          <w:ilvl w:val="0"/>
          <w:numId w:val="1009"/>
        </w:numPr>
      </w:pPr>
      <w:r>
        <w:t xml:space="preserve">Identify the most recent backup or replica snapshot in the alternate site for each data category</w:t>
      </w:r>
    </w:p>
    <w:p>
      <w:pPr>
        <w:pStyle w:val="Compact"/>
        <w:numPr>
          <w:ilvl w:val="0"/>
          <w:numId w:val="1009"/>
        </w:numPr>
      </w:pPr>
      <w:r>
        <w:t xml:space="preserve">Restore a test instance from that backup in an isolated environment (not production)</w:t>
      </w:r>
    </w:p>
    <w:p>
      <w:pPr>
        <w:pStyle w:val="Compact"/>
        <w:numPr>
          <w:ilvl w:val="0"/>
          <w:numId w:val="1009"/>
        </w:numPr>
      </w:pPr>
      <w:r>
        <w:t xml:space="preserve">Confirm data integrity: compare row counts, checksums on critical tables, and representative record spot-checks against a known-good baseline</w:t>
      </w:r>
    </w:p>
    <w:p>
      <w:pPr>
        <w:pStyle w:val="Compact"/>
        <w:numPr>
          <w:ilvl w:val="0"/>
          <w:numId w:val="1009"/>
        </w:numPr>
      </w:pPr>
      <w:r>
        <w:t xml:space="preserve">Document: backup age at time of test, restore duration, integrity check results, any gaps identified</w:t>
      </w:r>
    </w:p>
    <w:p>
      <w:pPr>
        <w:pStyle w:val="Compact"/>
        <w:numPr>
          <w:ilvl w:val="0"/>
          <w:numId w:val="1009"/>
        </w:numPr>
      </w:pPr>
      <w:r>
        <w:t xml:space="preserve">Update the CP-2 with the test date and results</w:t>
      </w:r>
    </w:p>
    <w:bookmarkEnd w:id="43"/>
    <w:bookmarkEnd w:id="44"/>
    <w:bookmarkStart w:id="52" w:name="alternate-processing-site-cp-7"/>
    <w:p>
      <w:pPr>
        <w:pStyle w:val="Heading2"/>
      </w:pPr>
      <w:r>
        <w:t xml:space="preserve">6 Alternate Processing Site (CP-7)</w:t>
      </w:r>
    </w:p>
    <w:bookmarkStart w:id="48" w:name="cloud-native-workloads"/>
    <w:p>
      <w:pPr>
        <w:pStyle w:val="Heading3"/>
      </w:pPr>
      <w:r>
        <w:t xml:space="preserve">6.1 Cloud-Native Workloads</w:t>
      </w:r>
    </w:p>
    <w:p>
      <w:pPr>
        <w:pStyle w:val="FirstParagraph"/>
      </w:pPr>
      <w:r>
        <w:t xml:space="preserve">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pPr>
        <w:pStyle w:val="Compact"/>
        <w:numPr>
          <w:ilvl w:val="0"/>
          <w:numId w:val="1010"/>
        </w:numPr>
      </w:pPr>
      <w:r>
        <w:rPr>
          <w:b/>
          <w:bCs/>
        </w:rPr>
        <w:t xml:space="preserve">Documented capacity agreements.</w:t>
      </w:r>
      <w:r>
        <w:t xml:space="preserve"> </w:t>
      </w:r>
      <w:r>
        <w:t xml:space="preserve">The CSP service agreement must support spinning up production-equivalent capacity in the secondary region. For reserved instance commitments, verify that reservations cover both regions or that on-demand capacity is available.</w:t>
      </w:r>
    </w:p>
    <w:p>
      <w:pPr>
        <w:pStyle w:val="Compact"/>
        <w:numPr>
          <w:ilvl w:val="0"/>
          <w:numId w:val="1010"/>
        </w:numPr>
      </w:pPr>
      <w:r>
        <w:rPr>
          <w:b/>
          <w:bCs/>
        </w:rPr>
        <w:t xml:space="preserve">Documented RTO for primary-to-secondary failover.</w:t>
      </w:r>
      <w:r>
        <w:t xml:space="preserve"> </w:t>
      </w:r>
      <w:r>
        <w:t xml:space="preserve">This value comes from the last DR test, not from design estimates.</w:t>
      </w:r>
    </w:p>
    <w:p>
      <w:pPr>
        <w:pStyle w:val="Compact"/>
        <w:numPr>
          <w:ilvl w:val="0"/>
          <w:numId w:val="1010"/>
        </w:numPr>
      </w:pPr>
      <w:r>
        <w:rPr>
          <w:b/>
          <w:bCs/>
        </w:rPr>
        <w:t xml:space="preserve">Tested failover.</w:t>
      </w:r>
      <w:r>
        <w:t xml:space="preserve"> </w:t>
      </w:r>
      <w:r>
        <w:t xml:space="preserve">At least annually, execute an actual failover of at least one critical workload to the secondary region and document the elapsed time.</w:t>
      </w:r>
    </w:p>
    <w:p>
      <w:pPr>
        <w:pStyle w:val="FirstParagraph"/>
      </w:pPr>
      <w:r>
        <w:t xml:space="preserve">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pPr>
        <w:pStyle w:val="BodyText"/>
      </w:pPr>
      <w:r>
        <w:t xml:space="preserve">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pPr>
        <w:pStyle w:val="CaptionedFigure"/>
      </w:pPr>
      <w:r>
        <w:drawing>
          <wp:inline>
            <wp:extent cx="5334000" cy="2154115"/>
            <wp:effectExtent b="0" l="0" r="0" t="0"/>
            <wp:docPr descr="Alternate site topology: primary region to secondary region with DNS, SQL AG, SD-WAN failover paths" title="" id="46" name="Picture"/>
            <a:graphic>
              <a:graphicData uri="http://schemas.openxmlformats.org/drawingml/2006/picture">
                <pic:pic>
                  <pic:nvPicPr>
                    <pic:cNvPr descr="figs/bc-fig-03-alternate-site-topology.png" id="47" name="Picture"/>
                    <pic:cNvPicPr>
                      <a:picLocks noChangeArrowheads="1" noChangeAspect="1"/>
                    </pic:cNvPicPr>
                  </pic:nvPicPr>
                  <pic:blipFill>
                    <a:blip r:embed="rId4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Alternate site topology: primary region to secondary region with DNS, SQL AG, SD-WAN failover paths</w:t>
      </w:r>
    </w:p>
    <w:bookmarkEnd w:id="48"/>
    <w:bookmarkStart w:id="49" w:name="sql-server-alternate-processing"/>
    <w:p>
      <w:pPr>
        <w:pStyle w:val="Heading3"/>
      </w:pPr>
      <w:r>
        <w:t xml:space="preserve">6.2 SQL Server Alternate Processing</w:t>
      </w:r>
    </w:p>
    <w:p>
      <w:pPr>
        <w:pStyle w:val="FirstParagraph"/>
      </w:pPr>
      <w:r>
        <w:t xml:space="preserve">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pPr>
        <w:pStyle w:val="BodyText"/>
      </w:pPr>
      <w:r>
        <w:t xml:space="preserve">Document in the CP-2:</w:t>
      </w:r>
      <w:r>
        <w:t xml:space="preserve"> </w:t>
      </w:r>
      <w:r>
        <w:t xml:space="preserve">- Primary SQL instance: [server name, region, role: PRIMARY]</w:t>
      </w:r>
      <w:r>
        <w:t xml:space="preserve"> </w:t>
      </w:r>
      <w:r>
        <w:t xml:space="preserve">- Synchronous replica: [server name, region or availability zone, role: SYNCHRONOUS_SECONDARY]</w:t>
      </w:r>
      <w:r>
        <w:t xml:space="preserve"> </w:t>
      </w:r>
      <w:r>
        <w:t xml:space="preserve">- Asynchronous DR replica: [server name, region, role: ASYNCHRONOUS_SECONDARY]</w:t>
      </w:r>
      <w:r>
        <w:t xml:space="preserve"> </w:t>
      </w:r>
      <w:r>
        <w:t xml:space="preserve">- Last tested RTO for synchronous failover: [N minutes, from last test date]</w:t>
      </w:r>
      <w:r>
        <w:t xml:space="preserve"> </w:t>
      </w:r>
      <w:r>
        <w:t xml:space="preserve">- Last tested RTO for async DR failover (includes data integrity check): [N minutes, from last test date]</w:t>
      </w:r>
    </w:p>
    <w:bookmarkEnd w:id="49"/>
    <w:bookmarkStart w:id="50" w:name="network-and-sd-wan-alternate-processing"/>
    <w:p>
      <w:pPr>
        <w:pStyle w:val="Heading3"/>
      </w:pPr>
      <w:r>
        <w:t xml:space="preserve">6.3 Network and SD-WAN Alternate Processing</w:t>
      </w:r>
    </w:p>
    <w:p>
      <w:pPr>
        <w:pStyle w:val="FirstParagraph"/>
      </w:pPr>
      <w:r>
        <w:t xml:space="preserve">The SD-WAN dual-underlay architecture from Part 6 provides automatic alternate path selection that satisfies CP-7 for WAN connectivity. The alternate path is a capability of the overlay — the fabric probes both underlays continuously and steers traffic per class — not of the circuits underneath it. The critical documentation requirements:</w:t>
      </w:r>
    </w:p>
    <w:p>
      <w:pPr>
        <w:pStyle w:val="SourceCode"/>
      </w:pPr>
      <w:r>
        <w:rPr>
          <w:rStyle w:val="CommentTok"/>
        </w:rPr>
        <w:t xml:space="preserve"># Retrieve SD-WAN circuit status for CP-7 documentation</w:t>
      </w:r>
      <w:r>
        <w:br/>
      </w:r>
      <w:r>
        <w:rPr>
          <w:rStyle w:val="CommentTok"/>
        </w:rPr>
        <w:t xml:space="preserve"># Execute from the SD-WAN management platform API or CLI</w:t>
      </w:r>
      <w:r>
        <w:br/>
      </w:r>
      <w:r>
        <w:br/>
      </w:r>
      <w:r>
        <w:rPr>
          <w:rStyle w:val="CommentTok"/>
        </w:rPr>
        <w:t xml:space="preserve"># Example using generic REST API call to SD-WAN orchestrator</w:t>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VariableTok"/>
        </w:rPr>
        <w:t xml:space="preserve">$Circuits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/underlay/circuits"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$Circuit</w:t>
      </w:r>
      <w:r>
        <w:rPr>
          <w:rStyle w:val="NormalTok"/>
        </w:rPr>
        <w:t xml:space="preserve"> </w:t>
      </w:r>
      <w:r>
        <w:rPr>
          <w:rStyle w:val="KeywordTok"/>
        </w:rPr>
        <w:t xml:space="preserve">in</w:t>
      </w:r>
      <w:r>
        <w:rPr>
          <w:rStyle w:val="NormalTok"/>
        </w:rPr>
        <w:t xml:space="preserve"> </w:t>
      </w:r>
      <w:r>
        <w:rPr>
          <w:rStyle w:val="VariableTok"/>
        </w:rPr>
        <w:t xml:space="preserve">$Circuits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CircuitName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name</w:t>
      </w:r>
      <w:r>
        <w:br/>
      </w:r>
      <w:r>
        <w:rPr>
          <w:rStyle w:val="NormalTok"/>
        </w:rPr>
        <w:t xml:space="preserve">        Provider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provider</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type</w:t>
      </w:r>
      <w:r>
        <w:rPr>
          <w:rStyle w:val="NormalTok"/>
        </w:rPr>
        <w:t xml:space="preserve">          </w:t>
      </w:r>
      <w:r>
        <w:rPr>
          <w:rStyle w:val="CommentTok"/>
        </w:rPr>
        <w:t xml:space="preserve"># MPLS or DIA</w:t>
      </w:r>
      <w:r>
        <w:br/>
      </w:r>
      <w:r>
        <w:rPr>
          <w:rStyle w:val="NormalTok"/>
        </w:rPr>
        <w:t xml:space="preserve">        BandwidthMbps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bandwidth_mbps</w:t>
      </w:r>
      <w:r>
        <w:br/>
      </w:r>
      <w:r>
        <w:rPr>
          <w:rStyle w:val="NormalTok"/>
        </w:rPr>
        <w:t xml:space="preserve">        SLAUptimePct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sla</w:t>
      </w:r>
      <w:r>
        <w:rPr>
          <w:rStyle w:val="OperatorTok"/>
        </w:rPr>
        <w:t xml:space="preserve">.</w:t>
      </w:r>
      <w:r>
        <w:rPr>
          <w:rStyle w:val="FunctionTok"/>
        </w:rPr>
        <w:t xml:space="preserve">uptime_percent</w:t>
      </w:r>
      <w:r>
        <w:br/>
      </w:r>
      <w:r>
        <w:rPr>
          <w:rStyle w:val="NormalTok"/>
        </w:rPr>
        <w:t xml:space="preserve">        FailoverRole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failover_role</w:t>
      </w:r>
      <w:r>
        <w:rPr>
          <w:rStyle w:val="NormalTok"/>
        </w:rPr>
        <w:t xml:space="preserve">  </w:t>
      </w:r>
      <w:r>
        <w:rPr>
          <w:rStyle w:val="CommentTok"/>
        </w:rPr>
        <w:t xml:space="preserve"># PRIMARY or BACKUP</w:t>
      </w:r>
      <w:r>
        <w:br/>
      </w:r>
      <w:r>
        <w:rPr>
          <w:rStyle w:val="NormalTok"/>
        </w:rPr>
        <w:t xml:space="preserve">        LastTestedDate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last_tested</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The output of this command, run at the time of the annual test, becomes the CP-7 evidence exhibit for SD-WAN alternate processing documentation.</w:t>
      </w:r>
    </w:p>
    <w:bookmarkEnd w:id="50"/>
    <w:bookmarkStart w:id="51" w:name="amazon-connect-multi-region-failover"/>
    <w:p>
      <w:pPr>
        <w:pStyle w:val="Heading3"/>
      </w:pPr>
      <w:r>
        <w:t xml:space="preserve">6.4 Amazon Connect Multi-Region Failover</w:t>
      </w:r>
    </w:p>
    <w:p>
      <w:pPr>
        <w:pStyle w:val="FirstParagraph"/>
      </w:pPr>
      <w:r>
        <w:t xml:space="preserve">For cloud contact center platforms (such as the Amazon Connect deployment referenced in Part 6), CP-7 requires documented multi-region failover. The failover mechanism uses DNS-based health checks with automatic routing policy changes.</w:t>
      </w:r>
    </w:p>
    <w:p>
      <w:pPr>
        <w:pStyle w:val="SourceCode"/>
      </w:pPr>
      <w:r>
        <w:rPr>
          <w:rStyle w:val="CommentTok"/>
        </w:rPr>
        <w:t xml:space="preserve"># Validate Route 53 health check configuration for contact center failover</w:t>
      </w:r>
      <w:r>
        <w:br/>
      </w:r>
      <w:r>
        <w:rPr>
          <w:rStyle w:val="CommentTok"/>
        </w:rPr>
        <w:t xml:space="preserve"># Requires AWS Tools for PowerShell</w:t>
      </w:r>
      <w:r>
        <w:br/>
      </w:r>
      <w:r>
        <w:br/>
      </w:r>
      <w:r>
        <w:rPr>
          <w:rStyle w:val="FunctionTok"/>
        </w:rPr>
        <w:t xml:space="preserve">Import-Module</w:t>
      </w:r>
      <w:r>
        <w:rPr>
          <w:rStyle w:val="NormalTok"/>
        </w:rPr>
        <w:t xml:space="preserve"> AWSPowerShell</w:t>
      </w:r>
      <w:r>
        <w:rPr>
          <w:rStyle w:val="OperatorTok"/>
        </w:rPr>
        <w:t xml:space="preserve">.</w:t>
      </w:r>
      <w:r>
        <w:rPr>
          <w:rStyle w:val="FunctionTok"/>
        </w:rPr>
        <w:t xml:space="preserve">NetCore</w:t>
      </w:r>
      <w:r>
        <w:br/>
      </w:r>
      <w:r>
        <w:br/>
      </w:r>
      <w:r>
        <w:rPr>
          <w:rStyle w:val="VariableTok"/>
        </w:rPr>
        <w:t xml:space="preserve">$HealthChecks</w:t>
      </w:r>
      <w:r>
        <w:rPr>
          <w:rStyle w:val="NormalTok"/>
        </w:rPr>
        <w:t xml:space="preserve"> </w:t>
      </w:r>
      <w:r>
        <w:rPr>
          <w:rStyle w:val="OperatorTok"/>
        </w:rPr>
        <w:t xml:space="preserve">=</w:t>
      </w:r>
      <w:r>
        <w:rPr>
          <w:rStyle w:val="NormalTok"/>
        </w:rPr>
        <w:t xml:space="preserve"> Get-R53HealthCheck </w:t>
      </w:r>
      <w:r>
        <w:rPr>
          <w:rStyle w:val="OperatorTok"/>
        </w:rPr>
        <w:t xml:space="preserve">-</w:t>
      </w:r>
      <w:r>
        <w:rPr>
          <w:rStyle w:val="NormalTok"/>
        </w:rPr>
        <w:t xml:space="preserve">Region </w:t>
      </w:r>
      <w:r>
        <w:rPr>
          <w:rStyle w:val="StringTok"/>
        </w:rPr>
        <w:t xml:space="preserve">"us-east-1"</w:t>
      </w:r>
      <w:r>
        <w:br/>
      </w:r>
      <w:r>
        <w:rPr>
          <w:rStyle w:val="VariableTok"/>
        </w:rPr>
        <w:t xml:space="preserve">$ContactCenterHC</w:t>
      </w:r>
      <w:r>
        <w:rPr>
          <w:rStyle w:val="NormalTok"/>
        </w:rPr>
        <w:t xml:space="preserve"> </w:t>
      </w:r>
      <w:r>
        <w:rPr>
          <w:rStyle w:val="OperatorTok"/>
        </w:rPr>
        <w:t xml:space="preserve">=</w:t>
      </w:r>
      <w:r>
        <w:rPr>
          <w:rStyle w:val="NormalTok"/>
        </w:rPr>
        <w:t xml:space="preserve"> </w:t>
      </w:r>
      <w:r>
        <w:rPr>
          <w:rStyle w:val="VariableTok"/>
        </w:rPr>
        <w:t xml:space="preserve">$HealthChecks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rPr>
          <w:rStyle w:val="NormalTok"/>
        </w:rPr>
        <w:t xml:space="preserve"> </w:t>
      </w:r>
      <w:r>
        <w:rPr>
          <w:rStyle w:val="OperatorTok"/>
        </w:rPr>
        <w:t xml:space="preserve">-like</w:t>
      </w:r>
      <w:r>
        <w:rPr>
          <w:rStyle w:val="NormalTok"/>
        </w:rPr>
        <w:t xml:space="preserve"> </w:t>
      </w:r>
      <w:r>
        <w:rPr>
          <w:rStyle w:val="StringTok"/>
        </w:rPr>
        <w:t xml:space="preserve">"*contact-center*"</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$HC</w:t>
      </w:r>
      <w:r>
        <w:rPr>
          <w:rStyle w:val="NormalTok"/>
        </w:rPr>
        <w:t xml:space="preserve"> </w:t>
      </w:r>
      <w:r>
        <w:rPr>
          <w:rStyle w:val="KeywordTok"/>
        </w:rPr>
        <w:t xml:space="preserve">in</w:t>
      </w:r>
      <w:r>
        <w:rPr>
          <w:rStyle w:val="NormalTok"/>
        </w:rPr>
        <w:t xml:space="preserve"> </w:t>
      </w:r>
      <w:r>
        <w:rPr>
          <w:rStyle w:val="VariableTok"/>
        </w:rPr>
        <w:t xml:space="preserve">$ContactCenterHC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Get-R53HealthCheckStatus </w:t>
      </w:r>
      <w:r>
        <w:rPr>
          <w:rStyle w:val="OperatorTok"/>
        </w:rPr>
        <w:t xml:space="preserve">-</w:t>
      </w:r>
      <w:r>
        <w:rPr>
          <w:rStyle w:val="NormalTok"/>
        </w:rPr>
        <w:t xml:space="preserve">HealthCheckId </w:t>
      </w:r>
      <w:r>
        <w:rPr>
          <w:rStyle w:val="VariableTok"/>
        </w:rPr>
        <w:t xml:space="preserve">$HC</w:t>
      </w:r>
      <w:r>
        <w:rPr>
          <w:rStyle w:val="OperatorTok"/>
        </w:rPr>
        <w:t xml:space="preserve">.</w:t>
      </w:r>
      <w:r>
        <w:rPr>
          <w:rStyle w:val="FunctionTok"/>
        </w:rPr>
        <w:t xml:space="preserve">Id</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HealthCheckId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Id</w:t>
      </w:r>
      <w:r>
        <w:br/>
      </w:r>
      <w:r>
        <w:rPr>
          <w:rStyle w:val="NormalTok"/>
        </w:rPr>
        <w:t xml:space="preserve">        FQDN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br/>
      </w:r>
      <w:r>
        <w:rPr>
          <w:rStyle w:val="NormalTok"/>
        </w:rPr>
        <w:t xml:space="preserve">        Protocol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Type</w:t>
      </w:r>
      <w:r>
        <w:br/>
      </w:r>
      <w:r>
        <w:rPr>
          <w:rStyle w:val="NormalTok"/>
        </w:rPr>
        <w:t xml:space="preserve">        FailureThreshold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FailureThreshold</w:t>
      </w:r>
      <w:r>
        <w:br/>
      </w:r>
      <w:r>
        <w:rPr>
          <w:rStyle w:val="NormalTok"/>
        </w:rPr>
        <w:t xml:space="preserve">        CurrentStatus     </w:t>
      </w:r>
      <w:r>
        <w:rPr>
          <w:rStyle w:val="OperatorTok"/>
        </w:rPr>
        <w:t xml:space="preserve">=</w:t>
      </w:r>
      <w:r>
        <w:rPr>
          <w:rStyle w:val="NormalTok"/>
        </w:rPr>
        <w:t xml:space="preserve"> </w:t>
      </w:r>
      <w:r>
        <w:rPr>
          <w:rStyle w:val="OperatorTok"/>
        </w:rPr>
        <w:t xml:space="preserve">(</w:t>
      </w:r>
      <w:r>
        <w:rPr>
          <w:rStyle w:val="VariableTok"/>
        </w:rPr>
        <w:t xml:space="preserve">$Status</w:t>
      </w:r>
      <w:r>
        <w:rPr>
          <w:rStyle w:val="OperatorTok"/>
        </w:rPr>
        <w:t xml:space="preserve">.</w:t>
      </w:r>
      <w:r>
        <w:rPr>
          <w:rStyle w:val="FunctionTok"/>
        </w:rPr>
        <w:t xml:space="preserve">HealthCheckObservations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StatusReport</w:t>
      </w:r>
      <w:r>
        <w:rPr>
          <w:rStyle w:val="OperatorTok"/>
        </w:rPr>
        <w:t xml:space="preserve">.</w:t>
      </w:r>
      <w:r>
        <w:rPr>
          <w:rStyle w:val="FunctionTok"/>
        </w:rPr>
        <w:t xml:space="preserve">Status</w:t>
      </w:r>
      <w:r>
        <w:br/>
      </w:r>
      <w:r>
        <w:rPr>
          <w:rStyle w:val="NormalTok"/>
        </w:rPr>
        <w:t xml:space="preserve">    </w:t>
      </w:r>
      <w:r>
        <w:rPr>
          <w:rStyle w:val="OperatorTok"/>
        </w:rPr>
        <w:t xml:space="preserve">}</w:t>
      </w:r>
      <w:r>
        <w:br/>
      </w:r>
      <w:r>
        <w:rPr>
          <w:rStyle w:val="OperatorTok"/>
        </w:rPr>
        <w:t xml:space="preserve">}</w:t>
      </w:r>
    </w:p>
    <w:p>
      <w:pPr>
        <w:pStyle w:val="FirstParagraph"/>
      </w:pPr>
      <w:r>
        <w:t xml:space="preserve">Document the health check configuration, the DNS routing policy (failover routing with primary and secondary record sets), and the time-to-failover as observed in the last test.</w:t>
      </w:r>
    </w:p>
    <w:bookmarkEnd w:id="51"/>
    <w:bookmarkEnd w:id="52"/>
    <w:bookmarkStart w:id="56" w:name="X1e2dce85285bf2318ef29fde4d675e0cee187f6"/>
    <w:p>
      <w:pPr>
        <w:pStyle w:val="Heading2"/>
      </w:pPr>
      <w:r>
        <w:t xml:space="preserve">7 Telecommunications Service Redundancy (CP-8)</w:t>
      </w:r>
    </w:p>
    <w:bookmarkStart w:id="53" w:name="cp-8-requirements"/>
    <w:p>
      <w:pPr>
        <w:pStyle w:val="Heading3"/>
      </w:pPr>
      <w:r>
        <w:t xml:space="preserve">7.1 CP-8 Requirements</w:t>
      </w:r>
    </w:p>
    <w:p>
      <w:pPr>
        <w:pStyle w:val="FirstParagraph"/>
      </w:pPr>
      <w:r>
        <w:t xml:space="preserve">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bookmarkEnd w:id="53"/>
    <w:bookmarkStart w:id="54" w:name="X22870b288685406caf95d5c34a11931039236e1"/>
    <w:p>
      <w:pPr>
        <w:pStyle w:val="Heading3"/>
      </w:pPr>
      <w:r>
        <w:t xml:space="preserve">7.2 SD-WAN Dual Underlay as CP-8 Implementation</w:t>
      </w:r>
    </w:p>
    <w:p>
      <w:pPr>
        <w:pStyle w:val="FirstParagraph"/>
      </w:pPr>
      <w:r>
        <w:t xml:space="preserve">The SD-WAN architecture from Part 6 directly implements CP-8. The distinction that matters for the CP-2 documentation: the circuits supply capacity and physically separate paths; the</w:t>
      </w:r>
      <w:r>
        <w:t xml:space="preserve"> </w:t>
      </w:r>
      <w:r>
        <w:rPr>
          <w:i/>
          <w:iCs/>
        </w:rPr>
        <w:t xml:space="preserve">service redundancy</w:t>
      </w:r>
      <w:r>
        <w:t xml:space="preserve"> </w:t>
      </w:r>
      <w:r>
        <w:t xml:space="preserve">CP-8 asks for — detection, failover, and resumption of operations — is supplied by the overlay that governs them. The dual underlay consists of:</w:t>
      </w:r>
    </w:p>
    <w:p>
      <w:pPr>
        <w:pStyle w:val="BodyText"/>
      </w:pPr>
      <w:r>
        <w:rPr>
          <w:b/>
          <w:bCs/>
        </w:rPr>
        <w:t xml:space="preserve">Primary path (MPLS):</w:t>
      </w:r>
      <w:r>
        <w:t xml:space="preserve"> </w:t>
      </w:r>
      <w:r>
        <w:t xml:space="preserve">Carrier-grade MPLS circuit providing deterministic latency for voice and video traffic. Characteristics to document:</w:t>
      </w:r>
      <w:r>
        <w:t xml:space="preserve"> </w:t>
      </w:r>
      <w:r>
        <w:t xml:space="preserve">- Primary carrier name and circuit ID</w:t>
      </w:r>
      <w:r>
        <w:t xml:space="preserve"> </w:t>
      </w:r>
      <w:r>
        <w:t xml:space="preserve">- Committed bandwidth (upload/download)</w:t>
      </w:r>
      <w:r>
        <w:t xml:space="preserve"> </w:t>
      </w:r>
      <w:r>
        <w:t xml:space="preserve">- Committed latency and jitter SLA</w:t>
      </w:r>
      <w:r>
        <w:t xml:space="preserve"> </w:t>
      </w:r>
      <w:r>
        <w:t xml:space="preserve">- Contracted uptime SLA and MTTR</w:t>
      </w:r>
      <w:r>
        <w:t xml:space="preserve"> </w:t>
      </w:r>
      <w:r>
        <w:t xml:space="preserve">- NOC contact and escalation path</w:t>
      </w:r>
    </w:p>
    <w:p>
      <w:pPr>
        <w:pStyle w:val="BodyText"/>
      </w:pPr>
      <w:r>
        <w:rPr>
          <w:b/>
          <w:bCs/>
        </w:rPr>
        <w:t xml:space="preserve">Backup path (DIA — Direct Internet Access):</w:t>
      </w:r>
      <w:r>
        <w:t xml:space="preserve"> </w:t>
      </w:r>
      <w:r>
        <w:t xml:space="preserve">Broadband Internet circuit from a different provider. The circuit contributes exactly two things: bandwidth and a physically separate path. It becomes an alternate telecommunications</w:t>
      </w:r>
      <w:r>
        <w:t xml:space="preserve"> </w:t>
      </w:r>
      <w:r>
        <w:rPr>
          <w:i/>
          <w:iCs/>
        </w:rPr>
        <w:t xml:space="preserve">service</w:t>
      </w:r>
      <w:r>
        <w:t xml:space="preserve"> </w:t>
      </w:r>
      <w:r>
        <w:t xml:space="preserve">in the CP-8 sense only because the SD-WAN overlay probes it continuously, encrypts it, and can steer per-class traffic onto it when MPLS degrades — a second circuit without the overlay is added bandwidth, not added resilience. Characteristics to document:</w:t>
      </w:r>
      <w:r>
        <w:t xml:space="preserve"> </w:t>
      </w:r>
      <w:r>
        <w:t xml:space="preserve">- Backup carrier name and circuit ID</w:t>
      </w:r>
      <w:r>
        <w:t xml:space="preserve"> </w:t>
      </w:r>
      <w:r>
        <w:t xml:space="preserve">- Committed bandwidth</w:t>
      </w:r>
      <w:r>
        <w:t xml:space="preserve"> </w:t>
      </w:r>
      <w:r>
        <w:t xml:space="preserve">- Best-effort latency characteristics</w:t>
      </w:r>
      <w:r>
        <w:t xml:space="preserve"> </w:t>
      </w:r>
      <w:r>
        <w:t xml:space="preserve">- NOC contact and escalation path</w:t>
      </w:r>
      <w:r>
        <w:t xml:space="preserve"> </w:t>
      </w:r>
      <w:r>
        <w:t xml:space="preserve">- Physical path separation from primary circuit (verify that backup circuit does not share physical infrastructure at the building entry point or regional exchange)</w:t>
      </w:r>
    </w:p>
    <w:p>
      <w:pPr>
        <w:pStyle w:val="BodyText"/>
      </w:pPr>
      <w:r>
        <w:rPr>
          <w:b/>
          <w:bCs/>
        </w:rPr>
        <w:t xml:space="preserve">Automatic failover.</w:t>
      </w:r>
      <w:r>
        <w:t xml:space="preserve"> </w:t>
      </w:r>
      <w:r>
        <w:t xml:space="preserve">The SD-WAN fabric runs both underlays active-active and measures each continuously — BFD (Bidirectional Forwarding Detection) or equivalent liveness detection, plus per-path probes for packet loss, latency, and jitter. When the primary path degrades below configured thresholds, the overlay steers traffic to the backup path without manual intervention; for brownout conditions caught by the probes, per-class steering completes in under a second, with the overlay resequencing packets and moving voice and transaction classes first. The failover detection and cutover time is configurable and must be documented from observation, not from the datasheet. This paragraph is where the CP-8 capability actually lives: failover, resequencing, and per-class path policy are overlay functions. The circuits beneath them are interchangeable capacity.</w:t>
      </w:r>
    </w:p>
    <w:p>
      <w:pPr>
        <w:pStyle w:val="BlockText"/>
      </w:pPr>
      <w:r>
        <w:rPr>
          <w:b/>
          <w:bCs/>
        </w:rPr>
        <w:t xml:space="preserve">Closure Necessity — CP-8 on the dual underlay.</w:t>
      </w:r>
      <w:r>
        <w:t xml:space="preserve"> </w:t>
      </w:r>
      <w:r>
        <w:t xml:space="preserve">Most of the CP family closes with authored artifacts, not technology: CP-2 is a signed plan, CP-3 is a training record, CP-4 is a documented test. No network purchase produces any of those, and this document exists precisely because infrastructure alone cannot. CP-8 is the one place in the family where the mechanism matters. The control requires alternate telecommunications services that support</w:t>
      </w:r>
      <w:r>
        <w:t xml:space="preserve"> </w:t>
      </w:r>
      <w:r>
        <w:rPr>
          <w:i/>
          <w:iCs/>
        </w:rPr>
        <w:t xml:space="preserve">resumption of operations</w:t>
      </w:r>
      <w:r>
        <w:t xml:space="preserve"> </w:t>
      </w:r>
      <w:r>
        <w:t xml:space="preserve">within the RTO. Two circuits from two carriers satisfy the</w:t>
      </w:r>
      <w:r>
        <w:t xml:space="preserve"> </w:t>
      </w:r>
      <w:r>
        <w:t xml:space="preserve">“alternate services”</w:t>
      </w:r>
      <w:r>
        <w:t xml:space="preserve"> </w:t>
      </w:r>
      <w:r>
        <w:t xml:space="preserve">clause on paper; by themselves they resume nothing. Traditional dual-homing fails over on routing-protocol reconvergence — tens of seconds to minutes, all-or-nothing, with no per-class policy and no recorded evidence of path health — against a 15-minute RTO and a 30-minute MTD for the network layer. The mechanism that makes the alternate service resume operations inside that budget is SD-WAN active-active multipath: probe-driven path selection, sub-second steering on brownout, and per-class path policy. A second DIA circuit without the overlay adds bandwidth, not resilience.</w:t>
      </w:r>
    </w:p>
    <w:p>
      <w:pPr>
        <w:pStyle w:val="SourceCode"/>
      </w:pPr>
      <w:r>
        <w:rPr>
          <w:rStyle w:val="CommentTok"/>
        </w:rPr>
        <w:t xml:space="preserve"># Query SD-WAN path quality metrics for CP-8 documentation</w:t>
      </w:r>
      <w:r>
        <w:br/>
      </w:r>
      <w:r>
        <w:rPr>
          <w:rStyle w:val="CommentTok"/>
        </w:rPr>
        <w:t xml:space="preserve"># Retrieves real-time and historical path quality from orchestrator</w:t>
      </w:r>
      <w:r>
        <w:br/>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CommentTok"/>
        </w:rPr>
        <w:t xml:space="preserve"># Get current path status for each edge site</w:t>
      </w:r>
      <w:r>
        <w:br/>
      </w:r>
      <w:r>
        <w:rPr>
          <w:rStyle w:val="VariableTok"/>
        </w:rPr>
        <w:t xml:space="preserve">$Sites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$Site</w:t>
      </w:r>
      <w:r>
        <w:rPr>
          <w:rStyle w:val="NormalTok"/>
        </w:rPr>
        <w:t xml:space="preserve"> </w:t>
      </w:r>
      <w:r>
        <w:rPr>
          <w:rStyle w:val="KeywordTok"/>
        </w:rPr>
        <w:t xml:space="preserve">in</w:t>
      </w:r>
      <w:r>
        <w:rPr>
          <w:rStyle w:val="NormalTok"/>
        </w:rPr>
        <w:t xml:space="preserve"> </w:t>
      </w:r>
      <w:r>
        <w:rPr>
          <w:rStyle w:val="VariableTok"/>
        </w:rPr>
        <w:t xml:space="preserve">$Sites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$PathStatus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OperatorTok"/>
        </w:rPr>
        <w:t xml:space="preserve">$(</w:t>
      </w:r>
      <w:r>
        <w:rPr>
          <w:rStyle w:val="VariableTok"/>
        </w:rPr>
        <w:t xml:space="preserve">$Site</w:t>
      </w:r>
      <w:r>
        <w:rPr>
          <w:rStyle w:val="OperatorTok"/>
        </w:rPr>
        <w:t xml:space="preserve">.</w:t>
      </w:r>
      <w:r>
        <w:rPr>
          <w:rStyle w:val="FunctionTok"/>
        </w:rPr>
        <w:t xml:space="preserve">id</w:t>
      </w:r>
      <w:r>
        <w:rPr>
          <w:rStyle w:val="OperatorTok"/>
        </w:rPr>
        <w:t xml:space="preserve">)</w:t>
      </w:r>
      <w:r>
        <w:rPr>
          <w:rStyle w:val="StringTok"/>
        </w:rPr>
        <w:t xml:space="preserve">/path-quality"</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$Path</w:t>
      </w:r>
      <w:r>
        <w:rPr>
          <w:rStyle w:val="NormalTok"/>
        </w:rPr>
        <w:t xml:space="preserve"> </w:t>
      </w:r>
      <w:r>
        <w:rPr>
          <w:rStyle w:val="KeywordTok"/>
        </w:rPr>
        <w:t xml:space="preserve">in</w:t>
      </w:r>
      <w:r>
        <w:rPr>
          <w:rStyle w:val="NormalTok"/>
        </w:rPr>
        <w:t xml:space="preserve"> </w:t>
      </w:r>
      <w:r>
        <w:rPr>
          <w:rStyle w:val="VariableTok"/>
        </w:rPr>
        <w:t xml:space="preserve">$PathStatus</w:t>
      </w:r>
      <w:r>
        <w:rPr>
          <w:rStyle w:val="OperatorTok"/>
        </w:rPr>
        <w:t xml:space="preserve">.</w:t>
      </w:r>
      <w:r>
        <w:rPr>
          <w:rStyle w:val="FunctionTok"/>
        </w:rPr>
        <w:t xml:space="preserve">paths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Site            </w:t>
      </w:r>
      <w:r>
        <w:rPr>
          <w:rStyle w:val="OperatorTok"/>
        </w:rPr>
        <w:t xml:space="preserve">=</w:t>
      </w:r>
      <w:r>
        <w:rPr>
          <w:rStyle w:val="NormalTok"/>
        </w:rPr>
        <w:t xml:space="preserve"> </w:t>
      </w:r>
      <w:r>
        <w:rPr>
          <w:rStyle w:val="VariableTok"/>
        </w:rPr>
        <w:t xml:space="preserve">$Site</w:t>
      </w:r>
      <w:r>
        <w:rPr>
          <w:rStyle w:val="OperatorTok"/>
        </w:rPr>
        <w:t xml:space="preserve">.</w:t>
      </w:r>
      <w:r>
        <w:rPr>
          <w:rStyle w:val="FunctionTok"/>
        </w:rPr>
        <w:t xml:space="preserve">name</w:t>
      </w:r>
      <w:r>
        <w:br/>
      </w:r>
      <w:r>
        <w:rPr>
          <w:rStyle w:val="NormalTok"/>
        </w:rPr>
        <w:t xml:space="preserve">            PathName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name</w:t>
      </w:r>
      <w:r>
        <w:br/>
      </w:r>
      <w:r>
        <w:rPr>
          <w:rStyle w:val="NormalTok"/>
        </w:rPr>
        <w:t xml:space="preserve">            Underlay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underlay_type</w:t>
      </w:r>
      <w:r>
        <w:rPr>
          <w:rStyle w:val="NormalTok"/>
        </w:rPr>
        <w:t xml:space="preserve">    </w:t>
      </w:r>
      <w:r>
        <w:rPr>
          <w:rStyle w:val="CommentTok"/>
        </w:rPr>
        <w:t xml:space="preserve"># MPLS or BROADBAND</w:t>
      </w:r>
      <w:r>
        <w:br/>
      </w:r>
      <w:r>
        <w:rPr>
          <w:rStyle w:val="NormalTok"/>
        </w:rPr>
        <w:t xml:space="preserve">            State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state</w:t>
      </w:r>
      <w:r>
        <w:rPr>
          <w:rStyle w:val="NormalTok"/>
        </w:rPr>
        <w:t xml:space="preserve">            </w:t>
      </w:r>
      <w:r>
        <w:rPr>
          <w:rStyle w:val="CommentTok"/>
        </w:rPr>
        <w:t xml:space="preserve"># UP or DOWN</w:t>
      </w:r>
      <w:r>
        <w:br/>
      </w:r>
      <w:r>
        <w:rPr>
          <w:rStyle w:val="NormalTok"/>
        </w:rPr>
        <w:t xml:space="preserve">            LossPercent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loss_pct</w:t>
      </w:r>
      <w:r>
        <w:br/>
      </w:r>
      <w:r>
        <w:rPr>
          <w:rStyle w:val="NormalTok"/>
        </w:rPr>
        <w:t xml:space="preserve">            LatencyMs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latency_ms</w:t>
      </w:r>
      <w:r>
        <w:br/>
      </w:r>
      <w:r>
        <w:rPr>
          <w:rStyle w:val="NormalTok"/>
        </w:rPr>
        <w:t xml:space="preserve">            JitterMs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jitter_ms</w:t>
      </w:r>
      <w:r>
        <w:br/>
      </w:r>
      <w:r>
        <w:rPr>
          <w:rStyle w:val="NormalTok"/>
        </w:rPr>
        <w:t xml:space="preserve">            ActiveForTraffic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is_active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bookmarkEnd w:id="54"/>
    <w:bookmarkStart w:id="55" w:name="cp-8-documentation-block-for-cp-2"/>
    <w:p>
      <w:pPr>
        <w:pStyle w:val="Heading3"/>
      </w:pPr>
      <w:r>
        <w:t xml:space="preserve">7.3 CP-8 Documentation Block for CP-2</w:t>
      </w:r>
    </w:p>
    <w:p>
      <w:pPr>
        <w:pStyle w:val="FirstParagraph"/>
      </w:pPr>
      <w:r>
        <w:t xml:space="preserve">Include the following table in Section 2 or as a dedicated subsection of Section 5 in the CP-2:</w:t>
      </w:r>
    </w:p>
    <w:p>
      <w:pPr>
        <w:pStyle w:val="TableCaption"/>
      </w:pPr>
      <w:r>
        <w:t xml:space="preserve">CP-8 Telecommunications Circuit Inventory</w:t>
      </w:r>
    </w:p>
    <w:tbl>
      <w:tblPr>
        <w:tblStyle w:val="Table"/>
        <w:tblW w:type="pct" w:w="5000"/>
        <w:tblLayout w:type="fixed"/>
        <w:tblLook w:firstRow="1" w:lastRow="0" w:firstColumn="0" w:lastColumn="0" w:noHBand="0" w:noVBand="0" w:val="0020"/>
        <w:tblCaption w:val="CP-8 Telecommunications Circuit Inventory"/>
      </w:tblPr>
      <w:tblGrid>
        <w:gridCol w:w="1320"/>
        <w:gridCol w:w="1320"/>
        <w:gridCol w:w="1320"/>
        <w:gridCol w:w="1320"/>
        <w:gridCol w:w="1320"/>
        <w:gridCol w:w="1320"/>
      </w:tblGrid>
      <w:tr>
        <w:trPr>
          <w:tblHeader w:val="on"/>
        </w:trPr>
        <w:tc>
          <w:tcPr/>
          <w:p>
            <w:pPr>
              <w:pStyle w:val="Compact"/>
            </w:pPr>
            <w:r>
              <w:t xml:space="preserve">Circuit</w:t>
            </w:r>
          </w:p>
        </w:tc>
        <w:tc>
          <w:tcPr/>
          <w:p>
            <w:pPr>
              <w:pStyle w:val="Compact"/>
            </w:pPr>
            <w:r>
              <w:t xml:space="preserve">Provider</w:t>
            </w:r>
          </w:p>
        </w:tc>
        <w:tc>
          <w:tcPr/>
          <w:p>
            <w:pPr>
              <w:pStyle w:val="Compact"/>
            </w:pPr>
            <w:r>
              <w:t xml:space="preserve">Type</w:t>
            </w:r>
          </w:p>
        </w:tc>
        <w:tc>
          <w:tcPr/>
          <w:p>
            <w:pPr>
              <w:pStyle w:val="Compact"/>
            </w:pPr>
            <w:r>
              <w:t xml:space="preserve">Bandwidth</w:t>
            </w:r>
          </w:p>
        </w:tc>
        <w:tc>
          <w:tcPr/>
          <w:p>
            <w:pPr>
              <w:pStyle w:val="Compact"/>
            </w:pPr>
            <w:r>
              <w:t xml:space="preserve">SLA Uptime</w:t>
            </w:r>
          </w:p>
        </w:tc>
        <w:tc>
          <w:tcPr/>
          <w:p>
            <w:pPr>
              <w:pStyle w:val="Compact"/>
            </w:pPr>
            <w:r>
              <w:t xml:space="preserve">CP-8 Role</w:t>
            </w:r>
          </w:p>
        </w:tc>
      </w:tr>
      <w:tr>
        <w:tc>
          <w:tcPr/>
          <w:p>
            <w:pPr>
              <w:pStyle w:val="Compact"/>
            </w:pPr>
            <w:r>
              <w:t xml:space="preserve">MPLS-PRIMARY-01</w:t>
            </w:r>
          </w:p>
        </w:tc>
        <w:tc>
          <w:tcPr/>
          <w:p>
            <w:pPr>
              <w:pStyle w:val="Compact"/>
            </w:pPr>
            <w:r>
              <w:t xml:space="preserve">[Carrier A]</w:t>
            </w:r>
          </w:p>
        </w:tc>
        <w:tc>
          <w:tcPr/>
          <w:p>
            <w:pPr>
              <w:pStyle w:val="Compact"/>
            </w:pPr>
            <w:r>
              <w:t xml:space="preserve">MPLS</w:t>
            </w:r>
          </w:p>
        </w:tc>
        <w:tc>
          <w:tcPr/>
          <w:p>
            <w:pPr>
              <w:pStyle w:val="Compact"/>
            </w:pPr>
            <w:r>
              <w:t xml:space="preserve">[N] Mbps symmetrical</w:t>
            </w:r>
          </w:p>
        </w:tc>
        <w:tc>
          <w:tcPr/>
          <w:p>
            <w:pPr>
              <w:pStyle w:val="Compact"/>
            </w:pPr>
            <w:r>
              <w:t xml:space="preserve">99.9%</w:t>
            </w:r>
          </w:p>
        </w:tc>
        <w:tc>
          <w:tcPr/>
          <w:p>
            <w:pPr>
              <w:pStyle w:val="Compact"/>
            </w:pPr>
            <w:r>
              <w:t xml:space="preserve">Primary</w:t>
            </w:r>
          </w:p>
        </w:tc>
      </w:tr>
      <w:tr>
        <w:tc>
          <w:tcPr/>
          <w:p>
            <w:pPr>
              <w:pStyle w:val="Compact"/>
            </w:pPr>
            <w:r>
              <w:t xml:space="preserve">DIA-BACKUP-01</w:t>
            </w:r>
          </w:p>
        </w:tc>
        <w:tc>
          <w:tcPr/>
          <w:p>
            <w:pPr>
              <w:pStyle w:val="Compact"/>
            </w:pPr>
            <w:r>
              <w:t xml:space="preserve">[Carrier B]</w:t>
            </w:r>
          </w:p>
        </w:tc>
        <w:tc>
          <w:tcPr/>
          <w:p>
            <w:pPr>
              <w:pStyle w:val="Compact"/>
            </w:pPr>
            <w:r>
              <w:t xml:space="preserve">Broadband Internet</w:t>
            </w:r>
          </w:p>
        </w:tc>
        <w:tc>
          <w:tcPr/>
          <w:p>
            <w:pPr>
              <w:pStyle w:val="Compact"/>
            </w:pPr>
            <w:r>
              <w:t xml:space="preserve">[N] Mbps / [N] Mbps</w:t>
            </w:r>
          </w:p>
        </w:tc>
        <w:tc>
          <w:tcPr/>
          <w:p>
            <w:pPr>
              <w:pStyle w:val="Compact"/>
            </w:pPr>
            <w:r>
              <w:t xml:space="preserve">99.5%</w:t>
            </w:r>
          </w:p>
        </w:tc>
        <w:tc>
          <w:tcPr/>
          <w:p>
            <w:pPr>
              <w:pStyle w:val="Compact"/>
            </w:pPr>
            <w:r>
              <w:t xml:space="preserve">Backup (overlay-steered automatic failover)</w:t>
            </w:r>
          </w:p>
        </w:tc>
      </w:tr>
      <w:tr>
        <w:tc>
          <w:tcPr/>
          <w:p>
            <w:pPr>
              <w:pStyle w:val="Compact"/>
            </w:pPr>
            <w:r>
              <w:t xml:space="preserve">OOB-MGMT</w:t>
            </w:r>
          </w:p>
        </w:tc>
        <w:tc>
          <w:tcPr/>
          <w:p>
            <w:pPr>
              <w:pStyle w:val="Compact"/>
            </w:pPr>
            <w:r>
              <w:t xml:space="preserve">[Carrier C]</w:t>
            </w:r>
          </w:p>
        </w:tc>
        <w:tc>
          <w:tcPr/>
          <w:p>
            <w:pPr>
              <w:pStyle w:val="Compact"/>
            </w:pPr>
            <w:r>
              <w:t xml:space="preserve">LTE/cellular</w:t>
            </w:r>
          </w:p>
        </w:tc>
        <w:tc>
          <w:tcPr/>
          <w:p>
            <w:pPr>
              <w:pStyle w:val="Compact"/>
            </w:pPr>
            <w:r>
              <w:t xml:space="preserve">[N] Mbps / [N] Mbps</w:t>
            </w:r>
          </w:p>
        </w:tc>
        <w:tc>
          <w:tcPr/>
          <w:p>
            <w:pPr>
              <w:pStyle w:val="Compact"/>
            </w:pPr>
            <w:r>
              <w:t xml:space="preserve">Best effort</w:t>
            </w:r>
          </w:p>
        </w:tc>
        <w:tc>
          <w:tcPr/>
          <w:p>
            <w:pPr>
              <w:pStyle w:val="Compact"/>
            </w:pPr>
            <w:r>
              <w:t xml:space="preserve">Out-of-band management only</w:t>
            </w:r>
          </w:p>
        </w:tc>
      </w:tr>
    </w:tbl>
    <w:p>
      <w:pPr>
        <w:pStyle w:val="BodyText"/>
      </w:pPr>
      <w:r>
        <w:rPr>
          <w:b/>
          <w:bCs/>
        </w:rPr>
        <w:t xml:space="preserve">Failover detection threshold:</w:t>
      </w:r>
      <w:r>
        <w:t xml:space="preserve"> </w:t>
      </w:r>
      <w:r>
        <w:t xml:space="preserve">[N] ms latency or [N]% packet loss sustained for [N] seconds.</w:t>
      </w:r>
    </w:p>
    <w:p>
      <w:pPr>
        <w:pStyle w:val="BodyText"/>
      </w:pPr>
      <w:r>
        <w:rPr>
          <w:b/>
          <w:bCs/>
        </w:rPr>
        <w:t xml:space="preserve">Failover cutover time (observed in last test):</w:t>
      </w:r>
      <w:r>
        <w:t xml:space="preserve"> </w:t>
      </w:r>
      <w:r>
        <w:t xml:space="preserve">[N] seconds.</w:t>
      </w:r>
    </w:p>
    <w:p>
      <w:pPr>
        <w:pStyle w:val="BodyText"/>
      </w:pPr>
      <w:r>
        <w:rPr>
          <w:b/>
          <w:bCs/>
        </w:rPr>
        <w:t xml:space="preserve">Priority-of-service provision:</w:t>
      </w:r>
      <w:r>
        <w:t xml:space="preserve"> </w:t>
      </w:r>
      <w:r>
        <w:t xml:space="preserve">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bookmarkEnd w:id="55"/>
    <w:bookmarkEnd w:id="56"/>
    <w:bookmarkStart w:id="61" w:name="contingency-plan-testing-cp-4"/>
    <w:p>
      <w:pPr>
        <w:pStyle w:val="Heading2"/>
      </w:pPr>
      <w:r>
        <w:t xml:space="preserve">8 Contingency Plan Testing (CP-4)</w:t>
      </w:r>
    </w:p>
    <w:bookmarkStart w:id="57" w:name="what-fedramp-assessors-expect"/>
    <w:p>
      <w:pPr>
        <w:pStyle w:val="Heading3"/>
      </w:pPr>
      <w:r>
        <w:t xml:space="preserve">8.1 What FedRAMP Assessors Expect</w:t>
      </w:r>
    </w:p>
    <w:p>
      <w:pPr>
        <w:pStyle w:val="FirstParagraph"/>
      </w:pPr>
      <w:r>
        <w:t xml:space="preserve">CP-4 requires annual testing of the contingency plan. At Moderate baseline, FedRAMP accepts tabletop exercises as the minimum, with functional testing required for critical systems. What assessors specifically look for:</w:t>
      </w:r>
    </w:p>
    <w:p>
      <w:pPr>
        <w:pStyle w:val="Compact"/>
        <w:numPr>
          <w:ilvl w:val="0"/>
          <w:numId w:val="1011"/>
        </w:numPr>
      </w:pPr>
      <w:r>
        <w:rPr>
          <w:b/>
          <w:bCs/>
        </w:rPr>
        <w:t xml:space="preserve">Test plan:</w:t>
      </w:r>
      <w:r>
        <w:t xml:space="preserve"> </w:t>
      </w:r>
      <w:r>
        <w:t xml:space="preserve">a document prepared before the test that defines the scenario, objectives, participants, schedule, and metrics</w:t>
      </w:r>
    </w:p>
    <w:p>
      <w:pPr>
        <w:pStyle w:val="Compact"/>
        <w:numPr>
          <w:ilvl w:val="0"/>
          <w:numId w:val="1011"/>
        </w:numPr>
      </w:pPr>
      <w:r>
        <w:rPr>
          <w:b/>
          <w:bCs/>
        </w:rPr>
        <w:t xml:space="preserve">Test execution record:</w:t>
      </w:r>
      <w:r>
        <w:t xml:space="preserve"> </w:t>
      </w:r>
      <w:r>
        <w:t xml:space="preserve">evidence that the test actually happened — sign-in sheet or meeting record, completed test script with pass/fail for each step, metrics collected during the exercise</w:t>
      </w:r>
    </w:p>
    <w:p>
      <w:pPr>
        <w:pStyle w:val="Compact"/>
        <w:numPr>
          <w:ilvl w:val="0"/>
          <w:numId w:val="1011"/>
        </w:numPr>
      </w:pPr>
      <w:r>
        <w:rPr>
          <w:b/>
          <w:bCs/>
        </w:rPr>
        <w:t xml:space="preserve">Lessons learned:</w:t>
      </w:r>
      <w:r>
        <w:t xml:space="preserve"> </w:t>
      </w:r>
      <w:r>
        <w:t xml:space="preserve">a list of findings from the test, categorized by severity</w:t>
      </w:r>
    </w:p>
    <w:p>
      <w:pPr>
        <w:pStyle w:val="Compact"/>
        <w:numPr>
          <w:ilvl w:val="0"/>
          <w:numId w:val="1011"/>
        </w:numPr>
      </w:pPr>
      <w:r>
        <w:rPr>
          <w:b/>
          <w:bCs/>
        </w:rPr>
        <w:t xml:space="preserve">Plan update:</w:t>
      </w:r>
      <w:r>
        <w:t xml:space="preserve"> </w:t>
      </w:r>
      <w:r>
        <w:t xml:space="preserve">evidence that the CP-2 was updated to reflect lessons learned from the test</w:t>
      </w:r>
    </w:p>
    <w:p>
      <w:pPr>
        <w:pStyle w:val="FirstParagraph"/>
      </w:pPr>
      <w:r>
        <w:t xml:space="preserve">Assessors are suspicious of clean test results. A tabletop that produces zero findings is more likely to indicate an inadequate scenario than a perfectly prepared team. Include at least one deliberate complication in each test (a key team member is</w:t>
      </w:r>
      <w:r>
        <w:t xml:space="preserve"> </w:t>
      </w:r>
      <w:r>
        <w:t xml:space="preserve">“unavailable,”</w:t>
      </w:r>
      <w:r>
        <w:t xml:space="preserve"> </w:t>
      </w:r>
      <w:r>
        <w:t xml:space="preserve">a contact number in the notification tree is</w:t>
      </w:r>
      <w:r>
        <w:t xml:space="preserve"> </w:t>
      </w:r>
      <w:r>
        <w:t xml:space="preserve">“wrong,”</w:t>
      </w:r>
      <w:r>
        <w:t xml:space="preserve"> </w:t>
      </w:r>
      <w:r>
        <w:t xml:space="preserve">the backup storage site credential has</w:t>
      </w:r>
      <w:r>
        <w:t xml:space="preserve"> </w:t>
      </w:r>
      <w:r>
        <w:t xml:space="preserve">“expired”</w:t>
      </w:r>
      <w:r>
        <w:t xml:space="preserve">) to surface realistic gaps.</w:t>
      </w:r>
    </w:p>
    <w:bookmarkEnd w:id="57"/>
    <w:bookmarkStart w:id="58" w:name="annual-test-cycle"/>
    <w:p>
      <w:pPr>
        <w:pStyle w:val="Heading3"/>
      </w:pPr>
      <w:r>
        <w:t xml:space="preserve">8.2 Annual Test Cycle</w:t>
      </w:r>
    </w:p>
    <w:p>
      <w:pPr>
        <w:pStyle w:val="FirstParagraph"/>
      </w:pPr>
      <w:r>
        <w:rPr>
          <w:b/>
          <w:bCs/>
        </w:rPr>
        <w:t xml:space="preserve">Year 1 (Initial): Tabletop Exercise.</w:t>
      </w:r>
      <w:r>
        <w:t xml:space="preserve"> </w:t>
      </w:r>
      <w:r>
        <w:t xml:space="preserve">Suitable for a newly created contingency plan. Use the scenario and agenda below.</w:t>
      </w:r>
    </w:p>
    <w:p>
      <w:pPr>
        <w:pStyle w:val="BodyText"/>
      </w:pPr>
      <w:r>
        <w:rPr>
          <w:b/>
          <w:bCs/>
        </w:rPr>
        <w:t xml:space="preserve">Year 2: Functional Test.</w:t>
      </w:r>
      <w:r>
        <w:t xml:space="preserve"> </w:t>
      </w:r>
      <w:r>
        <w:t xml:space="preserve">Requires actually failing over at least one critical system to the alternate site and measuring recovery time against the documented RTO.</w:t>
      </w:r>
    </w:p>
    <w:p>
      <w:pPr>
        <w:pStyle w:val="BodyText"/>
      </w:pPr>
      <w:r>
        <w:rPr>
          <w:b/>
          <w:bCs/>
        </w:rPr>
        <w:t xml:space="preserve">Year 3: Full Recovery Test.</w:t>
      </w:r>
      <w:r>
        <w:t xml:space="preserve"> </w:t>
      </w:r>
      <w:r>
        <w:t xml:space="preserve">Recommend for agencies with high-criticality systems. Simulate complete loss of the primary site and execute all Section 5 recovery procedures in sequence.</w:t>
      </w:r>
    </w:p>
    <w:p>
      <w:pPr>
        <w:pStyle w:val="BodyText"/>
      </w:pPr>
      <w:r>
        <w:t xml:space="preserve">Return to Year 1 after a Year 3 full recovery test, or after a major architecture change that resets the test baseline.</w:t>
      </w:r>
    </w:p>
    <w:bookmarkEnd w:id="58"/>
    <w:bookmarkStart w:id="59" w:name="tabletop-exercise-ransomware-scenario"/>
    <w:p>
      <w:pPr>
        <w:pStyle w:val="Heading3"/>
      </w:pPr>
      <w:r>
        <w:t xml:space="preserve">8.3 Tabletop Exercise: Ransomware Scenario</w:t>
      </w:r>
    </w:p>
    <w:p>
      <w:pPr>
        <w:pStyle w:val="FirstParagraph"/>
      </w:pPr>
      <w:r>
        <w:rPr>
          <w:b/>
          <w:bCs/>
        </w:rPr>
        <w:t xml:space="preserve">Scenario.</w:t>
      </w:r>
      <w:r>
        <w:t xml:space="preserve"> </w:t>
      </w:r>
      <w:r>
        <w:t xml:space="preserve">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pPr>
        <w:pStyle w:val="BodyText"/>
      </w:pPr>
      <w:r>
        <w:rPr>
          <w:b/>
          <w:bCs/>
        </w:rPr>
        <w:t xml:space="preserve">Objectives.</w:t>
      </w:r>
      <w:r>
        <w:t xml:space="preserve"> </w:t>
      </w:r>
      <w:r>
        <w:t xml:space="preserve">1. Practice the activation and notification procedures from Section 4</w:t>
      </w:r>
      <w:r>
        <w:t xml:space="preserve"> </w:t>
      </w:r>
      <w:r>
        <w:t xml:space="preserve">2. Identify which recovery procedures from Section 5 would be invoked, in what order</w:t>
      </w:r>
      <w:r>
        <w:t xml:space="preserve"> </w:t>
      </w:r>
      <w:r>
        <w:t xml:space="preserve">3. Surface gaps in the notification tree and contact roster</w:t>
      </w:r>
      <w:r>
        <w:t xml:space="preserve"> </w:t>
      </w:r>
      <w:r>
        <w:t xml:space="preserve">4. Exercise the decision to fail over to async DR replica (accepting data loss up to RPO)</w:t>
      </w:r>
      <w:r>
        <w:t xml:space="preserve"> </w:t>
      </w:r>
      <w:r>
        <w:t xml:space="preserve">5. Practice the management update briefing format</w:t>
      </w:r>
    </w:p>
    <w:p>
      <w:pPr>
        <w:pStyle w:val="BodyText"/>
      </w:pPr>
      <w:r>
        <w:rPr>
          <w:b/>
          <w:bCs/>
        </w:rPr>
        <w:t xml:space="preserve">Agenda (2 hours).</w:t>
      </w:r>
    </w:p>
    <w:p>
      <w:pPr>
        <w:pStyle w:val="TableCaption"/>
      </w:pPr>
      <w:r>
        <w:t xml:space="preserve">Tabletop Exercise Agenda</w:t>
      </w:r>
    </w:p>
    <w:tbl>
      <w:tblPr>
        <w:tblStyle w:val="Table"/>
        <w:tblW w:type="pct" w:w="5000"/>
        <w:tblLayout w:type="fixed"/>
        <w:tblLook w:firstRow="1" w:lastRow="0" w:firstColumn="0" w:lastColumn="0" w:noHBand="0" w:noVBand="0" w:val="0020"/>
        <w:tblCaption w:val="Tabletop Exercise Agenda"/>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Facilitator Notes</w:t>
            </w:r>
          </w:p>
        </w:tc>
      </w:tr>
      <w:tr>
        <w:tc>
          <w:tcPr/>
          <w:p>
            <w:pPr>
              <w:pStyle w:val="Compact"/>
            </w:pPr>
            <w:r>
              <w:t xml:space="preserve">0:00–0:10</w:t>
            </w:r>
          </w:p>
        </w:tc>
        <w:tc>
          <w:tcPr/>
          <w:p>
            <w:pPr>
              <w:pStyle w:val="Compact"/>
            </w:pPr>
            <w:r>
              <w:t xml:space="preserve">Scenario introduction and ground rules</w:t>
            </w:r>
          </w:p>
        </w:tc>
        <w:tc>
          <w:tcPr/>
          <w:p>
            <w:pPr>
              <w:pStyle w:val="Compact"/>
            </w:pPr>
            <w:r>
              <w:t xml:space="preserve">Read scenario aloud; confirm all participants have their assigned roles</w:t>
            </w:r>
          </w:p>
        </w:tc>
      </w:tr>
      <w:tr>
        <w:tc>
          <w:tcPr/>
          <w:p>
            <w:pPr>
              <w:pStyle w:val="Compact"/>
            </w:pPr>
            <w:r>
              <w:t xml:space="preserve">0:10–0:25</w:t>
            </w:r>
          </w:p>
        </w:tc>
        <w:tc>
          <w:tcPr/>
          <w:p>
            <w:pPr>
              <w:pStyle w:val="Compact"/>
            </w:pPr>
            <w:r>
              <w:t xml:space="preserve">Activation decision</w:t>
            </w:r>
          </w:p>
        </w:tc>
        <w:tc>
          <w:tcPr/>
          <w:p>
            <w:pPr>
              <w:pStyle w:val="Compact"/>
            </w:pPr>
            <w:r>
              <w:t xml:space="preserve">Inject: CPC is in a meeting with external stakeholders; alternate CPC must make the call. Does alternate CPC know they have this authority?</w:t>
            </w:r>
          </w:p>
        </w:tc>
      </w:tr>
      <w:tr>
        <w:tc>
          <w:tcPr/>
          <w:p>
            <w:pPr>
              <w:pStyle w:val="Compact"/>
            </w:pPr>
            <w:r>
              <w:t xml:space="preserve">0:25–0:45</w:t>
            </w:r>
          </w:p>
        </w:tc>
        <w:tc>
          <w:tcPr/>
          <w:p>
            <w:pPr>
              <w:pStyle w:val="Compact"/>
            </w:pPr>
            <w:r>
              <w:t xml:space="preserve">Notification exercise</w:t>
            </w:r>
          </w:p>
        </w:tc>
        <w:tc>
          <w:tcPr/>
          <w:p>
            <w:pPr>
              <w:pStyle w:val="Compact"/>
            </w:pPr>
            <w:r>
              <w:t xml:space="preserve">Walk notification tree step by step; have participants call out the action they would take. Inject: one IT Recovery Team Lead’s phone number in the roster is wrong.</w:t>
            </w:r>
          </w:p>
        </w:tc>
      </w:tr>
      <w:tr>
        <w:tc>
          <w:tcPr/>
          <w:p>
            <w:pPr>
              <w:pStyle w:val="Compact"/>
            </w:pPr>
            <w:r>
              <w:t xml:space="preserve">0:45–1:05</w:t>
            </w:r>
          </w:p>
        </w:tc>
        <w:tc>
          <w:tcPr/>
          <w:p>
            <w:pPr>
              <w:pStyle w:val="Compact"/>
            </w:pPr>
            <w:r>
              <w:t xml:space="preserve">Recovery sequencing</w:t>
            </w:r>
          </w:p>
        </w:tc>
        <w:tc>
          <w:tcPr/>
          <w:p>
            <w:pPr>
              <w:pStyle w:val="Compact"/>
            </w:pPr>
            <w:r>
              <w:t xml:space="preserve">Which systems are recovered first? In what order? What is the expected time for each? Inject: the synchronous AG replica is in the same region and also affected; only the async DR replica is clean.</w:t>
            </w:r>
          </w:p>
        </w:tc>
      </w:tr>
      <w:tr>
        <w:tc>
          <w:tcPr/>
          <w:p>
            <w:pPr>
              <w:pStyle w:val="Compact"/>
            </w:pPr>
            <w:r>
              <w:t xml:space="preserve">1:05–1:20</w:t>
            </w:r>
          </w:p>
        </w:tc>
        <w:tc>
          <w:tcPr/>
          <w:p>
            <w:pPr>
              <w:pStyle w:val="Compact"/>
            </w:pPr>
            <w:r>
              <w:t xml:space="preserve">Management briefing simulation</w:t>
            </w:r>
          </w:p>
        </w:tc>
        <w:tc>
          <w:tcPr/>
          <w:p>
            <w:pPr>
              <w:pStyle w:val="Compact"/>
            </w:pPr>
            <w:r>
              <w:t xml:space="preserve">CPC role-plays briefing the Management Team at the one-hour mark. What information is available? What decisions are needed?</w:t>
            </w:r>
          </w:p>
        </w:tc>
      </w:tr>
      <w:tr>
        <w:tc>
          <w:tcPr/>
          <w:p>
            <w:pPr>
              <w:pStyle w:val="Compact"/>
            </w:pPr>
            <w:r>
              <w:t xml:space="preserve">1:20–1:45</w:t>
            </w:r>
          </w:p>
        </w:tc>
        <w:tc>
          <w:tcPr/>
          <w:p>
            <w:pPr>
              <w:pStyle w:val="Compact"/>
            </w:pPr>
            <w:r>
              <w:t xml:space="preserve">Gap identification</w:t>
            </w:r>
          </w:p>
        </w:tc>
        <w:tc>
          <w:tcPr/>
          <w:p>
            <w:pPr>
              <w:pStyle w:val="Compact"/>
            </w:pPr>
            <w:r>
              <w:t xml:space="preserve">Open discussion: what information did participants need that they could not find? What procedures were unclear? What contacts were missing?</w:t>
            </w:r>
          </w:p>
        </w:tc>
      </w:tr>
      <w:tr>
        <w:tc>
          <w:tcPr/>
          <w:p>
            <w:pPr>
              <w:pStyle w:val="Compact"/>
            </w:pPr>
            <w:r>
              <w:t xml:space="preserve">1:45–2:00</w:t>
            </w:r>
          </w:p>
        </w:tc>
        <w:tc>
          <w:tcPr/>
          <w:p>
            <w:pPr>
              <w:pStyle w:val="Compact"/>
            </w:pPr>
            <w:r>
              <w:t xml:space="preserve">Close and next steps</w:t>
            </w:r>
          </w:p>
        </w:tc>
        <w:tc>
          <w:tcPr/>
          <w:p>
            <w:pPr>
              <w:pStyle w:val="Compact"/>
            </w:pPr>
            <w:r>
              <w:t xml:space="preserve">Facilitator summarizes gaps; assigns owners and due dates for plan updates</w:t>
            </w:r>
          </w:p>
        </w:tc>
      </w:tr>
    </w:tbl>
    <w:p>
      <w:pPr>
        <w:pStyle w:val="BodyText"/>
      </w:pPr>
      <w:r>
        <w:rPr>
          <w:b/>
          <w:bCs/>
        </w:rPr>
        <w:t xml:space="preserve">Test metrics to record.</w:t>
      </w:r>
    </w:p>
    <w:p>
      <w:pPr>
        <w:pStyle w:val="TableCaption"/>
      </w:pPr>
      <w:r>
        <w:t xml:space="preserve">Tabletop Exercise Test Metrics</w:t>
      </w:r>
    </w:p>
    <w:tbl>
      <w:tblPr>
        <w:tblStyle w:val="Table"/>
        <w:tblW w:type="pct" w:w="5000"/>
        <w:tblLayout w:type="fixed"/>
        <w:tblLook w:firstRow="1" w:lastRow="0" w:firstColumn="0" w:lastColumn="0" w:noHBand="0" w:noVBand="0" w:val="0020"/>
        <w:tblCaption w:val="Tabletop Exercise Test Metrics"/>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Actual (Record During Exercise)</w:t>
            </w:r>
          </w:p>
        </w:tc>
      </w:tr>
      <w:tr>
        <w:tc>
          <w:tcPr/>
          <w:p>
            <w:pPr>
              <w:pStyle w:val="Compact"/>
            </w:pPr>
            <w:r>
              <w:t xml:space="preserve">Time from scenario inject to activation declaration</w:t>
            </w:r>
          </w:p>
        </w:tc>
        <w:tc>
          <w:tcPr/>
          <w:p>
            <w:pPr>
              <w:pStyle w:val="Compact"/>
            </w:pPr>
            <w:r>
              <w:t xml:space="preserve">&lt; 30 minutes</w:t>
            </w:r>
          </w:p>
        </w:tc>
        <w:tc>
          <w:tcPr/>
          <w:p>
            <w:pPr>
              <w:pStyle w:val="Compact"/>
            </w:pPr>
            <w:r>
              <w:t xml:space="preserve">[Record actual]</w:t>
            </w:r>
          </w:p>
        </w:tc>
      </w:tr>
      <w:tr>
        <w:tc>
          <w:tcPr/>
          <w:p>
            <w:pPr>
              <w:pStyle w:val="Compact"/>
            </w:pPr>
            <w:r>
              <w:t xml:space="preserve">Time from activation to notification of all Recovery Team Leads</w:t>
            </w:r>
          </w:p>
        </w:tc>
        <w:tc>
          <w:tcPr/>
          <w:p>
            <w:pPr>
              <w:pStyle w:val="Compact"/>
            </w:pPr>
            <w:r>
              <w:t xml:space="preserve">&lt; 15 minutes</w:t>
            </w:r>
          </w:p>
        </w:tc>
        <w:tc>
          <w:tcPr/>
          <w:p>
            <w:pPr>
              <w:pStyle w:val="Compact"/>
            </w:pPr>
            <w:r>
              <w:t xml:space="preserve">[Record actual]</w:t>
            </w:r>
          </w:p>
        </w:tc>
      </w:tr>
      <w:tr>
        <w:tc>
          <w:tcPr/>
          <w:p>
            <w:pPr>
              <w:pStyle w:val="Compact"/>
            </w:pPr>
            <w:r>
              <w:t xml:space="preserve">Percentage of contacts in notification tree reachable on first attempt</w:t>
            </w:r>
          </w:p>
        </w:tc>
        <w:tc>
          <w:tcPr/>
          <w:p>
            <w:pPr>
              <w:pStyle w:val="Compact"/>
            </w:pPr>
            <w:r>
              <w:t xml:space="preserve">&gt; 90%</w:t>
            </w:r>
          </w:p>
        </w:tc>
        <w:tc>
          <w:tcPr/>
          <w:p>
            <w:pPr>
              <w:pStyle w:val="Compact"/>
            </w:pPr>
            <w:r>
              <w:t xml:space="preserve">[Record actual]</w:t>
            </w:r>
          </w:p>
        </w:tc>
      </w:tr>
      <w:tr>
        <w:tc>
          <w:tcPr/>
          <w:p>
            <w:pPr>
              <w:pStyle w:val="Compact"/>
            </w:pPr>
            <w:r>
              <w:t xml:space="preserve">Percentage of recovery procedures located within 2 minutes</w:t>
            </w:r>
          </w:p>
        </w:tc>
        <w:tc>
          <w:tcPr/>
          <w:p>
            <w:pPr>
              <w:pStyle w:val="Compact"/>
            </w:pPr>
            <w:r>
              <w:t xml:space="preserve">100%</w:t>
            </w:r>
          </w:p>
        </w:tc>
        <w:tc>
          <w:tcPr/>
          <w:p>
            <w:pPr>
              <w:pStyle w:val="Compact"/>
            </w:pPr>
            <w:r>
              <w:t xml:space="preserve">[Record actual]</w:t>
            </w:r>
          </w:p>
        </w:tc>
      </w:tr>
      <w:tr>
        <w:tc>
          <w:tcPr/>
          <w:p>
            <w:pPr>
              <w:pStyle w:val="Compact"/>
            </w:pPr>
            <w:r>
              <w:t xml:space="preserve">Completeness of management briefing (did it include all required elements?)</w:t>
            </w:r>
          </w:p>
        </w:tc>
        <w:tc>
          <w:tcPr/>
          <w:p>
            <w:pPr>
              <w:pStyle w:val="Compact"/>
            </w:pPr>
            <w:r>
              <w:t xml:space="preserve">100%</w:t>
            </w:r>
          </w:p>
        </w:tc>
        <w:tc>
          <w:tcPr/>
          <w:p>
            <w:pPr>
              <w:pStyle w:val="Compact"/>
            </w:pPr>
            <w:r>
              <w:t xml:space="preserve">[Record actual]</w:t>
            </w:r>
          </w:p>
        </w:tc>
      </w:tr>
    </w:tbl>
    <w:bookmarkEnd w:id="59"/>
    <w:bookmarkStart w:id="60" w:name="after-action-report-template"/>
    <w:p>
      <w:pPr>
        <w:pStyle w:val="Heading3"/>
      </w:pPr>
      <w:r>
        <w:t xml:space="preserve">8.4 After-Action Report Template</w:t>
      </w:r>
    </w:p>
    <w:p>
      <w:pPr>
        <w:pStyle w:val="FirstParagraph"/>
      </w:pPr>
      <w:r>
        <w:t xml:space="preserve">The AAR is the artifact that ties the test evidence together and demonstrates to assessors that findings are being tracked and resolved.</w:t>
      </w:r>
    </w:p>
    <w:p>
      <w:pPr>
        <w:pStyle w:val="BodyText"/>
      </w:pPr>
      <w:r>
        <w:rPr>
          <w:b/>
          <w:bCs/>
        </w:rPr>
        <w:t xml:space="preserve">Section 1 — Exercise Summary.</w:t>
      </w:r>
      <w:r>
        <w:t xml:space="preserve"> </w:t>
      </w:r>
      <w:r>
        <w:t xml:space="preserve">Date, location, participants, scenario, duration.</w:t>
      </w:r>
    </w:p>
    <w:p>
      <w:pPr>
        <w:pStyle w:val="BodyText"/>
      </w:pPr>
      <w:r>
        <w:rPr>
          <w:b/>
          <w:bCs/>
        </w:rPr>
        <w:t xml:space="preserve">Section 2 — What Worked Well.</w:t>
      </w:r>
      <w:r>
        <w:t xml:space="preserve"> </w:t>
      </w:r>
      <w:r>
        <w:t xml:space="preserve">List specific procedures or team behaviors that performed as expected. Be specific:</w:t>
      </w:r>
      <w:r>
        <w:t xml:space="preserve"> </w:t>
      </w:r>
      <w:r>
        <w:t xml:space="preserve">“The Network Recovery Lead identified the SD-WAN failover status within three minutes of the scenario inject using the monitoring dashboard procedure in Appendix A-1.”</w:t>
      </w:r>
    </w:p>
    <w:p>
      <w:pPr>
        <w:pStyle w:val="BodyText"/>
      </w:pPr>
      <w:r>
        <w:rPr>
          <w:b/>
          <w:bCs/>
        </w:rPr>
        <w:t xml:space="preserve">Section 3 — Findings.</w:t>
      </w:r>
      <w:r>
        <w:t xml:space="preserve"> </w:t>
      </w:r>
      <w:r>
        <w:t xml:space="preserve">Structured finding format:</w:t>
      </w:r>
    </w:p>
    <w:p>
      <w:pPr>
        <w:pStyle w:val="TableCaption"/>
      </w:pPr>
      <w:r>
        <w:t xml:space="preserve">AAR Findings Tracker</w:t>
      </w:r>
    </w:p>
    <w:tbl>
      <w:tblPr>
        <w:tblStyle w:val="Table"/>
        <w:tblW w:type="pct" w:w="5000"/>
        <w:tblLayout w:type="fixed"/>
        <w:tblLook w:firstRow="1" w:lastRow="0" w:firstColumn="0" w:lastColumn="0" w:noHBand="0" w:noVBand="0" w:val="0020"/>
        <w:tblCaption w:val="AAR Findings Tracker"/>
      </w:tblPr>
      <w:tblGrid>
        <w:gridCol w:w="1131"/>
        <w:gridCol w:w="1131"/>
        <w:gridCol w:w="1131"/>
        <w:gridCol w:w="1131"/>
        <w:gridCol w:w="1131"/>
        <w:gridCol w:w="1131"/>
        <w:gridCol w:w="1131"/>
      </w:tblGrid>
      <w:tr>
        <w:trPr>
          <w:tblHeader w:val="on"/>
        </w:trPr>
        <w:tc>
          <w:tcPr/>
          <w:p>
            <w:pPr>
              <w:pStyle w:val="Compact"/>
            </w:pPr>
            <w:r>
              <w:t xml:space="preserve">Finding ID</w:t>
            </w:r>
          </w:p>
        </w:tc>
        <w:tc>
          <w:tcPr/>
          <w:p>
            <w:pPr>
              <w:pStyle w:val="Compact"/>
            </w:pPr>
            <w:r>
              <w:t xml:space="preserve">Category</w:t>
            </w:r>
          </w:p>
        </w:tc>
        <w:tc>
          <w:tcPr/>
          <w:p>
            <w:pPr>
              <w:pStyle w:val="Compact"/>
            </w:pPr>
            <w:r>
              <w:t xml:space="preserve">Description</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 Date</w:t>
            </w:r>
          </w:p>
        </w:tc>
      </w:tr>
      <w:tr>
        <w:tc>
          <w:tcPr/>
          <w:p>
            <w:pPr>
              <w:pStyle w:val="Compact"/>
            </w:pPr>
            <w:r>
              <w:t xml:space="preserve">AAR-2026-01</w:t>
            </w:r>
          </w:p>
        </w:tc>
        <w:tc>
          <w:tcPr/>
          <w:p>
            <w:pPr>
              <w:pStyle w:val="Compact"/>
            </w:pPr>
            <w:r>
              <w:t xml:space="preserve">Contact Information</w:t>
            </w:r>
          </w:p>
        </w:tc>
        <w:tc>
          <w:tcPr/>
          <w:p>
            <w:pPr>
              <w:pStyle w:val="Compact"/>
            </w:pPr>
            <w:r>
              <w:t xml:space="preserve">Alternate CPC’s mobile number in the notification tree was for a former employee</w:t>
            </w:r>
          </w:p>
        </w:tc>
        <w:tc>
          <w:tcPr/>
          <w:p>
            <w:pPr>
              <w:pStyle w:val="Compact"/>
            </w:pPr>
            <w:r>
              <w:t xml:space="preserve">Roster not updated following personnel change</w:t>
            </w:r>
          </w:p>
        </w:tc>
        <w:tc>
          <w:tcPr/>
          <w:p>
            <w:pPr>
              <w:pStyle w:val="Compact"/>
            </w:pPr>
            <w:r>
              <w:t xml:space="preserve">Update contact roster; add quarterly roster review to IT Manager calendar</w:t>
            </w:r>
          </w:p>
        </w:tc>
        <w:tc>
          <w:tcPr/>
          <w:p>
            <w:pPr>
              <w:pStyle w:val="Compact"/>
            </w:pPr>
            <w:r>
              <w:t xml:space="preserve">ISSO</w:t>
            </w:r>
          </w:p>
        </w:tc>
        <w:tc>
          <w:tcPr/>
          <w:p>
            <w:pPr>
              <w:pStyle w:val="Compact"/>
            </w:pPr>
            <w:r>
              <w:t xml:space="preserve">30 days</w:t>
            </w:r>
          </w:p>
        </w:tc>
      </w:tr>
      <w:tr>
        <w:tc>
          <w:tcPr/>
          <w:p>
            <w:pPr>
              <w:pStyle w:val="Compact"/>
            </w:pPr>
            <w:r>
              <w:t xml:space="preserve">AAR-2026-02</w:t>
            </w:r>
          </w:p>
        </w:tc>
        <w:tc>
          <w:tcPr/>
          <w:p>
            <w:pPr>
              <w:pStyle w:val="Compact"/>
            </w:pPr>
            <w:r>
              <w:t xml:space="preserve">Recovery Procedures</w:t>
            </w:r>
          </w:p>
        </w:tc>
        <w:tc>
          <w:tcPr/>
          <w:p>
            <w:pPr>
              <w:pStyle w:val="Compact"/>
            </w:pPr>
            <w:r>
              <w:t xml:space="preserve">Team was unsure of the RPO implication when failing over to async DR replica</w:t>
            </w:r>
          </w:p>
        </w:tc>
        <w:tc>
          <w:tcPr/>
          <w:p>
            <w:pPr>
              <w:pStyle w:val="Compact"/>
            </w:pPr>
            <w:r>
              <w:t xml:space="preserve">Procedure does not state the RPO value explicitly</w:t>
            </w:r>
          </w:p>
        </w:tc>
        <w:tc>
          <w:tcPr/>
          <w:p>
            <w:pPr>
              <w:pStyle w:val="Compact"/>
            </w:pPr>
            <w:r>
              <w:t xml:space="preserve">Add RPO callout box to Appendix B-2 introduction</w:t>
            </w:r>
          </w:p>
        </w:tc>
        <w:tc>
          <w:tcPr/>
          <w:p>
            <w:pPr>
              <w:pStyle w:val="Compact"/>
            </w:pPr>
            <w:r>
              <w:t xml:space="preserve">Database Recovery Lead</w:t>
            </w:r>
          </w:p>
        </w:tc>
        <w:tc>
          <w:tcPr/>
          <w:p>
            <w:pPr>
              <w:pStyle w:val="Compact"/>
            </w:pPr>
            <w:r>
              <w:t xml:space="preserve">30 days</w:t>
            </w:r>
          </w:p>
        </w:tc>
      </w:tr>
    </w:tbl>
    <w:p>
      <w:pPr>
        <w:pStyle w:val="BodyText"/>
      </w:pPr>
      <w:r>
        <w:rPr>
          <w:b/>
          <w:bCs/>
        </w:rPr>
        <w:t xml:space="preserve">Section 4 — Plan Updates Required.</w:t>
      </w:r>
      <w:r>
        <w:t xml:space="preserve"> </w:t>
      </w:r>
      <w:r>
        <w:t xml:space="preserve">List each section of the CP-2 that must be updated, the required change, and the target date.</w:t>
      </w:r>
    </w:p>
    <w:p>
      <w:pPr>
        <w:pStyle w:val="BodyText"/>
      </w:pPr>
      <w:r>
        <w:rPr>
          <w:b/>
          <w:bCs/>
        </w:rPr>
        <w:t xml:space="preserve">Section 5 — Approvals.</w:t>
      </w:r>
      <w:r>
        <w:t xml:space="preserve"> </w:t>
      </w:r>
      <w:r>
        <w:t xml:space="preserve">CPC signature, ISSO signature, date. This signed AAR is the CP-4 evidence artifact.</w:t>
      </w:r>
    </w:p>
    <w:bookmarkEnd w:id="60"/>
    <w:bookmarkEnd w:id="61"/>
    <w:bookmarkStart w:id="64" w:name="integration-with-parts-1-through-13"/>
    <w:p>
      <w:pPr>
        <w:pStyle w:val="Heading2"/>
      </w:pPr>
      <w:r>
        <w:t xml:space="preserve">9 Integration with Parts 1 Through 13</w:t>
      </w:r>
    </w:p>
    <w:p>
      <w:pPr>
        <w:pStyle w:val="FirstParagraph"/>
      </w:pPr>
      <w:r>
        <w:t xml:space="preserve">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pPr>
        <w:pStyle w:val="TableCaption"/>
      </w:pPr>
      <w:r>
        <w:t xml:space="preserve">Series Integration with CP Control Family</w:t>
      </w:r>
    </w:p>
    <w:tbl>
      <w:tblPr>
        <w:tblStyle w:val="Table"/>
        <w:tblW w:type="pct" w:w="5000"/>
        <w:tblLayout w:type="fixed"/>
        <w:tblLook w:firstRow="1" w:lastRow="0" w:firstColumn="0" w:lastColumn="0" w:noHBand="0" w:noVBand="0" w:val="0020"/>
        <w:tblCaption w:val="Series Integration with CP Control Family"/>
      </w:tblPr>
      <w:tblGrid>
        <w:gridCol w:w="2640"/>
        <w:gridCol w:w="2640"/>
        <w:gridCol w:w="2640"/>
      </w:tblGrid>
      <w:tr>
        <w:trPr>
          <w:tblHeader w:val="on"/>
        </w:trPr>
        <w:tc>
          <w:tcPr/>
          <w:p>
            <w:pPr>
              <w:pStyle w:val="Compact"/>
            </w:pPr>
            <w:r>
              <w:t xml:space="preserve">Series Part</w:t>
            </w:r>
          </w:p>
        </w:tc>
        <w:tc>
          <w:tcPr/>
          <w:p>
            <w:pPr>
              <w:pStyle w:val="Compact"/>
            </w:pPr>
            <w:r>
              <w:t xml:space="preserve">Capability</w:t>
            </w:r>
          </w:p>
        </w:tc>
        <w:tc>
          <w:tcPr/>
          <w:p>
            <w:pPr>
              <w:pStyle w:val="Compact"/>
            </w:pPr>
            <w:r>
              <w:t xml:space="preserve">CP Control Contribution</w:t>
            </w:r>
          </w:p>
        </w:tc>
      </w:tr>
      <w:tr>
        <w:tc>
          <w:tcPr/>
          <w:p>
            <w:pPr>
              <w:pStyle w:val="Compact"/>
            </w:pPr>
            <w:r>
              <w:t xml:space="preserve">Part 1 (DDI — DNS/DHCP/IPAM)</w:t>
            </w:r>
          </w:p>
        </w:tc>
        <w:tc>
          <w:tcPr/>
          <w:p>
            <w:pPr>
              <w:pStyle w:val="Compact"/>
            </w:pPr>
            <w:r>
              <w:t xml:space="preserve">Grid replication with alternate Grid member in DR region</w:t>
            </w:r>
          </w:p>
        </w:tc>
        <w:tc>
          <w:tcPr/>
          <w:p>
            <w:pPr>
              <w:pStyle w:val="Compact"/>
            </w:pPr>
            <w:r>
              <w:t xml:space="preserve">CP-6: alternate storage for DNS zone data; CP-7: alternate processing for name resolution; CP-8: DNS continuity supports all other failover dependencies</w:t>
            </w:r>
          </w:p>
        </w:tc>
      </w:tr>
      <w:tr>
        <w:tc>
          <w:tcPr/>
          <w:p>
            <w:pPr>
              <w:pStyle w:val="Compact"/>
            </w:pPr>
            <w:r>
              <w:t xml:space="preserve">Part 3 (Certificates and Tokens — cryptographic identity)</w:t>
            </w:r>
          </w:p>
        </w:tc>
        <w:tc>
          <w:tcPr/>
          <w:p>
            <w:pPr>
              <w:pStyle w:val="Compact"/>
            </w:pPr>
            <w:r>
              <w:t xml:space="preserve">Cloud-hosted globally redundant identity; Conditional Access; certificate issuance and revocation continuity</w:t>
            </w:r>
          </w:p>
        </w:tc>
        <w:tc>
          <w:tcPr/>
          <w:p>
            <w:pPr>
              <w:pStyle w:val="Compact"/>
            </w:pPr>
            <w:r>
              <w:t xml:space="preserve">CP-7: identity is inherently multi-region, and certificate authority continuity ensures TLS-dependent services can be restored at the alternate site; CP-2: break-glass accounts ensure identity access independent of Conditional Access availability</w:t>
            </w:r>
          </w:p>
        </w:tc>
      </w:tr>
      <w:tr>
        <w:tc>
          <w:tcPr/>
          <w:p>
            <w:pPr>
              <w:pStyle w:val="Compact"/>
            </w:pPr>
            <w:r>
              <w:t xml:space="preserve">Part 6 (SD-WAN)</w:t>
            </w:r>
          </w:p>
        </w:tc>
        <w:tc>
          <w:tcPr/>
          <w:p>
            <w:pPr>
              <w:pStyle w:val="Compact"/>
            </w:pPr>
            <w:r>
              <w:t xml:space="preserve">Dual underlay (MPLS + DIA) governed by active-active overlay multipath with automatic path failover</w:t>
            </w:r>
          </w:p>
        </w:tc>
        <w:tc>
          <w:tcPr/>
          <w:p>
            <w:pPr>
              <w:pStyle w:val="Compact"/>
            </w:pPr>
            <w:r>
              <w:t xml:space="preserve">CP-8: primary and alternate telecommunications services — failover, resequencing, and per-class path policy live in the overlay; CP-7: alternate network path to cloud processing site</w:t>
            </w:r>
          </w:p>
        </w:tc>
      </w:tr>
      <w:tr>
        <w:tc>
          <w:tcPr/>
          <w:p>
            <w:pPr>
              <w:pStyle w:val="Compact"/>
            </w:pPr>
            <w:r>
              <w:t xml:space="preserve">Part 8 (SQL — on-premises)</w:t>
            </w:r>
          </w:p>
        </w:tc>
        <w:tc>
          <w:tcPr/>
          <w:p>
            <w:pPr>
              <w:pStyle w:val="Compact"/>
            </w:pPr>
            <w:r>
              <w:t xml:space="preserve">AG synchronous replica for RPO near zero</w:t>
            </w:r>
          </w:p>
        </w:tc>
        <w:tc>
          <w:tcPr/>
          <w:p>
            <w:pPr>
              <w:pStyle w:val="Compact"/>
            </w:pPr>
            <w:r>
              <w:t xml:space="preserve">CP-6: synchronous replica as alternate storage; CP-7: synchronous failover for minimal RTO SQL recovery</w:t>
            </w:r>
          </w:p>
        </w:tc>
      </w:tr>
      <w:tr>
        <w:tc>
          <w:tcPr/>
          <w:p>
            <w:pPr>
              <w:pStyle w:val="Compact"/>
            </w:pPr>
            <w:r>
              <w:t xml:space="preserve">Part 9 (SQL — cloud DR)</w:t>
            </w:r>
          </w:p>
        </w:tc>
        <w:tc>
          <w:tcPr/>
          <w:p>
            <w:pPr>
              <w:pStyle w:val="Compact"/>
            </w:pPr>
            <w:r>
              <w:t xml:space="preserve">AG async replica in secondary region</w:t>
            </w:r>
          </w:p>
        </w:tc>
        <w:tc>
          <w:tcPr/>
          <w:p>
            <w:pPr>
              <w:pStyle w:val="Compact"/>
            </w:pPr>
            <w:r>
              <w:t xml:space="preserve">CP-6(1): geographically separated alternate storage; CP-7(1): geographically separated alternate processing; CP-9: backup of structured data</w:t>
            </w:r>
          </w:p>
        </w:tc>
      </w:tr>
      <w:tr>
        <w:tc>
          <w:tcPr/>
          <w:p>
            <w:pPr>
              <w:pStyle w:val="Compact"/>
            </w:pPr>
            <w:r>
              <w:t xml:space="preserve">Part 10 (Privileged Access and MFA)</w:t>
            </w:r>
          </w:p>
        </w:tc>
        <w:tc>
          <w:tcPr/>
          <w:p>
            <w:pPr>
              <w:pStyle w:val="Compact"/>
            </w:pPr>
            <w:r>
              <w:t xml:space="preserve">Break-glass accounts for emergency access</w:t>
            </w:r>
          </w:p>
        </w:tc>
        <w:tc>
          <w:tcPr/>
          <w:p>
            <w:pPr>
              <w:pStyle w:val="Compact"/>
            </w:pPr>
            <w:r>
              <w:t xml:space="preserve">CP-2: ensures recovery teams can authenticate during Conditional Access disruption or MFA outage</w:t>
            </w:r>
          </w:p>
        </w:tc>
      </w:tr>
      <w:tr>
        <w:tc>
          <w:tcPr/>
          <w:p>
            <w:pPr>
              <w:pStyle w:val="Compact"/>
            </w:pPr>
            <w:r>
              <w:t xml:space="preserve">Parts 2 and 6 (NAC policy tiers; SD-WAN/SASE policy)</w:t>
            </w:r>
          </w:p>
        </w:tc>
        <w:tc>
          <w:tcPr/>
          <w:p>
            <w:pPr>
              <w:pStyle w:val="Compact"/>
            </w:pPr>
            <w:r>
              <w:t xml:space="preserve">Network admission and egress policy backup — 802.1X policy tiers, SD-WAN templates, SASE FWaaS rules</w:t>
            </w:r>
          </w:p>
        </w:tc>
        <w:tc>
          <w:tcPr/>
          <w:p>
            <w:pPr>
              <w:pStyle w:val="Compact"/>
            </w:pPr>
            <w:r>
              <w:t xml:space="preserve">CP-6: configuration baseline for admission and egress policy stored in alternate region; CP-7: network policy can be restored at alternate site</w:t>
            </w:r>
          </w:p>
        </w:tc>
      </w:tr>
      <w:tr>
        <w:tc>
          <w:tcPr/>
          <w:p>
            <w:pPr>
              <w:pStyle w:val="Compact"/>
            </w:pPr>
            <w:r>
              <w:t xml:space="preserve">Part 19 (Authorization Package and ConMon)</w:t>
            </w:r>
          </w:p>
        </w:tc>
        <w:tc>
          <w:tcPr/>
          <w:p>
            <w:pPr>
              <w:pStyle w:val="Compact"/>
            </w:pPr>
            <w:r>
              <w:t xml:space="preserve">OSCAL bundle, ScubaDrift ledger, and compliance baseline exports</w:t>
            </w:r>
          </w:p>
        </w:tc>
        <w:tc>
          <w:tcPr/>
          <w:p>
            <w:pPr>
              <w:pStyle w:val="Compact"/>
            </w:pPr>
            <w:r>
              <w:t xml:space="preserve">CP-6: configuration and compliance baselines (device management policy exports, compliance rules, ConMon history) stored in alternate Key Vault</w:t>
            </w:r>
          </w:p>
        </w:tc>
      </w:tr>
      <w:tr>
        <w:tc>
          <w:tcPr/>
          <w:p>
            <w:pPr>
              <w:pStyle w:val="Compact"/>
            </w:pPr>
            <w:r>
              <w:t xml:space="preserve">Part 13 (Sentinel/SIEM)</w:t>
            </w:r>
          </w:p>
        </w:tc>
        <w:tc>
          <w:tcPr/>
          <w:p>
            <w:pPr>
              <w:pStyle w:val="Compact"/>
            </w:pPr>
            <w:r>
              <w:t xml:space="preserve">Geo-redundant Log Analytics workspace</w:t>
            </w:r>
          </w:p>
        </w:tc>
        <w:tc>
          <w:tcPr/>
          <w:p>
            <w:pPr>
              <w:pStyle w:val="Compact"/>
            </w:pPr>
            <w:r>
              <w:t xml:space="preserve">CP-9: audit logs replicated to alternate region; AU-9: integrity of audit records maintained during primary site outage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Referencing Series Parts in the CP-2</w:t>
            </w:r>
          </w:p>
        </w:tc>
      </w:tr>
      <w:tr>
        <w:trPr>
          <w:cantSplit/>
        </w:trPr>
        <w:tc>
          <w:tcPr>
            <w:tcMar>
              <w:top w:w="108" w:type="dxa"/>
              <w:bottom w:w="108" w:type="dxa"/>
            </w:tcMar>
          </w:tcPr>
          <w:p>
            <w:pPr>
              <w:pStyle w:val="BodyText"/>
            </w:pPr>
            <w:pPr>
              <w:spacing w:before="16" w:after="16"/>
            </w:pPr>
            <w:r>
              <w:t xml:space="preserve">When populating the CP-2 appendices, reference the series documentation directly rather than duplicating technical content. Example reference text for Appendix A:</w:t>
            </w:r>
            <w:r>
              <w:t xml:space="preserve"> </w:t>
            </w:r>
            <w: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6 implementation document, maintained in the document management system at (URL)].”</w:t>
            </w:r>
            <w:r>
              <w:t xml:space="preserve"> </w:t>
            </w:r>
            <w:r>
              <w:t xml:space="preserve">The CP-2 owns the activation, notification, sequencing, and acceptance criteria; the technical guides own the step-by-step execution details.</w:t>
            </w:r>
          </w:p>
          <w:p/>
        </w:tc>
      </w:tr>
    </w:tbl>
    <w:bookmarkEnd w:id="64"/>
    <w:bookmarkStart w:id="70" w:name="nist-sp-800-53-rev-5-control-closure"/>
    <w:p>
      <w:pPr>
        <w:pStyle w:val="Heading2"/>
      </w:pPr>
      <w:r>
        <w:t xml:space="preserve">10 NIST SP 800-53 Rev 5 Control Closure</w:t>
      </w:r>
    </w:p>
    <w:p>
      <w:pPr>
        <w:pStyle w:val="CaptionedFigure"/>
      </w:pPr>
      <w:r>
        <w:drawing>
          <wp:inline>
            <wp:extent cx="5334000" cy="3093720"/>
            <wp:effectExtent b="0" l="0" r="0" t="0"/>
            <wp:docPr descr="NIST control closure for Part 14 Business Continuity" title="" id="66" name="Picture"/>
            <a:graphic>
              <a:graphicData uri="http://schemas.openxmlformats.org/drawingml/2006/picture">
                <pic:pic>
                  <pic:nvPicPr>
                    <pic:cNvPr descr="figs/bc-fig-04-nist-closure.png" id="67" name="Picture"/>
                    <pic:cNvPicPr>
                      <a:picLocks noChangeArrowheads="1" noChangeAspect="1"/>
                    </pic:cNvPicPr>
                  </pic:nvPicPr>
                  <pic:blipFill>
                    <a:blip r:embed="rId65"/>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14 Business Continuity</w:t>
      </w:r>
    </w:p>
    <w:p>
      <w:pPr>
        <w:pStyle w:val="TableCaption"/>
      </w:pPr>
      <w:r>
        <w:t xml:space="preserve">NIST SP 800-53 Rev 5 Control Closure — Part 14 Business Continuity</w:t>
      </w:r>
    </w:p>
    <w:tbl>
      <w:tblPr>
        <w:tblStyle w:val="Table"/>
        <w:tblW w:type="pct" w:w="5000"/>
        <w:tblLayout w:type="fixed"/>
        <w:tblLook w:firstRow="1" w:lastRow="0" w:firstColumn="0" w:lastColumn="0" w:noHBand="0" w:noVBand="0" w:val="0020"/>
        <w:tblCaption w:val="NIST SP 800-53 Rev 5 Control Closure — Part 14 Business Continuity"/>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Framework</w:t>
            </w:r>
          </w:p>
        </w:tc>
        <w:tc>
          <w:tcPr/>
          <w:p>
            <w:pPr>
              <w:pStyle w:val="Compact"/>
            </w:pPr>
            <w:r>
              <w:t xml:space="preserve">With This Framework</w:t>
            </w:r>
          </w:p>
        </w:tc>
        <w:tc>
          <w:tcPr/>
          <w:p>
            <w:pPr>
              <w:pStyle w:val="Compact"/>
            </w:pPr>
            <w:r>
              <w:t xml:space="preserve">Authority</w:t>
            </w:r>
          </w:p>
        </w:tc>
      </w:tr>
      <w:tr>
        <w:tc>
          <w:tcPr/>
          <w:p>
            <w:pPr>
              <w:pStyle w:val="Compact"/>
            </w:pPr>
            <w:r>
              <w:t xml:space="preserve">CP-2</w:t>
            </w:r>
          </w:p>
        </w:tc>
        <w:tc>
          <w:tcPr/>
          <w:p>
            <w:pPr>
              <w:pStyle w:val="Compact"/>
            </w:pPr>
            <w:r>
              <w:t xml:space="preserve">Contingency Plan</w:t>
            </w:r>
          </w:p>
        </w:tc>
        <w:tc>
          <w:tcPr/>
          <w:p>
            <w:pPr>
              <w:pStyle w:val="Compact"/>
            </w:pPr>
            <w:r>
              <w:t xml:space="preserve">No formal CP-2 document; DR runbooks exist but do not constitute a plan; assessor finding is High</w:t>
            </w:r>
          </w:p>
        </w:tc>
        <w:tc>
          <w:tcPr/>
          <w:p>
            <w:pPr>
              <w:pStyle w:val="Compact"/>
            </w:pPr>
            <w:r>
              <w:t xml:space="preserve">CP-2 document authored per NIST SP 800-34 Rev 1 seven-section structure; BIA values documented; mission owner sign-off; annual review scheduled</w:t>
            </w:r>
          </w:p>
        </w:tc>
        <w:tc>
          <w:tcPr/>
          <w:p>
            <w:pPr>
              <w:pStyle w:val="Compact"/>
            </w:pPr>
            <w:r>
              <w:t xml:space="preserve">NIST SP 800-53 Rev 5 CP-2; NIST SP 800-34 Rev 1</w:t>
            </w:r>
          </w:p>
        </w:tc>
      </w:tr>
      <w:tr>
        <w:tc>
          <w:tcPr/>
          <w:p>
            <w:pPr>
              <w:pStyle w:val="Compact"/>
            </w:pPr>
            <w:r>
              <w:t xml:space="preserve">CP-2(1)</w:t>
            </w:r>
          </w:p>
        </w:tc>
        <w:tc>
          <w:tcPr/>
          <w:p>
            <w:pPr>
              <w:pStyle w:val="Compact"/>
            </w:pPr>
            <w:r>
              <w:t xml:space="preserve">Coordinate with Related Plans</w:t>
            </w:r>
          </w:p>
        </w:tc>
        <w:tc>
          <w:tcPr/>
          <w:p>
            <w:pPr>
              <w:pStyle w:val="Compact"/>
            </w:pPr>
            <w:r>
              <w:t xml:space="preserve">Contingency plan developed in isolation from agency COOP and IR plan</w:t>
            </w:r>
          </w:p>
        </w:tc>
        <w:tc>
          <w:tcPr/>
          <w:p>
            <w:pPr>
              <w:pStyle w:val="Compact"/>
            </w:pPr>
            <w:r>
              <w:t xml:space="preserve">CP-2 Section 1.4 cross-references COOP; Section 4.4 escalation connects to IR plan; annual review includes coordination with COOP coordinator</w:t>
            </w:r>
          </w:p>
        </w:tc>
        <w:tc>
          <w:tcPr/>
          <w:p>
            <w:pPr>
              <w:pStyle w:val="Compact"/>
            </w:pPr>
            <w:r>
              <w:t xml:space="preserve">NIST SP 800-53 Rev 5 CP-2(1)</w:t>
            </w:r>
          </w:p>
        </w:tc>
      </w:tr>
      <w:tr>
        <w:tc>
          <w:tcPr/>
          <w:p>
            <w:pPr>
              <w:pStyle w:val="Compact"/>
            </w:pPr>
            <w:r>
              <w:t xml:space="preserve">CP-2(8)</w:t>
            </w:r>
          </w:p>
        </w:tc>
        <w:tc>
          <w:tcPr/>
          <w:p>
            <w:pPr>
              <w:pStyle w:val="Compact"/>
            </w:pPr>
            <w:r>
              <w:t xml:space="preserve">Identify Critical Assets</w:t>
            </w:r>
          </w:p>
        </w:tc>
        <w:tc>
          <w:tcPr/>
          <w:p>
            <w:pPr>
              <w:pStyle w:val="Compact"/>
            </w:pPr>
            <w:r>
              <w:t xml:space="preserve">No formal identification of which assets are most critical to mission</w:t>
            </w:r>
          </w:p>
        </w:tc>
        <w:tc>
          <w:tcPr/>
          <w:p>
            <w:pPr>
              <w:pStyle w:val="Compact"/>
            </w:pPr>
            <w:r>
              <w:t xml:space="preserve">BIA table with MTD values identifies and rank-orders critical assets; Section 2.2 recovery priority table is the CP-2(8) evidence</w:t>
            </w:r>
          </w:p>
        </w:tc>
        <w:tc>
          <w:tcPr/>
          <w:p>
            <w:pPr>
              <w:pStyle w:val="Compact"/>
            </w:pPr>
            <w:r>
              <w:t xml:space="preserve">NIST SP 800-53 Rev 5 CP-2(8)</w:t>
            </w:r>
          </w:p>
        </w:tc>
      </w:tr>
      <w:tr>
        <w:tc>
          <w:tcPr/>
          <w:p>
            <w:pPr>
              <w:pStyle w:val="Compact"/>
            </w:pPr>
            <w:r>
              <w:t xml:space="preserve">CP-3</w:t>
            </w:r>
          </w:p>
        </w:tc>
        <w:tc>
          <w:tcPr/>
          <w:p>
            <w:pPr>
              <w:pStyle w:val="Compact"/>
            </w:pPr>
            <w:r>
              <w:t xml:space="preserve">Contingency Training</w:t>
            </w:r>
          </w:p>
        </w:tc>
        <w:tc>
          <w:tcPr/>
          <w:p>
            <w:pPr>
              <w:pStyle w:val="Compact"/>
            </w:pPr>
            <w:r>
              <w:t xml:space="preserve">No annual training requirement enforced; personnel may be unaware of their roles</w:t>
            </w:r>
          </w:p>
        </w:tc>
        <w:tc>
          <w:tcPr/>
          <w:p>
            <w:pPr>
              <w:pStyle w:val="Compact"/>
            </w:pPr>
            <w:r>
              <w:t xml:space="preserve">Tabletop exercise constitutes annual training for all participants; attendance record satisfies CP-3; plan includes training requirement in Section 7</w:t>
            </w:r>
          </w:p>
        </w:tc>
        <w:tc>
          <w:tcPr/>
          <w:p>
            <w:pPr>
              <w:pStyle w:val="Compact"/>
            </w:pPr>
            <w:r>
              <w:t xml:space="preserve">NIST SP 800-53 Rev 5 CP-3</w:t>
            </w:r>
          </w:p>
        </w:tc>
      </w:tr>
      <w:tr>
        <w:tc>
          <w:tcPr/>
          <w:p>
            <w:pPr>
              <w:pStyle w:val="Compact"/>
            </w:pPr>
            <w:r>
              <w:t xml:space="preserve">CP-4</w:t>
            </w:r>
          </w:p>
        </w:tc>
        <w:tc>
          <w:tcPr/>
          <w:p>
            <w:pPr>
              <w:pStyle w:val="Compact"/>
            </w:pPr>
            <w:r>
              <w:t xml:space="preserve">Contingency Plan Testing</w:t>
            </w:r>
          </w:p>
        </w:tc>
        <w:tc>
          <w:tcPr/>
          <w:p>
            <w:pPr>
              <w:pStyle w:val="Compact"/>
            </w:pPr>
            <w:r>
              <w:t xml:space="preserve">No test of contingency plan; architecture tested informally but no documented test plan or AAR</w:t>
            </w:r>
          </w:p>
        </w:tc>
        <w:tc>
          <w:tcPr/>
          <w:p>
            <w:pPr>
              <w:pStyle w:val="Compact"/>
            </w:pPr>
            <w:r>
              <w:t xml:space="preserve">Annual tabletop (minimum) with documented test plan, execution record, metrics, and signed AAR; lessons learned drive plan updates</w:t>
            </w:r>
          </w:p>
        </w:tc>
        <w:tc>
          <w:tcPr/>
          <w:p>
            <w:pPr>
              <w:pStyle w:val="Compact"/>
            </w:pPr>
            <w:r>
              <w:t xml:space="preserve">NIST SP 800-53 Rev 5 CP-4</w:t>
            </w:r>
          </w:p>
        </w:tc>
      </w:tr>
      <w:tr>
        <w:tc>
          <w:tcPr/>
          <w:p>
            <w:pPr>
              <w:pStyle w:val="Compact"/>
            </w:pPr>
            <w:r>
              <w:t xml:space="preserve">CP-4(1)</w:t>
            </w:r>
          </w:p>
        </w:tc>
        <w:tc>
          <w:tcPr/>
          <w:p>
            <w:pPr>
              <w:pStyle w:val="Compact"/>
            </w:pPr>
            <w:r>
              <w:t xml:space="preserve">Coordinate with Related Plans</w:t>
            </w:r>
          </w:p>
        </w:tc>
        <w:tc>
          <w:tcPr/>
          <w:p>
            <w:pPr>
              <w:pStyle w:val="Compact"/>
            </w:pPr>
            <w:r>
              <w:t xml:space="preserve">Testing done in isolation; does not account for simultaneous COOP or IR activation</w:t>
            </w:r>
          </w:p>
        </w:tc>
        <w:tc>
          <w:tcPr/>
          <w:p>
            <w:pPr>
              <w:pStyle w:val="Compact"/>
            </w:pPr>
            <w:r>
              <w:t xml:space="preserve">Test scenario includes activation of escalation to COOP; IR notification inject included in tabletop; AAR distributed to COOP and IR plan owners</w:t>
            </w:r>
          </w:p>
        </w:tc>
        <w:tc>
          <w:tcPr/>
          <w:p>
            <w:pPr>
              <w:pStyle w:val="Compact"/>
            </w:pPr>
            <w:r>
              <w:t xml:space="preserve">NIST SP 800-53 Rev 5 CP-4(1)</w:t>
            </w:r>
          </w:p>
        </w:tc>
      </w:tr>
      <w:tr>
        <w:tc>
          <w:tcPr/>
          <w:p>
            <w:pPr>
              <w:pStyle w:val="Compact"/>
            </w:pPr>
            <w:r>
              <w:t xml:space="preserve">CP-6</w:t>
            </w:r>
          </w:p>
        </w:tc>
        <w:tc>
          <w:tcPr/>
          <w:p>
            <w:pPr>
              <w:pStyle w:val="Compact"/>
            </w:pPr>
            <w:r>
              <w:t xml:space="preserve">Alternate Storage Site</w:t>
            </w:r>
          </w:p>
        </w:tc>
        <w:tc>
          <w:tcPr/>
          <w:p>
            <w:pPr>
              <w:pStyle w:val="Compact"/>
            </w:pPr>
            <w:r>
              <w:t xml:space="preserve">Database replicated but not formally documented as alternate storage; unstructured data and config baselines not addressed</w:t>
            </w:r>
          </w:p>
        </w:tc>
        <w:tc>
          <w:tcPr/>
          <w:p>
            <w:pPr>
              <w:pStyle w:val="Compact"/>
            </w:pPr>
            <w:r>
              <w:t xml:space="preserve">SQL async DR replica in secondary region documented as alternate storage; multi-geo replication for unstructured data; policy exports in secondary Key Vault; annual restore test</w:t>
            </w:r>
          </w:p>
        </w:tc>
        <w:tc>
          <w:tcPr/>
          <w:p>
            <w:pPr>
              <w:pStyle w:val="Compact"/>
            </w:pPr>
            <w:r>
              <w:t xml:space="preserve">NIST SP 800-53 Rev 5 CP-6; NIST SP 800-34 Rev 1 Section 3.5</w:t>
            </w:r>
          </w:p>
        </w:tc>
      </w:tr>
      <w:tr>
        <w:tc>
          <w:tcPr/>
          <w:p>
            <w:pPr>
              <w:pStyle w:val="Compact"/>
            </w:pPr>
            <w:r>
              <w:t xml:space="preserve">CP-6(1)</w:t>
            </w:r>
          </w:p>
        </w:tc>
        <w:tc>
          <w:tcPr/>
          <w:p>
            <w:pPr>
              <w:pStyle w:val="Compact"/>
            </w:pPr>
            <w:r>
              <w:t xml:space="preserve">Separation from Primary Site</w:t>
            </w:r>
          </w:p>
        </w:tc>
        <w:tc>
          <w:tcPr/>
          <w:p>
            <w:pPr>
              <w:pStyle w:val="Compact"/>
            </w:pPr>
            <w:r>
              <w:t xml:space="preserve">Replica in same region (availability zone only) does not satisfy geographic separation</w:t>
            </w:r>
          </w:p>
        </w:tc>
        <w:tc>
          <w:tcPr/>
          <w:p>
            <w:pPr>
              <w:pStyle w:val="Compact"/>
            </w:pPr>
            <w:r>
              <w:t xml:space="preserve">Async DR replica confirmed in separate geographic region; physical separation documented in CP-2; region pair selected per CSP disaster recovery guidance</w:t>
            </w:r>
          </w:p>
        </w:tc>
        <w:tc>
          <w:tcPr/>
          <w:p>
            <w:pPr>
              <w:pStyle w:val="Compact"/>
            </w:pPr>
            <w:r>
              <w:t xml:space="preserve">NIST SP 800-53 Rev 5 CP-6(1)</w:t>
            </w:r>
          </w:p>
        </w:tc>
      </w:tr>
      <w:tr>
        <w:tc>
          <w:tcPr/>
          <w:p>
            <w:pPr>
              <w:pStyle w:val="Compact"/>
            </w:pPr>
            <w:r>
              <w:t xml:space="preserve">CP-7</w:t>
            </w:r>
          </w:p>
        </w:tc>
        <w:tc>
          <w:tcPr/>
          <w:p>
            <w:pPr>
              <w:pStyle w:val="Compact"/>
            </w:pPr>
            <w:r>
              <w:t xml:space="preserve">Alternate Processing Site</w:t>
            </w:r>
          </w:p>
        </w:tc>
        <w:tc>
          <w:tcPr/>
          <w:p>
            <w:pPr>
              <w:pStyle w:val="Compact"/>
            </w:pPr>
            <w:r>
              <w:t xml:space="preserve">No formal alternate processing site; failover capability exists but not documented in CP</w:t>
            </w:r>
          </w:p>
        </w:tc>
        <w:tc>
          <w:tcPr/>
          <w:p>
            <w:pPr>
              <w:pStyle w:val="Compact"/>
            </w:pPr>
            <w:r>
              <w:t xml:space="preserve">Secondary cloud region documented as alternate processing site; application failover procedures in Appendix D; SQL AG failover in Appendix B; tested RTO values from last DR test recorded in CP-2</w:t>
            </w:r>
          </w:p>
        </w:tc>
        <w:tc>
          <w:tcPr/>
          <w:p>
            <w:pPr>
              <w:pStyle w:val="Compact"/>
            </w:pPr>
            <w:r>
              <w:t xml:space="preserve">NIST SP 800-53 Rev 5 CP-7</w:t>
            </w:r>
          </w:p>
        </w:tc>
      </w:tr>
      <w:tr>
        <w:tc>
          <w:tcPr/>
          <w:p>
            <w:pPr>
              <w:pStyle w:val="Compact"/>
            </w:pPr>
            <w:r>
              <w:t xml:space="preserve">CP-7(1)</w:t>
            </w:r>
          </w:p>
        </w:tc>
        <w:tc>
          <w:tcPr/>
          <w:p>
            <w:pPr>
              <w:pStyle w:val="Compact"/>
            </w:pPr>
            <w:r>
              <w:t xml:space="preserve">Separation from Primary Site</w:t>
            </w:r>
          </w:p>
        </w:tc>
        <w:tc>
          <w:tcPr/>
          <w:p>
            <w:pPr>
              <w:pStyle w:val="Compact"/>
            </w:pPr>
            <w:r>
              <w:t xml:space="preserve">Secondary region in same metro area; single disaster could affect both</w:t>
            </w:r>
          </w:p>
        </w:tc>
        <w:tc>
          <w:tcPr/>
          <w:p>
            <w:pPr>
              <w:pStyle w:val="Compact"/>
            </w:pPr>
            <w:r>
              <w:t xml:space="preserve">Secondary region confirmed geographically separated; CSP region pair documentation referenced; separation requirement stated in CP-2 alternate site section</w:t>
            </w:r>
          </w:p>
        </w:tc>
        <w:tc>
          <w:tcPr/>
          <w:p>
            <w:pPr>
              <w:pStyle w:val="Compact"/>
            </w:pPr>
            <w:r>
              <w:t xml:space="preserve">NIST SP 800-53 Rev 5 CP-7(1)</w:t>
            </w:r>
          </w:p>
        </w:tc>
      </w:tr>
      <w:tr>
        <w:tc>
          <w:tcPr/>
          <w:p>
            <w:pPr>
              <w:pStyle w:val="Compact"/>
            </w:pPr>
            <w:r>
              <w:t xml:space="preserve">CP-7(3)</w:t>
            </w:r>
          </w:p>
        </w:tc>
        <w:tc>
          <w:tcPr/>
          <w:p>
            <w:pPr>
              <w:pStyle w:val="Compact"/>
            </w:pPr>
            <w:r>
              <w:t xml:space="preserve">Priority of Service</w:t>
            </w:r>
          </w:p>
        </w:tc>
        <w:tc>
          <w:tcPr/>
          <w:p>
            <w:pPr>
              <w:pStyle w:val="Compact"/>
            </w:pPr>
            <w:r>
              <w:t xml:space="preserve">No priority-of-service agreements with CSP or telecom carriers</w:t>
            </w:r>
          </w:p>
        </w:tc>
        <w:tc>
          <w:tcPr/>
          <w:p>
            <w:pPr>
              <w:pStyle w:val="Compact"/>
            </w:pPr>
            <w:r>
              <w:t xml:space="preserve">Tier N CSP support agreement documented; carrier priority restoration agreements referenced in CP-8 documentation block; out-of-band cellular circuit for command-and-control</w:t>
            </w:r>
          </w:p>
        </w:tc>
        <w:tc>
          <w:tcPr/>
          <w:p>
            <w:pPr>
              <w:pStyle w:val="Compact"/>
            </w:pPr>
            <w:r>
              <w:t xml:space="preserve">NIST SP 800-53 Rev 5 CP-7(3)</w:t>
            </w:r>
          </w:p>
        </w:tc>
      </w:tr>
      <w:tr>
        <w:tc>
          <w:tcPr/>
          <w:p>
            <w:pPr>
              <w:pStyle w:val="Compact"/>
            </w:pPr>
            <w:r>
              <w:t xml:space="preserve">CP-8</w:t>
            </w:r>
          </w:p>
        </w:tc>
        <w:tc>
          <w:tcPr/>
          <w:p>
            <w:pPr>
              <w:pStyle w:val="Compact"/>
            </w:pPr>
            <w:r>
              <w:t xml:space="preserve">Telecommunications Services</w:t>
            </w:r>
          </w:p>
        </w:tc>
        <w:tc>
          <w:tcPr/>
          <w:p>
            <w:pPr>
              <w:pStyle w:val="Compact"/>
            </w:pPr>
            <w:r>
              <w:t xml:space="preserve">Single-carrier WAN; no documented alternate; SD-WAN dual underlay not formally tied to CP</w:t>
            </w:r>
          </w:p>
        </w:tc>
        <w:tc>
          <w:tcPr/>
          <w:p>
            <w:pPr>
              <w:pStyle w:val="Compact"/>
            </w:pPr>
            <w:r>
              <w:t xml:space="preserve">SD-WAN dual underlay (MPLS + DIA, separate carriers) documented as primary and alternate telecommunications in CP-2; overlay probe-driven automatic failover configuration documented; annual path failover test</w:t>
            </w:r>
          </w:p>
        </w:tc>
        <w:tc>
          <w:tcPr/>
          <w:p>
            <w:pPr>
              <w:pStyle w:val="Compact"/>
            </w:pPr>
            <w:r>
              <w:t xml:space="preserve">NIST SP 800-53 Rev 5 CP-8</w:t>
            </w:r>
          </w:p>
        </w:tc>
      </w:tr>
      <w:tr>
        <w:tc>
          <w:tcPr/>
          <w:p>
            <w:pPr>
              <w:pStyle w:val="Compact"/>
            </w:pPr>
            <w:r>
              <w:t xml:space="preserve">CP-8(1)</w:t>
            </w:r>
          </w:p>
        </w:tc>
        <w:tc>
          <w:tcPr/>
          <w:p>
            <w:pPr>
              <w:pStyle w:val="Compact"/>
            </w:pPr>
            <w:r>
              <w:t xml:space="preserve">Priority of Service Provisions</w:t>
            </w:r>
          </w:p>
        </w:tc>
        <w:tc>
          <w:tcPr/>
          <w:p>
            <w:pPr>
              <w:pStyle w:val="Compact"/>
            </w:pPr>
            <w:r>
              <w:t xml:space="preserve">No priority restoration agreement with telecom carriers</w:t>
            </w:r>
          </w:p>
        </w:tc>
        <w:tc>
          <w:tcPr/>
          <w:p>
            <w:pPr>
              <w:pStyle w:val="Compact"/>
            </w:pPr>
            <w:r>
              <w:t xml:space="preserve">Primary carrier priority restoration SLA documented; backup carrier commercial SLA documented; cellular OOB management for command-and-control when both fail</w:t>
            </w:r>
          </w:p>
        </w:tc>
        <w:tc>
          <w:tcPr/>
          <w:p>
            <w:pPr>
              <w:pStyle w:val="Compact"/>
            </w:pPr>
            <w:r>
              <w:t xml:space="preserve">NIST SP 800-53 Rev 5 CP-8(1)</w:t>
            </w:r>
          </w:p>
        </w:tc>
      </w:tr>
      <w:tr>
        <w:tc>
          <w:tcPr/>
          <w:p>
            <w:pPr>
              <w:pStyle w:val="Compact"/>
            </w:pPr>
            <w:r>
              <w:t xml:space="preserve">CP-9</w:t>
            </w:r>
          </w:p>
        </w:tc>
        <w:tc>
          <w:tcPr/>
          <w:p>
            <w:pPr>
              <w:pStyle w:val="Compact"/>
            </w:pPr>
            <w:r>
              <w:t xml:space="preserve">System Backup</w:t>
            </w:r>
          </w:p>
        </w:tc>
        <w:tc>
          <w:tcPr/>
          <w:p>
            <w:pPr>
              <w:pStyle w:val="Compact"/>
            </w:pPr>
            <w:r>
              <w:t xml:space="preserve">Addressed in Parts 8 and 9; extended here to audit logs and config baselines</w:t>
            </w:r>
          </w:p>
        </w:tc>
        <w:tc>
          <w:tcPr/>
          <w:p>
            <w:pPr>
              <w:pStyle w:val="Compact"/>
            </w:pPr>
            <w:r>
              <w:t xml:space="preserve">Audit log backup via geo-redundant Log Analytics (Part 13) explicitly referenced in CP-2 as CP-9 evidence; config baseline exports in secondary Key Vault documented</w:t>
            </w:r>
          </w:p>
        </w:tc>
        <w:tc>
          <w:tcPr/>
          <w:p>
            <w:pPr>
              <w:pStyle w:val="Compact"/>
            </w:pPr>
            <w:r>
              <w:t xml:space="preserve">NIST SP 800-53 Rev 5 CP-9</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Recovery procedures exist but reconstitution back to primary site not documented</w:t>
            </w:r>
          </w:p>
        </w:tc>
        <w:tc>
          <w:tcPr/>
          <w:p>
            <w:pPr>
              <w:pStyle w:val="Compact"/>
            </w:pPr>
            <w:r>
              <w:t xml:space="preserve">Section 6 of CP-2 documents reconstitution: data sync before failback, per-component failback procedures in appendices (-R sections), validation checklist, and formal deactivation declaration</w:t>
            </w:r>
          </w:p>
        </w:tc>
        <w:tc>
          <w:tcPr/>
          <w:p>
            <w:pPr>
              <w:pStyle w:val="Compact"/>
            </w:pPr>
            <w:r>
              <w:t xml:space="preserve">NIST SP 800-53 Rev 5 CP-10</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pPr>
              <w:pStyle w:val="BodyText"/>
            </w:pPr>
            <w:r>
              <w:rPr>
                <w:b/>
                <w:bCs/>
              </w:rPr>
              <w:t xml:space="preserve">KSI: Backup and Recovery (maps to CP-6, CP-7, CP-9).</w:t>
            </w:r>
            <w:r>
              <w:t xml:space="preserve"> </w:t>
            </w:r>
            <w:r>
              <w:t xml:space="preserve">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w:t>
            </w:r>
            <w:r>
              <w:t xml:space="preserve"> </w:t>
            </w:r>
            <w:r>
              <w:t xml:space="preserve">“What is the current RPO for each critical system, and when was the last successful recovery test?”</w:t>
            </w:r>
          </w:p>
          <w:p>
            <w:pPr>
              <w:pStyle w:val="BodyText"/>
            </w:pPr>
            <w:r>
              <w:rPr>
                <w:b/>
                <w:bCs/>
              </w:rPr>
              <w:t xml:space="preserve">KSI: Incident Response and Continuity (maps to CP-2, CP-4, IR-4).</w:t>
            </w:r>
            <w:r>
              <w:t xml:space="preserve"> </w:t>
            </w:r>
            <w:r>
              <w:t xml:space="preserve">FedRAMP 20x assessors will look for evidence that contingency plans are living documents connected to operational telemetry, not static PDFs filed at authorization time. The connection points in this framework are the Sentinel alerts (Part 13) that trigger the activation threshold evaluation, the SD-WAN monitoring dashboards that evidence CP-8 path health, and the AAR tracking table that shows findings from prior tests are being resolved. Automate the evidence collection: a scheduled export of circuit uptime, replication lag, and backup age to the ISCM continuous monitoring system satisfies KSI evidence requirements without manual artifact assembly at assessment time.</w:t>
            </w:r>
          </w:p>
          <w:p>
            <w:pPr>
              <w:pStyle w:val="BodyText"/>
            </w:pPr>
            <w:pPr>
              <w:spacing w:after="16"/>
            </w:pPr>
            <w:r>
              <w:t xml:space="preserve">The Contingency Plan document is the assessor-facing artifact. The monitoring, replication, and failover capabilities from Parts 1 through 13 are the automated evidence substrate. Part 14 closes the gap between having the capability and being able to demonstrate it.</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14 — Federal Application-Aware Networking — Part 14</dc:title>
  <dc:creator>SSA Cloud Services Team</dc:creator>
  <cp:keywords/>
  <dcterms:created xsi:type="dcterms:W3CDTF">2026-07-08T09:36:42Z</dcterms:created>
  <dcterms:modified xsi:type="dcterms:W3CDTF">2026-07-08T09:36:42Z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Federal Business Continuity: Contingency Planning, DR Architecture, and Recovery Validation</vt:lpwstr>
  </property>
  <property fmtid="{D5CDD505-2E9C-101B-9397-08002B2CF9AE}" pid="14" name="toc-title">
    <vt:lpwstr>Table of contents</vt:lpwstr>
  </property>
</Properties>
</file>