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19 — Federal Application-Aware Networking — Part 19</w:t>
      </w:r>
    </w:p>
    <w:p>
      <w:pPr>
        <w:pStyle w:val="Subtitle"/>
      </w:pPr>
      <w:r>
        <w:t xml:space="preserve">Agency Authorization Package (20x KSI Evidence Schema), Continuous Monitoring, and BOD 26-04 Submission</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preface"/>
    <w:p>
      <w:pPr>
        <w:pStyle w:val="Heading1"/>
      </w:pPr>
      <w:r>
        <w:t xml:space="preserve">1. 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with ConMon evidence modeled on the</w:t>
      </w:r>
      <w:r>
        <w:t xml:space="preserve"> </w:t>
      </w:r>
      <w:r>
        <w:t xml:space="preserve">FedRAMP 20x CR26 KSI schema (29 rules in the ADR-111 rule set). This document</w:t>
      </w:r>
      <w:r>
        <w:t xml:space="preserve"> </w:t>
      </w:r>
      <w:r>
        <w:t xml:space="preserve">assembles those artifacts into the</w:t>
      </w:r>
      <w:r>
        <w:t xml:space="preserve"> </w:t>
      </w:r>
      <w:r>
        <w:rPr>
          <w:b/>
          <w:bCs/>
        </w:rPr>
        <w:t xml:space="preserve">agency RMF authorization package</w:t>
      </w:r>
      <w:r>
        <w:t xml:space="preserve"> </w:t>
      </w:r>
      <w:r>
        <w:t xml:space="preserve">— the</w:t>
      </w:r>
      <w:r>
        <w:t xml:space="preserve"> </w:t>
      </w:r>
      <w:r>
        <w:t xml:space="preserve">formal package presented to the SSA Authorizing Official for an agency</w:t>
      </w:r>
      <w:r>
        <w:t xml:space="preserve"> </w:t>
      </w:r>
      <w:r>
        <w:t xml:space="preserve">Authorization to Operate (ATO) under NIST SP 800-37, with the FedRAMP-authorized</w:t>
      </w:r>
      <w:r>
        <w:t xml:space="preserve"> </w:t>
      </w:r>
      <w:r>
        <w:t xml:space="preserve">cloud services SSA consumes documented as inherited (leveraged) authorizations.</w:t>
      </w:r>
      <w:r>
        <w:t xml:space="preserve"> </w:t>
      </w:r>
      <w:r>
        <w:t xml:space="preserve">SSA is a consuming agency, not a cloud service provider: nothing in this package</w:t>
      </w:r>
      <w:r>
        <w:t xml:space="preserve"> </w:t>
      </w:r>
      <w:r>
        <w:t xml:space="preserve">is submitted to the FedRAMP PMO. The FedRAMP 20x pipeline (Class A/B/C windows)</w:t>
      </w:r>
      <w:r>
        <w:t xml:space="preserve"> </w:t>
      </w:r>
      <w:r>
        <w:t xml:space="preserve">applies to the CSOs SSA inherits, and this book tracks those provider timelines</w:t>
      </w:r>
      <w:r>
        <w:t xml:space="preserve"> </w:t>
      </w:r>
      <w:r>
        <w:t xml:space="preserve">where they matter to inheritance.</w:t>
      </w:r>
    </w:p>
    <w:p>
      <w:pPr>
        <w:pStyle w:val="BodyText"/>
      </w:pPr>
      <w:r>
        <w:t xml:space="preserve">Part 19 addresses four deliverables:</w:t>
      </w:r>
    </w:p>
    <w:p>
      <w:pPr>
        <w:pStyle w:val="Compact"/>
        <w:numPr>
          <w:ilvl w:val="0"/>
          <w:numId w:val="1001"/>
        </w:numPr>
      </w:pPr>
      <w:r>
        <w:rPr>
          <w:b/>
          <w:bCs/>
        </w:rPr>
        <w:t xml:space="preserve">Authorization Package Structure</w:t>
      </w:r>
      <w:r>
        <w:t xml:space="preserve"> </w:t>
      </w:r>
      <w:r>
        <w:t xml:space="preserve">— what documents, in which format, presented to whom</w:t>
      </w:r>
    </w:p>
    <w:p>
      <w:pPr>
        <w:pStyle w:val="Compact"/>
        <w:numPr>
          <w:ilvl w:val="0"/>
          <w:numId w:val="1001"/>
        </w:numPr>
      </w:pPr>
      <w:r>
        <w:rPr>
          <w:b/>
          <w:bCs/>
        </w:rPr>
        <w:t xml:space="preserve">Continuous Monitoring Program</w:t>
      </w:r>
      <w:r>
        <w:t xml:space="preserve"> </w:t>
      </w:r>
      <w:r>
        <w:t xml:space="preserve">— how the evidence stays fresh after ATO (CA-7)</w:t>
      </w:r>
    </w:p>
    <w:p>
      <w:pPr>
        <w:pStyle w:val="Compact"/>
        <w:numPr>
          <w:ilvl w:val="0"/>
          <w:numId w:val="1001"/>
        </w:numPr>
      </w:pPr>
      <w:r>
        <w:rPr>
          <w:b/>
          <w:bCs/>
        </w:rPr>
        <w:t xml:space="preserve">BOD 26-04 VDR/VER Submission</w:t>
      </w:r>
      <w:r>
        <w:t xml:space="preserve"> </w:t>
      </w:r>
      <w:r>
        <w:t xml:space="preserve">— the December 7, 2026 SBOM + vendor disclosure</w:t>
      </w:r>
    </w:p>
    <w:p>
      <w:pPr>
        <w:pStyle w:val="Compact"/>
        <w:numPr>
          <w:ilvl w:val="0"/>
          <w:numId w:val="1001"/>
        </w:numPr>
      </w:pPr>
      <w:r>
        <w:rPr>
          <w:b/>
          <w:bCs/>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12"/>
    <w:bookmarkStart w:id="21" w:name="X70efa09bcd901153efae60d4c7e6cdeb46a682d"/>
    <w:p>
      <w:pPr>
        <w:pStyle w:val="Heading1"/>
      </w:pPr>
      <w:r>
        <w:t xml:space="preserve">2. 1 The Eighteen-Book Journey — All 29 ADR-111 KSI Rules Evaluable at High Confidence</w:t>
      </w:r>
    </w:p>
    <w:bookmarkStart w:id="16" w:name="series-summary"/>
    <w:p>
      <w:pPr>
        <w:pStyle w:val="Heading2"/>
      </w:pPr>
      <w:r>
        <w:t xml:space="preserve">2.1 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
          <w:bCs/>
        </w:rPr>
        <w:t xml:space="preserve">89+ distinct NIST controls</w:t>
      </w:r>
      <w:r>
        <w:t xml:space="preserve"> </w:t>
      </w:r>
      <w:r>
        <w:t xml:space="preserve">and provides</w:t>
      </w:r>
      <w:r>
        <w:t xml:space="preserve"> </w:t>
      </w:r>
      <w:r>
        <w:t xml:space="preserve">self-assessed evidence for all</w:t>
      </w:r>
      <w:r>
        <w:t xml:space="preserve"> </w:t>
      </w:r>
      <w:r>
        <w:rPr>
          <w:b/>
          <w:bCs/>
        </w:rPr>
        <w:t xml:space="preserve">29 KSI rules in the ADR-111 rule set</w:t>
      </w:r>
      <w:r>
        <w:t xml:space="preserve"> </w:t>
      </w:r>
      <w:r>
        <w:t xml:space="preserve">(modeled on the FedRAMP 20x CR26 KSI schema).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through a security control assessment (SCA) — SSA may</w:t>
            </w:r>
            <w:r>
              <w:t xml:space="preserve"> </w:t>
            </w:r>
            <w:r>
              <w:t xml:space="preserve">engage a FedRAMP-recognized 3PAO as its independent assessor — and accepted by</w:t>
            </w:r>
            <w:r>
              <w:t xml:space="preserve"> </w:t>
            </w:r>
            <w:r>
              <w:t xml:space="preserve">the Agency Authorizing Official before an ATO is granted.</w:t>
            </w:r>
          </w:p>
          <w:p>
            <w:pPr>
              <w:pStyle w:val="BodyText"/>
            </w:pPr>
            <w:pPr>
              <w:spacing w:after="16"/>
            </w:pPr>
            <w:r>
              <w:rPr>
                <w:b/>
                <w:bCs/>
              </w:rPr>
              <w:t xml:space="preserve">KSI-count reconciliation (open item).</w:t>
            </w:r>
            <w:r>
              <w:t xml:space="preserve"> </w:t>
            </w:r>
            <w:r>
              <w:t xml:space="preserve">The 29 rules evaluated here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The 29-rule set must be diffed rule-ID-by-rule-ID against the</w:t>
            </w:r>
            <w:r>
              <w:t xml:space="preserve"> </w:t>
            </w:r>
            <w:r>
              <w:t xml:space="preserve">finalized CR26 Moderate list (June 25, 2026), with the mapping stated</w:t>
            </w:r>
            <w:r>
              <w:t xml:space="preserve"> </w:t>
            </w:r>
            <w:r>
              <w:t xml:space="preserve">explicitly, before</w:t>
            </w:r>
            <w:r>
              <w:t xml:space="preserve"> </w:t>
            </w:r>
            <w:r>
              <w:t xml:space="preserve">“29/29 satisfied”</w:t>
            </w:r>
            <w:r>
              <w:t xml:space="preserve"> </w:t>
            </w:r>
            <w:r>
              <w:t xml:space="preserve">is carried into any authorization</w:t>
            </w:r>
            <w:r>
              <w:t xml:space="preserve"> </w:t>
            </w:r>
            <w:r>
              <w:t xml:space="preserve">decision.</w:t>
            </w:r>
          </w:p>
          <w:p/>
        </w:tc>
      </w:tr>
    </w:tbl>
    <w:p>
      <w:pPr>
        <w:pStyle w:val="TableCaption"/>
      </w:pPr>
      <w:r>
        <w:t xml:space="preserve">Federal AAN Series — Control Coverage Summary</w:t>
      </w:r>
    </w:p>
    <w:tbl>
      <w:tblPr>
        <w:tblStyle w:val="Table"/>
        <w:tblW w:type="pct" w:w="5000"/>
        <w:tblLayout w:type="fixed"/>
        <w:tblLook w:firstRow="1" w:lastRow="0" w:firstColumn="0" w:lastColumn="0" w:noHBand="0" w:noVBand="0" w:val="0020"/>
        <w:tblCaption w:val="Federal AAN Series — Control Coverage Summary"/>
      </w:tblPr>
      <w:tblGrid>
        <w:gridCol w:w="2066"/>
        <w:gridCol w:w="2410"/>
        <w:gridCol w:w="3443"/>
      </w:tblGrid>
      <w:tr>
        <w:trPr>
          <w:tblHeader w:val="on"/>
        </w:trPr>
        <w:tc>
          <w:tcPr/>
          <w:p>
            <w:pPr>
              <w:pStyle w:val="Compact"/>
            </w:pPr>
            <w:r>
              <w:t xml:space="preserve">Book</w:t>
            </w:r>
          </w:p>
        </w:tc>
        <w:tc>
          <w:tcPr/>
          <w:p>
            <w:pPr>
              <w:pStyle w:val="Compact"/>
            </w:pPr>
            <w:r>
              <w:t xml:space="preserve">Topic</w:t>
            </w:r>
          </w:p>
        </w:tc>
        <w:tc>
          <w:tcPr/>
          <w:p>
            <w:pPr>
              <w:pStyle w:val="Compact"/>
            </w:pPr>
            <w:r>
              <w:t xml:space="preserve">Controls</w:t>
            </w:r>
          </w:p>
        </w:tc>
      </w:tr>
      <w:tr>
        <w:tc>
          <w:tcPr/>
          <w:p>
            <w:pPr>
              <w:pStyle w:val="Compact"/>
            </w:pPr>
            <w:r>
              <w:t xml:space="preserve">Part 1</w:t>
            </w:r>
          </w:p>
        </w:tc>
        <w:tc>
          <w:tcPr/>
          <w:p>
            <w:pPr>
              <w:pStyle w:val="Compact"/>
            </w:pPr>
            <w:r>
              <w:t xml:space="preserve">InfoBlox DDI — IPAM, DNS, DHCP, PKI</w:t>
            </w:r>
          </w:p>
        </w:tc>
        <w:tc>
          <w:tcPr/>
          <w:p>
            <w:pPr>
              <w:pStyle w:val="Compact"/>
            </w:pPr>
            <w:r>
              <w:t xml:space="preserve">16</w:t>
            </w:r>
          </w:p>
        </w:tc>
      </w:tr>
      <w:tr>
        <w:tc>
          <w:tcPr/>
          <w:p>
            <w:pPr>
              <w:pStyle w:val="Compact"/>
            </w:pPr>
            <w:r>
              <w:t xml:space="preserve">Part 2</w:t>
            </w:r>
          </w:p>
        </w:tc>
        <w:tc>
          <w:tcPr/>
          <w:p>
            <w:pPr>
              <w:pStyle w:val="Compact"/>
            </w:pPr>
            <w:r>
              <w:t xml:space="preserve">Network Access Control — 802.1X device identity at the port (device-identity evidence for the network and endpoint slot families)</w:t>
            </w:r>
          </w:p>
        </w:tc>
        <w:tc>
          <w:tcPr/>
          <w:p>
            <w:pPr>
              <w:pStyle w:val="Compact"/>
            </w:pPr>
            <w:r>
              <w:t xml:space="preserve">IA-3, IA-3(1), AC-19, SC-7(3), SC-7(5), CM-8</w:t>
            </w:r>
          </w:p>
        </w:tc>
      </w:tr>
      <w:tr>
        <w:tc>
          <w:tcPr/>
          <w:p>
            <w:pPr>
              <w:pStyle w:val="Compact"/>
            </w:pPr>
            <w:r>
              <w:t xml:space="preserve">Part 3</w:t>
            </w:r>
          </w:p>
        </w:tc>
        <w:tc>
          <w:tcPr/>
          <w:p>
            <w:pPr>
              <w:pStyle w:val="Compact"/>
            </w:pPr>
            <w:r>
              <w:t xml:space="preserve">Certificates and Tokens — cryptographic identity (PKI lifecycle, OAuth/OIDC, CBA; identity slot family evidence)</w:t>
            </w:r>
          </w:p>
        </w:tc>
        <w:tc>
          <w:tcPr/>
          <w:p>
            <w:pPr>
              <w:pStyle w:val="Compact"/>
            </w:pPr>
            <w:r>
              <w:t xml:space="preserve">IA-2(1)/(2), IA-5(2), SC-12, SC-17</w:t>
            </w:r>
          </w:p>
        </w:tc>
      </w:tr>
      <w:tr>
        <w:tc>
          <w:tcPr/>
          <w:p>
            <w:pPr>
              <w:pStyle w:val="Compact"/>
            </w:pPr>
            <w:r>
              <w:t xml:space="preserve">Part 4</w:t>
            </w:r>
          </w:p>
        </w:tc>
        <w:tc>
          <w:tcPr/>
          <w:p>
            <w:pPr>
              <w:pStyle w:val="Compact"/>
            </w:pPr>
            <w:r>
              <w:t xml:space="preserve">OPM HRIT and the Identity &amp; Organizational SSOT — Oracle HCM Cloud as the HR system of record (identity slot family evidence, slot-01)</w:t>
            </w:r>
          </w:p>
        </w:tc>
        <w:tc>
          <w:tcPr/>
          <w:p>
            <w:pPr>
              <w:pStyle w:val="Compact"/>
            </w:pPr>
            <w:r>
              <w:t xml:space="preserve">AC-2, AC-2(1), PS-4, PS-5, IA-4, SI-12</w:t>
            </w:r>
          </w:p>
        </w:tc>
      </w:tr>
      <w:tr>
        <w:tc>
          <w:tcPr/>
          <w:p>
            <w:pPr>
              <w:pStyle w:val="Compact"/>
            </w:pPr>
            <w:r>
              <w:t xml:space="preserve">Part 6</w:t>
            </w:r>
          </w:p>
        </w:tc>
        <w:tc>
          <w:tcPr/>
          <w:p>
            <w:pPr>
              <w:pStyle w:val="Compact"/>
            </w:pPr>
            <w:r>
              <w:t xml:space="preserve">SD-WAN, SASE, UC (Teams Phone, Amazon Connect)</w:t>
            </w:r>
          </w:p>
        </w:tc>
        <w:tc>
          <w:tcPr/>
          <w:p>
            <w:pPr>
              <w:pStyle w:val="Compact"/>
            </w:pPr>
            <w:r>
              <w:t xml:space="preserve">7</w:t>
            </w:r>
          </w:p>
        </w:tc>
      </w:tr>
      <w:tr>
        <w:tc>
          <w:tcPr/>
          <w:p>
            <w:pPr>
              <w:pStyle w:val="Compact"/>
            </w:pPr>
            <w:r>
              <w:t xml:space="preserve">Part 5</w:t>
            </w:r>
          </w:p>
        </w:tc>
        <w:tc>
          <w:tcPr/>
          <w:p>
            <w:pPr>
              <w:pStyle w:val="Compact"/>
            </w:pPr>
            <w:r>
              <w:t xml:space="preserve">Entra ID, ZTNA, Active Governance</w:t>
            </w:r>
          </w:p>
        </w:tc>
        <w:tc>
          <w:tcPr/>
          <w:p>
            <w:pPr>
              <w:pStyle w:val="Compact"/>
            </w:pPr>
            <w:r>
              <w:t xml:space="preserve">12</w:t>
            </w:r>
          </w:p>
        </w:tc>
      </w:tr>
      <w:tr>
        <w:tc>
          <w:tcPr/>
          <w:p>
            <w:pPr>
              <w:pStyle w:val="Compact"/>
            </w:pPr>
            <w:r>
              <w:t xml:space="preserve">Part 7</w:t>
            </w:r>
          </w:p>
        </w:tc>
        <w:tc>
          <w:tcPr/>
          <w:p>
            <w:pPr>
              <w:pStyle w:val="Compact"/>
            </w:pPr>
            <w:r>
              <w:t xml:space="preserve">SQL Server Authentication Modernization</w:t>
            </w:r>
          </w:p>
        </w:tc>
        <w:tc>
          <w:tcPr/>
          <w:p>
            <w:pPr>
              <w:pStyle w:val="Compact"/>
            </w:pPr>
            <w:r>
              <w:t xml:space="preserve">IA family (depth)</w:t>
            </w:r>
          </w:p>
        </w:tc>
      </w:tr>
      <w:tr>
        <w:tc>
          <w:tcPr/>
          <w:p>
            <w:pPr>
              <w:pStyle w:val="Compact"/>
            </w:pPr>
            <w:r>
              <w:t xml:space="preserve">Part 8</w:t>
            </w:r>
          </w:p>
        </w:tc>
        <w:tc>
          <w:tcPr/>
          <w:p>
            <w:pPr>
              <w:pStyle w:val="Compact"/>
            </w:pPr>
            <w:r>
              <w:t xml:space="preserve">SQL Server Implementation Runbook</w:t>
            </w:r>
          </w:p>
        </w:tc>
        <w:tc>
          <w:tcPr/>
          <w:p>
            <w:pPr>
              <w:pStyle w:val="Compact"/>
            </w:pPr>
            <w:r>
              <w:t xml:space="preserve">Procedural evidence</w:t>
            </w:r>
          </w:p>
        </w:tc>
      </w:tr>
      <w:tr>
        <w:tc>
          <w:tcPr/>
          <w:p>
            <w:pPr>
              <w:pStyle w:val="Compact"/>
            </w:pPr>
            <w:r>
              <w:t xml:space="preserve">Part 9</w:t>
            </w:r>
          </w:p>
        </w:tc>
        <w:tc>
          <w:tcPr/>
          <w:p>
            <w:pPr>
              <w:pStyle w:val="Compact"/>
            </w:pPr>
            <w:r>
              <w:t xml:space="preserve">Database Architecture / Network Physics</w:t>
            </w:r>
          </w:p>
        </w:tc>
        <w:tc>
          <w:tcPr/>
          <w:p>
            <w:pPr>
              <w:pStyle w:val="Compact"/>
            </w:pPr>
            <w:r>
              <w:t xml:space="preserve">SC/SI families (depth)</w:t>
            </w:r>
          </w:p>
        </w:tc>
      </w:tr>
      <w:tr>
        <w:tc>
          <w:tcPr/>
          <w:p>
            <w:pPr>
              <w:pStyle w:val="Compact"/>
            </w:pPr>
            <w:r>
              <w:t xml:space="preserve">Part 10</w:t>
            </w:r>
          </w:p>
        </w:tc>
        <w:tc>
          <w:tcPr/>
          <w:p>
            <w:pPr>
              <w:pStyle w:val="Compact"/>
            </w:pPr>
            <w:r>
              <w:t xml:space="preserve">Privileged Access Management (Entra PIM + PAW)</w:t>
            </w:r>
          </w:p>
        </w:tc>
        <w:tc>
          <w:tcPr/>
          <w:p>
            <w:pPr>
              <w:pStyle w:val="Compact"/>
            </w:pPr>
            <w:r>
              <w:t xml:space="preserve">AC-5, AC-6(×7), AC-11/12, IA-11</w:t>
            </w:r>
          </w:p>
        </w:tc>
      </w:tr>
      <w:tr>
        <w:tc>
          <w:tcPr/>
          <w:p>
            <w:pPr>
              <w:pStyle w:val="Compact"/>
            </w:pPr>
            <w:r>
              <w:t xml:space="preserve">Part 11</w:t>
            </w:r>
          </w:p>
        </w:tc>
        <w:tc>
          <w:tcPr/>
          <w:p>
            <w:pPr>
              <w:pStyle w:val="Compact"/>
            </w:pPr>
            <w:r>
              <w:t xml:space="preserve">Vulnerability Management (Defender VM + KEV)</w:t>
            </w:r>
          </w:p>
        </w:tc>
        <w:tc>
          <w:tcPr/>
          <w:p>
            <w:pPr>
              <w:pStyle w:val="Compact"/>
            </w:pPr>
            <w:r>
              <w:t xml:space="preserve">RA-5(×3), SI-2(×2), SI-5, CM-7(×2)</w:t>
            </w:r>
          </w:p>
        </w:tc>
      </w:tr>
      <w:tr>
        <w:tc>
          <w:tcPr/>
          <w:p>
            <w:pPr>
              <w:pStyle w:val="Compact"/>
            </w:pPr>
            <w:r>
              <w:t xml:space="preserve">Part 12</w:t>
            </w:r>
          </w:p>
        </w:tc>
        <w:tc>
          <w:tcPr/>
          <w:p>
            <w:pPr>
              <w:pStyle w:val="Compact"/>
            </w:pPr>
            <w:r>
              <w:t xml:space="preserve">Data Protection (Purview + Key Vault CMK)</w:t>
            </w:r>
          </w:p>
        </w:tc>
        <w:tc>
          <w:tcPr/>
          <w:p>
            <w:pPr>
              <w:pStyle w:val="Compact"/>
            </w:pPr>
            <w:r>
              <w:t xml:space="preserve">MP-2–5, SC-12/13/17/28, AU-10</w:t>
            </w:r>
          </w:p>
        </w:tc>
      </w:tr>
      <w:tr>
        <w:tc>
          <w:tcPr/>
          <w:p>
            <w:pPr>
              <w:pStyle w:val="Compact"/>
            </w:pPr>
            <w:r>
              <w:t xml:space="preserve">Part 13</w:t>
            </w:r>
          </w:p>
        </w:tc>
        <w:tc>
          <w:tcPr/>
          <w:p>
            <w:pPr>
              <w:pStyle w:val="Compact"/>
            </w:pPr>
            <w:r>
              <w:t xml:space="preserve">SIEM / XDR / Detection Engineering (Sentinel)</w:t>
            </w:r>
          </w:p>
        </w:tc>
        <w:tc>
          <w:tcPr/>
          <w:p>
            <w:pPr>
              <w:pStyle w:val="Compact"/>
            </w:pPr>
            <w:r>
              <w:t xml:space="preserve">AU-6(×3), AU-7/8/11, SI-4(×4), IR-4/6/8</w:t>
            </w:r>
          </w:p>
        </w:tc>
      </w:tr>
      <w:tr>
        <w:tc>
          <w:tcPr/>
          <w:p>
            <w:pPr>
              <w:pStyle w:val="Compact"/>
            </w:pPr>
            <w:r>
              <w:t xml:space="preserve">Part 14</w:t>
            </w:r>
          </w:p>
        </w:tc>
        <w:tc>
          <w:tcPr/>
          <w:p>
            <w:pPr>
              <w:pStyle w:val="Compact"/>
            </w:pPr>
            <w:r>
              <w:t xml:space="preserve">Business Continuity / Contingency Planning</w:t>
            </w:r>
          </w:p>
        </w:tc>
        <w:tc>
          <w:tcPr/>
          <w:p>
            <w:pPr>
              <w:pStyle w:val="Compact"/>
            </w:pPr>
            <w:r>
              <w:t xml:space="preserve">CP-2(×3), CP-3/4(×2), CP-6/7(×3), CP-8(×2)</w:t>
            </w:r>
          </w:p>
        </w:tc>
      </w:tr>
      <w:tr>
        <w:tc>
          <w:tcPr/>
          <w:p>
            <w:pPr>
              <w:pStyle w:val="Compact"/>
            </w:pPr>
            <w:r>
              <w:t xml:space="preserve">Part 15</w:t>
            </w:r>
          </w:p>
        </w:tc>
        <w:tc>
          <w:tcPr/>
          <w:p>
            <w:pPr>
              <w:pStyle w:val="Compact"/>
            </w:pPr>
            <w:r>
              <w:t xml:space="preserve">Supply Chain Risk / SBOM / VDR</w:t>
            </w:r>
          </w:p>
        </w:tc>
        <w:tc>
          <w:tcPr/>
          <w:p>
            <w:pPr>
              <w:pStyle w:val="Compact"/>
            </w:pPr>
            <w:r>
              <w:t xml:space="preserve">SR-1–3/5/6/8/10/11 + BOD 26-04 framework</w:t>
            </w:r>
          </w:p>
        </w:tc>
      </w:tr>
      <w:tr>
        <w:tc>
          <w:tcPr/>
          <w:p>
            <w:pPr>
              <w:pStyle w:val="Compact"/>
            </w:pPr>
            <w:r>
              <w:t xml:space="preserve">Part 16</w:t>
            </w:r>
          </w:p>
        </w:tc>
        <w:tc>
          <w:tcPr/>
          <w:p>
            <w:pPr>
              <w:pStyle w:val="Compact"/>
            </w:pPr>
            <w:r>
              <w:t xml:space="preserve">Program Management Governance</w:t>
            </w:r>
          </w:p>
        </w:tc>
        <w:tc>
          <w:tcPr/>
          <w:p>
            <w:pPr>
              <w:pStyle w:val="Compact"/>
            </w:pPr>
            <w:r>
              <w:t xml:space="preserve">PM-1/2/5/7/9/11/14/15/30</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PT-1/2/3/4/5/7</w:t>
            </w:r>
          </w:p>
        </w:tc>
      </w:tr>
      <w:tr>
        <w:tc>
          <w:tcPr/>
          <w:p>
            <w:pPr>
              <w:pStyle w:val="Compact"/>
            </w:pPr>
            <w:r>
              <w:t xml:space="preserve">Part 18</w:t>
            </w:r>
          </w:p>
        </w:tc>
        <w:tc>
          <w:tcPr/>
          <w:p>
            <w:pPr>
              <w:pStyle w:val="Compact"/>
            </w:pPr>
            <w:r>
              <w:t xml:space="preserve">Cybersecurity Awareness and Training</w:t>
            </w:r>
          </w:p>
        </w:tc>
        <w:tc>
          <w:tcPr/>
          <w:p>
            <w:pPr>
              <w:pStyle w:val="Compact"/>
            </w:pPr>
            <w:r>
              <w:t xml:space="preserve">AT-2, AT-2(1)/2, AT-3, AT-3(3)/5, AT-4, CP-3, IR-2</w:t>
            </w:r>
          </w:p>
        </w:tc>
      </w:tr>
    </w:tbl>
    <w:bookmarkEnd w:id="16"/>
    <w:bookmarkStart w:id="20" w:name="ksi-scorecard"/>
    <w:p>
      <w:pPr>
        <w:pStyle w:val="Heading2"/>
      </w:pPr>
      <w:r>
        <w:t xml:space="preserve">2.2 1.2 KSI Scorecard</w:t>
      </w:r>
    </w:p>
    <w:p>
      <w:pPr>
        <w:pStyle w:val="FirstParagraph"/>
      </w:pPr>
      <w:r>
        <w:t xml:space="preserve">The UIAO Conformance Adapter evaluates all 29 ADR-111 KSI rules against the</w:t>
      </w:r>
      <w:r>
        <w:t xml:space="preserve"> </w:t>
      </w:r>
      <w:r>
        <w:t xml:space="preserve">AAN slot evidence. As of July 4, 2026 (self-assessment — pending independent SCA):</w:t>
      </w:r>
    </w:p>
    <w:p>
      <w:pPr>
        <w:pStyle w:val="TableCaption"/>
      </w:pPr>
      <w:r>
        <w:t xml:space="preserve">KSI Evaluation Summary — 29/29 Evaluable at High Confidence (Self-Assessed)</w:t>
      </w:r>
    </w:p>
    <w:tbl>
      <w:tblPr>
        <w:tblStyle w:val="Table"/>
        <w:tblW w:type="pct" w:w="5000"/>
        <w:tblLayout w:type="fixed"/>
        <w:tblLook w:firstRow="1" w:lastRow="0" w:firstColumn="0" w:lastColumn="0" w:noHBand="0" w:noVBand="0" w:val="0020"/>
        <w:tblCaption w:val="KSI Evaluation Summary — 29/29 Evaluable at High Confidence (Self-Assessed)"/>
      </w:tblPr>
      <w:tblGrid>
        <w:gridCol w:w="3090"/>
        <w:gridCol w:w="1352"/>
        <w:gridCol w:w="1738"/>
        <w:gridCol w:w="1738"/>
      </w:tblGrid>
      <w:tr>
        <w:trPr>
          <w:tblHeader w:val="on"/>
        </w:trPr>
        <w:tc>
          <w:tcPr/>
          <w:p>
            <w:pPr>
              <w:pStyle w:val="Compact"/>
            </w:pPr>
            <w:r>
              <w:t xml:space="preserve">Evaluation Path</w:t>
            </w:r>
          </w:p>
        </w:tc>
        <w:tc>
          <w:tcPr/>
          <w:p>
            <w:pPr>
              <w:pStyle w:val="Compact"/>
            </w:pPr>
            <w:r>
              <w:t xml:space="preserve">Count</w:t>
            </w:r>
          </w:p>
        </w:tc>
        <w:tc>
          <w:tcPr/>
          <w:p>
            <w:pPr>
              <w:pStyle w:val="Compact"/>
            </w:pPr>
            <w:r>
              <w:t xml:space="preserve">KSI IDs</w:t>
            </w:r>
          </w:p>
        </w:tc>
        <w:tc>
          <w:tcPr/>
          <w:p>
            <w:pPr>
              <w:pStyle w:val="Compact"/>
            </w:pPr>
            <w:r>
              <w:t xml:space="preserve">Verdict</w:t>
            </w:r>
          </w:p>
        </w:tc>
      </w:tr>
      <w:tr>
        <w:tc>
          <w:tcPr/>
          <w:p>
            <w:pPr>
              <w:pStyle w:val="Compact"/>
            </w:pPr>
            <w:r>
              <w:t xml:space="preserve">CISA ScuBA adapter (M365 continuous)</w:t>
            </w:r>
          </w:p>
        </w:tc>
        <w:tc>
          <w:tcPr/>
          <w:p>
            <w:pPr>
              <w:pStyle w:val="Compact"/>
            </w:pPr>
            <w:r>
              <w:t xml:space="preserve">10</w:t>
            </w:r>
          </w:p>
        </w:tc>
        <w:tc>
          <w:tcPr/>
          <w:p>
            <w:pPr>
              <w:pStyle w:val="Compact"/>
            </w:pPr>
            <w:r>
              <w:t xml:space="preserve">KSI-001..010</w:t>
            </w:r>
          </w:p>
        </w:tc>
        <w:tc>
          <w:tcPr/>
          <w:p>
            <w:pPr>
              <w:pStyle w:val="Compact"/>
            </w:pPr>
            <w:r>
              <w:rPr>
                <w:b/>
                <w:bCs/>
              </w:rPr>
              <w:t xml:space="preserve">satisfied</w:t>
            </w:r>
          </w:p>
        </w:tc>
      </w:tr>
      <w:tr>
        <w:tc>
          <w:tcPr/>
          <w:p>
            <w:pPr>
              <w:pStyle w:val="Compact"/>
            </w:pPr>
            <w:r>
              <w:t xml:space="preserve">AAN slot evaluator — high confidence</w:t>
            </w:r>
          </w:p>
        </w:tc>
        <w:tc>
          <w:tcPr/>
          <w:p>
            <w:pPr>
              <w:pStyle w:val="Compact"/>
            </w:pPr>
            <w:r>
              <w:t xml:space="preserve">19</w:t>
            </w:r>
          </w:p>
        </w:tc>
        <w:tc>
          <w:tcPr/>
          <w:p>
            <w:pPr>
              <w:pStyle w:val="Compact"/>
            </w:pPr>
            <w:r>
              <w:t xml:space="preserve">KSI-011..029</w:t>
            </w:r>
          </w:p>
        </w:tc>
        <w:tc>
          <w:tcPr/>
          <w:p>
            <w:pPr>
              <w:pStyle w:val="Compact"/>
            </w:pPr>
            <w:r>
              <w:rPr>
                <w:b/>
                <w:bCs/>
              </w:rPr>
              <w:t xml:space="preserve">satisfied</w:t>
            </w:r>
          </w:p>
        </w:tc>
      </w:tr>
      <w:tr>
        <w:tc>
          <w:tcPr/>
          <w:p>
            <w:pPr>
              <w:pStyle w:val="Compact"/>
            </w:pPr>
            <w:r>
              <w:t xml:space="preserve">Scaffold (pending evidence)</w:t>
            </w:r>
          </w:p>
        </w:tc>
        <w:tc>
          <w:tcPr/>
          <w:p>
            <w:pPr>
              <w:pStyle w:val="Compact"/>
            </w:pPr>
            <w:r>
              <w:t xml:space="preserve">0</w:t>
            </w:r>
          </w:p>
        </w:tc>
        <w:tc>
          <w:tcPr/>
          <w:p>
            <w:pPr>
              <w:pStyle w:val="Compact"/>
            </w:pPr>
            <w:r>
              <w:t xml:space="preserve">—</w:t>
            </w:r>
          </w:p>
        </w:tc>
        <w:tc>
          <w:tcPr/>
          <w:p>
            <w:pPr>
              <w:pStyle w:val="Compact"/>
            </w:pPr>
            <w:r>
              <w:t xml:space="preserve">—</w:t>
            </w:r>
          </w:p>
        </w:tc>
      </w:tr>
    </w:tbl>
    <w:p>
      <w:pPr>
        <w:pStyle w:val="BodyText"/>
      </w:pPr>
      <w:r>
        <w:t xml:space="preserve">All 29 rules in scope evaluated at high confidence in the current self-assessment</w:t>
      </w:r>
      <w:r>
        <w:t xml:space="preserve"> </w:t>
      </w:r>
      <w:r>
        <w:t xml:space="preserve">run. Zero open risks identified. Zero POA&amp;M items generated. These results are</w:t>
      </w:r>
      <w:r>
        <w:t xml:space="preserve"> </w:t>
      </w:r>
      <w:r>
        <w:t xml:space="preserve">advisory pending independent security control assessment (SCA). The OSCAL</w:t>
      </w:r>
      <w:r>
        <w:t xml:space="preserve"> </w:t>
      </w:r>
      <w:r>
        <w:t xml:space="preserve">Assessment Results (AR) 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“The KSI Closure Necessity Matrix.”</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Authorization Package Structure" title="" id="18" name="Picture"/>
            <a:graphic>
              <a:graphicData uri="http://schemas.openxmlformats.org/drawingml/2006/picture">
                <pic:pic>
                  <pic:nvPicPr>
                    <pic:cNvPr descr="figs/ato-fig-01-package-structur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Authorization Package Structure</w:t>
      </w:r>
    </w:p>
    <w:p>
      <w:r>
        <w:pict>
          <v:rect style="width:0;height:1.5pt" o:hralign="center" o:hrstd="t" o:hr="t"/>
        </w:pict>
      </w:r>
    </w:p>
    <w:bookmarkEnd w:id="20"/>
    <w:bookmarkEnd w:id="21"/>
    <w:bookmarkStart w:id="27" w:name="X7d46b70c40397f6c0118ffafaf8fcea05c8cc2a"/>
    <w:p>
      <w:pPr>
        <w:pStyle w:val="Heading1"/>
      </w:pPr>
      <w:r>
        <w:t xml:space="preserve">3. 2 OSCAL Bundle — Machine-Readable KSI Evidence (CA-2, CA-5)</w:t>
      </w:r>
    </w:p>
    <w:bookmarkStart w:id="22" w:name="bundle-architecture"/>
    <w:p>
      <w:pPr>
        <w:pStyle w:val="Heading2"/>
      </w:pPr>
      <w:r>
        <w:t xml:space="preserve">3.1 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w:t>
      </w:r>
    </w:p>
    <w:tbl>
      <w:tblPr>
        <w:tblStyle w:val="Table"/>
        <w:tblW w:type="pct" w:w="5000"/>
        <w:tblLayout w:type="fixed"/>
        <w:tblLook w:firstRow="1" w:lastRow="0" w:firstColumn="0" w:lastColumn="0" w:noHBand="0" w:noVBand="0" w:val="0020"/>
        <w:tblCaption w:val="OSCAL Bundle Documents"/>
      </w:tblPr>
      <w:tblGrid>
        <w:gridCol w:w="2084"/>
        <w:gridCol w:w="1250"/>
        <w:gridCol w:w="2709"/>
        <w:gridCol w:w="1875"/>
      </w:tblGrid>
      <w:tr>
        <w:trPr>
          <w:tblHeader w:val="on"/>
        </w:trPr>
        <w:tc>
          <w:tcPr/>
          <w:p>
            <w:pPr>
              <w:pStyle w:val="Compact"/>
            </w:pPr>
            <w:r>
              <w:t xml:space="preserve">Document</w:t>
            </w:r>
          </w:p>
        </w:tc>
        <w:tc>
          <w:tcPr/>
          <w:p>
            <w:pPr>
              <w:pStyle w:val="Compact"/>
            </w:pPr>
            <w:r>
              <w:t xml:space="preserve">File</w:t>
            </w:r>
          </w:p>
        </w:tc>
        <w:tc>
          <w:tcPr/>
          <w:p>
            <w:pPr>
              <w:pStyle w:val="Compact"/>
            </w:pPr>
            <w:r>
              <w:t xml:space="preserve">NIST Control</w:t>
            </w:r>
          </w:p>
        </w:tc>
        <w:tc>
          <w:tcPr/>
          <w:p>
            <w:pPr>
              <w:pStyle w:val="Compact"/>
            </w:pPr>
            <w:r>
              <w:t xml:space="preserve">Purpose</w:t>
            </w:r>
          </w:p>
        </w:tc>
      </w:tr>
      <w:tr>
        <w:tc>
          <w:tcPr/>
          <w:p>
            <w:pPr>
              <w:pStyle w:val="Compact"/>
            </w:pPr>
            <w:r>
              <w:t xml:space="preserve">Assessment Plan (AP)</w:t>
            </w:r>
          </w:p>
        </w:tc>
        <w:tc>
          <w:tcPr/>
          <w:p>
            <w:pPr>
              <w:pStyle w:val="Compact"/>
            </w:pPr>
            <w:r>
              <w:rPr>
                <w:rStyle w:val="VerbatimChar"/>
              </w:rPr>
              <w:t xml:space="preserve">ksi-ap.json</w:t>
            </w:r>
          </w:p>
        </w:tc>
        <w:tc>
          <w:tcPr/>
          <w:p>
            <w:pPr>
              <w:pStyle w:val="Compact"/>
            </w:pPr>
            <w:r>
              <w:t xml:space="preserve">CA-2</w:t>
            </w:r>
          </w:p>
        </w:tc>
        <w:tc>
          <w:tcPr/>
          <w:p>
            <w:pPr>
              <w:pStyle w:val="Compact"/>
            </w:pPr>
            <w:r>
              <w:t xml:space="preserve">Documents what was assessed, which controls, and by which method</w:t>
            </w:r>
          </w:p>
        </w:tc>
      </w:tr>
      <w:tr>
        <w:tc>
          <w:tcPr/>
          <w:p>
            <w:pPr>
              <w:pStyle w:val="Compact"/>
            </w:pPr>
            <w:r>
              <w:t xml:space="preserve">Assessment Results (AR)</w:t>
            </w:r>
          </w:p>
        </w:tc>
        <w:tc>
          <w:tcPr/>
          <w:p>
            <w:pPr>
              <w:pStyle w:val="Compact"/>
            </w:pPr>
            <w:r>
              <w:rPr>
                <w:rStyle w:val="VerbatimChar"/>
              </w:rPr>
              <w:t xml:space="preserve">ksi-ar.json</w:t>
            </w:r>
          </w:p>
        </w:tc>
        <w:tc>
          <w:tcPr/>
          <w:p>
            <w:pPr>
              <w:pStyle w:val="Compact"/>
            </w:pPr>
            <w:r>
              <w:t xml:space="preserve">CA-2, RA-3</w:t>
            </w:r>
          </w:p>
        </w:tc>
        <w:tc>
          <w:tcPr/>
          <w:p>
            <w:pPr>
              <w:pStyle w:val="Compact"/>
            </w:pPr>
            <w:r>
              <w:t xml:space="preserve">Records findings, verdicts, and risks for all 29 KSIs</w:t>
            </w:r>
          </w:p>
        </w:tc>
      </w:tr>
      <w:tr>
        <w:tc>
          <w:tcPr/>
          <w:p>
            <w:pPr>
              <w:pStyle w:val="Compact"/>
            </w:pPr>
            <w:r>
              <w:t xml:space="preserve">Plan of Action and Milestones (POA&amp;M)</w:t>
            </w:r>
          </w:p>
        </w:tc>
        <w:tc>
          <w:tcPr/>
          <w:p>
            <w:pPr>
              <w:pStyle w:val="Compact"/>
            </w:pPr>
            <w:r>
              <w:rPr>
                <w:rStyle w:val="VerbatimChar"/>
              </w:rPr>
              <w:t xml:space="preserve">ksi-poam.json</w:t>
            </w:r>
          </w:p>
        </w:tc>
        <w:tc>
          <w:tcPr/>
          <w:p>
            <w:pPr>
              <w:pStyle w:val="Compact"/>
            </w:pPr>
            <w:r>
              <w:t xml:space="preserve">CA-5</w:t>
            </w:r>
          </w:p>
        </w:tc>
        <w:tc>
          <w:tcPr/>
          <w:p>
            <w:pPr>
              <w:pStyle w:val="Compact"/>
            </w:pPr>
            <w:r>
              <w:t xml:space="preserve">Lists open findings and remediation milestones (zero items currently)</w:t>
            </w:r>
          </w:p>
        </w:tc>
      </w:tr>
    </w:tbl>
    <w:p>
      <w:pPr>
        <w:pStyle w:val="BodyText"/>
      </w:pPr>
      <w:r>
        <w:t xml:space="preserve">The three documents are linked by UUID reference:</w:t>
      </w:r>
    </w:p>
    <w:p>
      <w:pPr>
        <w:pStyle w:val="Compact"/>
        <w:numPr>
          <w:ilvl w:val="0"/>
          <w:numId w:val="1002"/>
        </w:numPr>
      </w:pPr>
      <w:r>
        <w:t xml:space="preserve">The AP specifies what was planned (</w:t>
      </w:r>
      <w:r>
        <w:rPr>
          <w:rStyle w:val="VerbatimChar"/>
        </w:rPr>
        <w:t xml:space="preserve">assessment-plan.uuid</w:t>
      </w:r>
      <w:r>
        <w:t xml:space="preserve">)</w:t>
      </w:r>
    </w:p>
    <w:p>
      <w:pPr>
        <w:pStyle w:val="Compact"/>
        <w:numPr>
          <w:ilvl w:val="0"/>
          <w:numId w:val="1002"/>
        </w:numPr>
      </w:pPr>
      <w:r>
        <w:t xml:space="preserve">The AR imports the AP (</w:t>
      </w:r>
      <w:r>
        <w:rPr>
          <w:rStyle w:val="VerbatimChar"/>
        </w:rPr>
        <w:t xml:space="preserve">import-ap.href = "#&lt;ap-uuid&gt;"</w:t>
      </w:r>
      <w:r>
        <w:t xml:space="preserve">) and records results</w:t>
      </w:r>
    </w:p>
    <w:p>
      <w:pPr>
        <w:pStyle w:val="Compact"/>
        <w:numPr>
          <w:ilvl w:val="0"/>
          <w:numId w:val="1002"/>
        </w:numPr>
      </w:pPr>
      <w:r>
        <w:t xml:space="preserve">The POA&amp;M imports the AP (</w:t>
      </w:r>
      <w:r>
        <w:rPr>
          <w:rStyle w:val="VerbatimChar"/>
        </w:rPr>
        <w:t xml:space="preserve">import-ap.href = "#&lt;ap-uuid&gt;"</w:t>
      </w:r>
      <w:r>
        <w:t xml:space="preserve">) and references AR observations</w:t>
      </w:r>
    </w:p>
    <w:bookmarkEnd w:id="22"/>
    <w:bookmarkStart w:id="23" w:name="generating-the-bundle"/>
    <w:p>
      <w:pPr>
        <w:pStyle w:val="Heading2"/>
      </w:pPr>
      <w:r>
        <w:t xml:space="preserve">3.2 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assembly.</w:t>
      </w:r>
    </w:p>
    <w:bookmarkEnd w:id="23"/>
    <w:bookmarkStart w:id="24" w:name="assessment-plan-structure"/>
    <w:p>
      <w:pPr>
        <w:pStyle w:val="Heading2"/>
      </w:pPr>
      <w:r>
        <w:t xml:space="preserve">3.3 2.3 Assessment Plan Structure</w:t>
      </w:r>
    </w:p>
    <w:p>
      <w:pPr>
        <w:pStyle w:val="FirstParagraph"/>
      </w:pPr>
      <w:r>
        <w:t xml:space="preserve">The AP is organized around the ten KSI themes from FedRAMP 20x:</w:t>
      </w:r>
    </w:p>
    <w:p>
      <w:pPr>
        <w:pStyle w:val="TableCaption"/>
      </w:pPr>
      <w:r>
        <w:t xml:space="preserve">KSI Themes and Evidence Slots</w:t>
      </w:r>
    </w:p>
    <w:tbl>
      <w:tblPr>
        <w:tblStyle w:val="Table"/>
        <w:tblW w:type="pct" w:w="5000"/>
        <w:tblLayout w:type="fixed"/>
        <w:tblLook w:firstRow="1" w:lastRow="0" w:firstColumn="0" w:lastColumn="0" w:noHBand="0" w:noVBand="0" w:val="0020"/>
        <w:tblCaption w:val="KSI Themes and Evidence Slots"/>
      </w:tblPr>
      <w:tblGrid>
        <w:gridCol w:w="1584"/>
        <w:gridCol w:w="2489"/>
        <w:gridCol w:w="3846"/>
      </w:tblGrid>
      <w:tr>
        <w:trPr>
          <w:tblHeader w:val="on"/>
        </w:trPr>
        <w:tc>
          <w:tcPr/>
          <w:p>
            <w:pPr>
              <w:pStyle w:val="Compact"/>
            </w:pPr>
            <w:r>
              <w:t xml:space="preserve">Theme</w:t>
            </w:r>
          </w:p>
        </w:tc>
        <w:tc>
          <w:tcPr/>
          <w:p>
            <w:pPr>
              <w:pStyle w:val="Compact"/>
            </w:pPr>
            <w:r>
              <w:t xml:space="preserve">KSI Rules</w:t>
            </w:r>
          </w:p>
        </w:tc>
        <w:tc>
          <w:tcPr/>
          <w:p>
            <w:pPr>
              <w:pStyle w:val="Compact"/>
            </w:pPr>
            <w:r>
              <w:t xml:space="preserve">Evidence Slot(s)</w:t>
            </w:r>
          </w:p>
        </w:tc>
      </w:tr>
      <w:tr>
        <w:tc>
          <w:tcPr/>
          <w:p>
            <w:pPr>
              <w:pStyle w:val="Compact"/>
            </w:pPr>
            <w:r>
              <w:t xml:space="preserve">KSI-IAM</w:t>
            </w:r>
          </w:p>
        </w:tc>
        <w:tc>
          <w:tcPr/>
          <w:p>
            <w:pPr>
              <w:pStyle w:val="Compact"/>
            </w:pPr>
            <w:r>
              <w:t xml:space="preserve">KSI-001, KSI-003, KSI-009, KSI-017–019</w:t>
            </w:r>
          </w:p>
        </w:tc>
        <w:tc>
          <w:tcPr/>
          <w:p>
            <w:pPr>
              <w:pStyle w:val="Compact"/>
            </w:pPr>
            <w:r>
              <w:t xml:space="preserve">slot-01 identity; ScuBA</w:t>
            </w:r>
          </w:p>
        </w:tc>
      </w:tr>
      <w:tr>
        <w:tc>
          <w:tcPr/>
          <w:p>
            <w:pPr>
              <w:pStyle w:val="Compact"/>
            </w:pPr>
            <w:r>
              <w:t xml:space="preserve">KSI-SVC</w:t>
            </w:r>
          </w:p>
        </w:tc>
        <w:tc>
          <w:tcPr/>
          <w:p>
            <w:pPr>
              <w:pStyle w:val="Compact"/>
            </w:pPr>
            <w:r>
              <w:t xml:space="preserve">KSI-004, KSI-007, KSI-008</w:t>
            </w:r>
          </w:p>
        </w:tc>
        <w:tc>
          <w:tcPr/>
          <w:p>
            <w:pPr>
              <w:pStyle w:val="Compact"/>
            </w:pPr>
            <w:r>
              <w:t xml:space="preserve">slot-03/04; ScuBA</w:t>
            </w:r>
          </w:p>
        </w:tc>
      </w:tr>
      <w:tr>
        <w:tc>
          <w:tcPr/>
          <w:p>
            <w:pPr>
              <w:pStyle w:val="Compact"/>
            </w:pPr>
            <w:r>
              <w:t xml:space="preserve">KSI-CNA</w:t>
            </w:r>
          </w:p>
        </w:tc>
        <w:tc>
          <w:tcPr/>
          <w:p>
            <w:pPr>
              <w:pStyle w:val="Compact"/>
            </w:pPr>
            <w:r>
              <w:t xml:space="preserve">KSI-008</w:t>
            </w:r>
          </w:p>
        </w:tc>
        <w:tc>
          <w:tcPr/>
          <w:p>
            <w:pPr>
              <w:pStyle w:val="Compact"/>
            </w:pPr>
            <w:r>
              <w:t xml:space="preserve">slot-03; ScuBA</w:t>
            </w:r>
          </w:p>
        </w:tc>
      </w:tr>
      <w:tr>
        <w:tc>
          <w:tcPr/>
          <w:p>
            <w:pPr>
              <w:pStyle w:val="Compact"/>
            </w:pPr>
            <w:r>
              <w:t xml:space="preserve">KSI-MLA</w:t>
            </w:r>
          </w:p>
        </w:tc>
        <w:tc>
          <w:tcPr/>
          <w:p>
            <w:pPr>
              <w:pStyle w:val="Compact"/>
            </w:pPr>
            <w:r>
              <w:t xml:space="preserve">KSI-005, KSI-006, KSI-010</w:t>
            </w:r>
          </w:p>
        </w:tc>
        <w:tc>
          <w:tcPr/>
          <w:p>
            <w:pPr>
              <w:pStyle w:val="Compact"/>
            </w:pPr>
            <w:r>
              <w:t xml:space="preserve">slot-02/04; ScuBA</w:t>
            </w:r>
          </w:p>
        </w:tc>
      </w:tr>
      <w:tr>
        <w:tc>
          <w:tcPr/>
          <w:p>
            <w:pPr>
              <w:pStyle w:val="Compact"/>
            </w:pPr>
            <w:r>
              <w:t xml:space="preserve">KSI-CMT</w:t>
            </w:r>
          </w:p>
        </w:tc>
        <w:tc>
          <w:tcPr/>
          <w:p>
            <w:pPr>
              <w:pStyle w:val="Compact"/>
            </w:pPr>
            <w:r>
              <w:t xml:space="preserve">KSI-011–014</w:t>
            </w:r>
          </w:p>
        </w:tc>
        <w:tc>
          <w:tcPr/>
          <w:p>
            <w:pPr>
              <w:pStyle w:val="Compact"/>
            </w:pPr>
            <w:r>
              <w:t xml:space="preserve">slot-06 security</w:t>
            </w:r>
          </w:p>
        </w:tc>
      </w:tr>
      <w:tr>
        <w:tc>
          <w:tcPr/>
          <w:p>
            <w:pPr>
              <w:pStyle w:val="Compact"/>
            </w:pPr>
            <w:r>
              <w:t xml:space="preserve">KSI-SCR</w:t>
            </w:r>
          </w:p>
        </w:tc>
        <w:tc>
          <w:tcPr/>
          <w:p>
            <w:pPr>
              <w:pStyle w:val="Compact"/>
            </w:pPr>
            <w:r>
              <w:t xml:space="preserve">KSI-015, KSI-016</w:t>
            </w:r>
          </w:p>
        </w:tc>
        <w:tc>
          <w:tcPr/>
          <w:p>
            <w:pPr>
              <w:pStyle w:val="Compact"/>
            </w:pPr>
            <w:r>
              <w:t xml:space="preserve">slot-06 security</w:t>
            </w:r>
          </w:p>
        </w:tc>
      </w:tr>
      <w:tr>
        <w:tc>
          <w:tcPr/>
          <w:p>
            <w:pPr>
              <w:pStyle w:val="Compact"/>
            </w:pPr>
            <w:r>
              <w:t xml:space="preserve">KSI-PIY</w:t>
            </w:r>
          </w:p>
        </w:tc>
        <w:tc>
          <w:tcPr/>
          <w:p>
            <w:pPr>
              <w:pStyle w:val="Compact"/>
            </w:pPr>
            <w:r>
              <w:t xml:space="preserve">KSI-020, KSI-021</w:t>
            </w:r>
          </w:p>
        </w:tc>
        <w:tc>
          <w:tcPr/>
          <w:p>
            <w:pPr>
              <w:pStyle w:val="Compact"/>
            </w:pPr>
            <w:r>
              <w:t xml:space="preserve">slot-05 endpoint</w:t>
            </w:r>
          </w:p>
        </w:tc>
      </w:tr>
      <w:tr>
        <w:tc>
          <w:tcPr/>
          <w:p>
            <w:pPr>
              <w:pStyle w:val="Compact"/>
            </w:pPr>
            <w:r>
              <w:t xml:space="preserve">KSI-INR</w:t>
            </w:r>
          </w:p>
        </w:tc>
        <w:tc>
          <w:tcPr/>
          <w:p>
            <w:pPr>
              <w:pStyle w:val="Compact"/>
            </w:pPr>
            <w:r>
              <w:t xml:space="preserve">KSI-023–025</w:t>
            </w:r>
          </w:p>
        </w:tc>
        <w:tc>
          <w:tcPr/>
          <w:p>
            <w:pPr>
              <w:pStyle w:val="Compact"/>
            </w:pPr>
            <w:r>
              <w:t xml:space="preserve">slot-04/07</w:t>
            </w:r>
          </w:p>
        </w:tc>
      </w:tr>
      <w:tr>
        <w:tc>
          <w:tcPr/>
          <w:p>
            <w:pPr>
              <w:pStyle w:val="Compact"/>
            </w:pPr>
            <w:r>
              <w:t xml:space="preserve">KSI-RPL</w:t>
            </w:r>
          </w:p>
        </w:tc>
        <w:tc>
          <w:tcPr/>
          <w:p>
            <w:pPr>
              <w:pStyle w:val="Compact"/>
            </w:pPr>
            <w:r>
              <w:t xml:space="preserve">KSI-026–029</w:t>
            </w:r>
          </w:p>
        </w:tc>
        <w:tc>
          <w:tcPr/>
          <w:p>
            <w:pPr>
              <w:pStyle w:val="Compact"/>
            </w:pPr>
            <w:r>
              <w:t xml:space="preserve">slot-07 continuity</w:t>
            </w:r>
          </w:p>
        </w:tc>
      </w:tr>
      <w:tr>
        <w:tc>
          <w:tcPr/>
          <w:p>
            <w:pPr>
              <w:pStyle w:val="Compact"/>
            </w:pPr>
            <w:r>
              <w:t xml:space="preserve">KSI-CED</w:t>
            </w:r>
          </w:p>
        </w:tc>
        <w:tc>
          <w:tcPr/>
          <w:p>
            <w:pPr>
              <w:pStyle w:val="Compact"/>
            </w:pPr>
            <w:r>
              <w:t xml:space="preserve">KSI-022</w:t>
            </w:r>
          </w:p>
        </w:tc>
        <w:tc>
          <w:tcPr/>
          <w:p>
            <w:pPr>
              <w:pStyle w:val="Compact"/>
            </w:pPr>
            <w:r>
              <w:t xml:space="preserve">slot-08 training</w:t>
            </w:r>
          </w:p>
        </w:tc>
      </w:tr>
    </w:tbl>
    <w:bookmarkEnd w:id="24"/>
    <w:bookmarkStart w:id="25" w:name="assessment-results-finding-structure"/>
    <w:p>
      <w:pPr>
        <w:pStyle w:val="Heading2"/>
      </w:pPr>
      <w:r>
        <w:t xml:space="preserve">3.4 2.4 Assessment Results — Finding Structure</w:t>
      </w:r>
    </w:p>
    <w:p>
      <w:pPr>
        <w:pStyle w:val="FirstParagraph"/>
      </w:pPr>
      <w:r>
        <w:t xml:space="preserve">Each of the 29 findings in the AR carries:</w:t>
      </w:r>
    </w:p>
    <w:p>
      <w:pPr>
        <w:pStyle w:val="Compact"/>
        <w:numPr>
          <w:ilvl w:val="0"/>
          <w:numId w:val="1003"/>
        </w:numPr>
      </w:pPr>
      <w:r>
        <w:rPr>
          <w:b/>
          <w:bCs/>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pStyle w:val="Compact"/>
        <w:numPr>
          <w:ilvl w:val="0"/>
          <w:numId w:val="1003"/>
        </w:numPr>
      </w:pPr>
      <w:r>
        <w:rPr>
          <w:b/>
          <w:bCs/>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pStyle w:val="Compact"/>
        <w:numPr>
          <w:ilvl w:val="0"/>
          <w:numId w:val="1003"/>
        </w:numPr>
      </w:pPr>
      <w:r>
        <w:rPr>
          <w:b/>
          <w:bCs/>
        </w:rPr>
        <w:t xml:space="preserve">observations</w:t>
      </w:r>
      <w:r>
        <w:t xml:space="preserve">: linked observation with description, artifact refs, and slot IDs</w:t>
      </w:r>
    </w:p>
    <w:p>
      <w:pPr>
        <w:pStyle w:val="Compact"/>
        <w:numPr>
          <w:ilvl w:val="0"/>
          <w:numId w:val="1003"/>
        </w:numPr>
      </w:pPr>
      <w:r>
        <w:rPr>
          <w:b/>
          <w:bCs/>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
          <w:bCs/>
        </w:rPr>
        <w:t xml:space="preserve">CA-2 (Security Assessments)</w:t>
      </w:r>
      <w:r>
        <w:t xml:space="preserve"> </w:t>
      </w:r>
      <w:r>
        <w:t xml:space="preserve">by</w:t>
      </w:r>
      <w:r>
        <w:t xml:space="preserve"> </w:t>
      </w:r>
      <w:r>
        <w:t xml:space="preserve">providing a documented, repeatable, automated assessment of all KSI controls.</w:t>
      </w:r>
    </w:p>
    <w:bookmarkEnd w:id="25"/>
    <w:bookmarkStart w:id="26" w:name="poam-status"/>
    <w:p>
      <w:pPr>
        <w:pStyle w:val="Heading2"/>
      </w:pPr>
      <w:r>
        <w:t xml:space="preserve">3.5 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26"/>
    <w:bookmarkEnd w:id="27"/>
    <w:bookmarkStart w:id="39" w:name="continuous-monitoring-program-ca-7"/>
    <w:p>
      <w:pPr>
        <w:pStyle w:val="Heading1"/>
      </w:pPr>
      <w:r>
        <w:t xml:space="preserve">4. 3 Continuous Monitoring Program (CA-7)</w:t>
      </w:r>
    </w:p>
    <w:bookmarkStart w:id="31" w:name="conmon-framework"/>
    <w:p>
      <w:pPr>
        <w:pStyle w:val="Heading2"/>
      </w:pPr>
      <w:r>
        <w:t xml:space="preserve">4.1 3.1 ConMon Framework</w:t>
      </w:r>
    </w:p>
    <w:p>
      <w:pPr>
        <w:pStyle w:val="FirstParagraph"/>
      </w:pPr>
      <w:r>
        <w:t xml:space="preserve">CA-7 requires the organization to develop and implement a continuous monitoring</w:t>
      </w:r>
      <w:r>
        <w:t xml:space="preserve"> </w:t>
      </w:r>
      <w:r>
        <w:t xml:space="preserve">strategy that includes:</w:t>
      </w:r>
    </w:p>
    <w:p>
      <w:pPr>
        <w:pStyle w:val="Compact"/>
        <w:numPr>
          <w:ilvl w:val="0"/>
          <w:numId w:val="1004"/>
        </w:numPr>
      </w:pPr>
      <w:r>
        <w:t xml:space="preserve">Metrics for monitoring control effectiveness</w:t>
      </w:r>
    </w:p>
    <w:p>
      <w:pPr>
        <w:pStyle w:val="Compact"/>
        <w:numPr>
          <w:ilvl w:val="0"/>
          <w:numId w:val="1004"/>
        </w:numPr>
      </w:pPr>
      <w:r>
        <w:t xml:space="preserve">Frequencies for monitoring, assessment, and reporting</w:t>
      </w:r>
    </w:p>
    <w:p>
      <w:pPr>
        <w:pStyle w:val="Compact"/>
        <w:numPr>
          <w:ilvl w:val="0"/>
          <w:numId w:val="1004"/>
        </w:numPr>
      </w:pPr>
      <w:r>
        <w:t xml:space="preserve">Ongoing awareness training requirements</w:t>
      </w:r>
    </w:p>
    <w:p>
      <w:pPr>
        <w:pStyle w:val="Compact"/>
        <w:numPr>
          <w:ilvl w:val="0"/>
          <w:numId w:val="1004"/>
        </w:numPr>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29" name="Picture"/>
            <a:graphic>
              <a:graphicData uri="http://schemas.openxmlformats.org/drawingml/2006/picture">
                <pic:pic>
                  <pic:nvPicPr>
                    <pic:cNvPr descr="figs/ato-fig-02-conmon-calendar.png" id="30" name="Picture"/>
                    <pic:cNvPicPr>
                      <a:picLocks noChangeArrowheads="1" noChangeAspect="1"/>
                    </pic:cNvPicPr>
                  </pic:nvPicPr>
                  <pic:blipFill>
                    <a:blip r:embed="rId28"/>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1"/>
    <w:bookmarkStart w:id="34" w:name="monthly-conmon-activities"/>
    <w:p>
      <w:pPr>
        <w:pStyle w:val="Heading2"/>
      </w:pPr>
      <w:r>
        <w:t xml:space="preserve">4.2 3.2 Monthly ConMon Activities</w:t>
      </w:r>
    </w:p>
    <w:p>
      <w:pPr>
        <w:pStyle w:val="TableCaption"/>
      </w:pPr>
      <w:r>
        <w:t xml:space="preserve">Monthly ConMon Activity Matrix</w:t>
      </w:r>
    </w:p>
    <w:tbl>
      <w:tblPr>
        <w:tblStyle w:val="Table"/>
        <w:tblW w:type="pct" w:w="5000"/>
        <w:tblLayout w:type="fixed"/>
        <w:tblLook w:firstRow="1" w:lastRow="0" w:firstColumn="0" w:lastColumn="0" w:noHBand="0" w:noVBand="0" w:val="0020"/>
        <w:tblCaption w:val="Monthly ConMon Activity Matrix"/>
      </w:tblPr>
      <w:tblGrid>
        <w:gridCol w:w="2475"/>
        <w:gridCol w:w="1732"/>
        <w:gridCol w:w="1485"/>
        <w:gridCol w:w="2227"/>
      </w:tblGrid>
      <w:tr>
        <w:trPr>
          <w:tblHeader w:val="on"/>
        </w:trPr>
        <w:tc>
          <w:tcPr/>
          <w:p>
            <w:pPr>
              <w:pStyle w:val="Compact"/>
            </w:pPr>
            <w:r>
              <w:t xml:space="preserve">Activity</w:t>
            </w:r>
          </w:p>
        </w:tc>
        <w:tc>
          <w:tcPr/>
          <w:p>
            <w:pPr>
              <w:pStyle w:val="Compact"/>
            </w:pPr>
            <w:r>
              <w:t xml:space="preserve">Owner</w:t>
            </w:r>
          </w:p>
        </w:tc>
        <w:tc>
          <w:tcPr/>
          <w:p>
            <w:pPr>
              <w:pStyle w:val="Compact"/>
            </w:pPr>
            <w:r>
              <w:t xml:space="preserve">Tool</w:t>
            </w:r>
          </w:p>
        </w:tc>
        <w:tc>
          <w:tcPr/>
          <w:p>
            <w:pPr>
              <w:pStyle w:val="Compact"/>
            </w:pPr>
            <w:r>
              <w:t xml:space="preserve">Evidence</w:t>
            </w:r>
          </w:p>
        </w:tc>
      </w:tr>
      <w:tr>
        <w:tc>
          <w:tcPr/>
          <w:p>
            <w:pPr>
              <w:pStyle w:val="Compact"/>
            </w:pPr>
            <w:r>
              <w:t xml:space="preserve">OSCAL AR refresh</w:t>
            </w:r>
          </w:p>
        </w:tc>
        <w:tc>
          <w:tcPr/>
          <w:p>
            <w:pPr>
              <w:pStyle w:val="Compact"/>
            </w:pPr>
            <w:r>
              <w:t xml:space="preserve">ISSO</w:t>
            </w:r>
          </w:p>
        </w:tc>
        <w:tc>
          <w:tcPr/>
          <w:p>
            <w:pPr>
              <w:pStyle w:val="Compact"/>
            </w:pPr>
            <w:r>
              <w:rPr>
                <w:rStyle w:val="VerbatimChar"/>
              </w:rPr>
              <w:t xml:space="preserve">uiao oscal bundle</w:t>
            </w:r>
          </w:p>
        </w:tc>
        <w:tc>
          <w:tcPr/>
          <w:p>
            <w:pPr>
              <w:pStyle w:val="Compact"/>
            </w:pPr>
            <w:r>
              <w:t xml:space="preserve">Updated</w:t>
            </w:r>
            <w:r>
              <w:t xml:space="preserve"> </w:t>
            </w:r>
            <w:r>
              <w:rPr>
                <w:rStyle w:val="VerbatimChar"/>
              </w:rPr>
              <w:t xml:space="preserve">ksi-ar.json</w:t>
            </w:r>
          </w:p>
        </w:tc>
      </w:tr>
      <w:tr>
        <w:tc>
          <w:tcPr/>
          <w:p>
            <w:pPr>
              <w:pStyle w:val="Compact"/>
            </w:pPr>
            <w:r>
              <w:t xml:space="preserve">ScuBA assessment</w:t>
            </w:r>
          </w:p>
        </w:tc>
        <w:tc>
          <w:tcPr/>
          <w:p>
            <w:pPr>
              <w:pStyle w:val="Compact"/>
            </w:pPr>
            <w:r>
              <w:t xml:space="preserve">ISSO</w:t>
            </w:r>
          </w:p>
        </w:tc>
        <w:tc>
          <w:tcPr/>
          <w:p>
            <w:pPr>
              <w:pStyle w:val="Compact"/>
            </w:pPr>
            <w:r>
              <w:t xml:space="preserve">ScuBAGear</w:t>
            </w:r>
          </w:p>
        </w:tc>
        <w:tc>
          <w:tcPr/>
          <w:p>
            <w:pPr>
              <w:pStyle w:val="Compact"/>
            </w:pPr>
            <w:r>
              <w:t xml:space="preserve">M365 baseline assessment report</w:t>
            </w:r>
          </w:p>
        </w:tc>
      </w:tr>
      <w:tr>
        <w:tc>
          <w:tcPr/>
          <w:p>
            <w:pPr>
              <w:pStyle w:val="Compact"/>
            </w:pPr>
            <w:r>
              <w:t xml:space="preserve">ScuBA drift triage + gate</w:t>
            </w:r>
          </w:p>
        </w:tc>
        <w:tc>
          <w:tcPr/>
          <w:p>
            <w:pPr>
              <w:pStyle w:val="Compact"/>
            </w:pPr>
            <w:r>
              <w:t xml:space="preserve">ISSO</w:t>
            </w:r>
          </w:p>
        </w:tc>
        <w:tc>
          <w:tcPr/>
          <w:p>
            <w:pPr>
              <w:pStyle w:val="Compact"/>
            </w:pPr>
            <w:r>
              <w:t xml:space="preserve">ScubaDrift</w:t>
            </w:r>
          </w:p>
        </w:tc>
        <w:tc>
          <w:tcPr/>
          <w:p>
            <w:pPr>
              <w:pStyle w:val="Compact"/>
            </w:pPr>
            <w:r>
              <w:rPr>
                <w:rStyle w:val="VerbatimChar"/>
              </w:rPr>
              <w:t xml:space="preserve">scubadrift-verdicts.json</w:t>
            </w:r>
            <w:r>
              <w:t xml:space="preserve"> </w:t>
            </w:r>
            <w:r>
              <w:t xml:space="preserve">(dispositions + POA&amp;M linkage)</w:t>
            </w:r>
          </w:p>
        </w:tc>
      </w:tr>
      <w:tr>
        <w:tc>
          <w:tcPr/>
          <w:p>
            <w:pPr>
              <w:pStyle w:val="Compact"/>
            </w:pPr>
            <w:r>
              <w:t xml:space="preserve">Sentinel ConMon dashboard review</w:t>
            </w:r>
          </w:p>
        </w:tc>
        <w:tc>
          <w:tcPr/>
          <w:p>
            <w:pPr>
              <w:pStyle w:val="Compact"/>
            </w:pPr>
            <w:r>
              <w:t xml:space="preserve">SOC Lead</w:t>
            </w:r>
          </w:p>
        </w:tc>
        <w:tc>
          <w:tcPr/>
          <w:p>
            <w:pPr>
              <w:pStyle w:val="Compact"/>
            </w:pPr>
            <w:r>
              <w:t xml:space="preserve">Microsoft Sentinel</w:t>
            </w:r>
          </w:p>
        </w:tc>
        <w:tc>
          <w:tcPr/>
          <w:p>
            <w:pPr>
              <w:pStyle w:val="Compact"/>
            </w:pPr>
            <w:r>
              <w:t xml:space="preserve">ConMon dashboard export</w:t>
            </w:r>
          </w:p>
        </w:tc>
      </w:tr>
      <w:tr>
        <w:tc>
          <w:tcPr/>
          <w:p>
            <w:pPr>
              <w:pStyle w:val="Compact"/>
            </w:pPr>
            <w:r>
              <w:t xml:space="preserve">POA&amp;M status review</w:t>
            </w:r>
          </w:p>
        </w:tc>
        <w:tc>
          <w:tcPr/>
          <w:p>
            <w:pPr>
              <w:pStyle w:val="Compact"/>
            </w:pPr>
            <w:r>
              <w:t xml:space="preserve">ISSO + ISSM</w:t>
            </w:r>
          </w:p>
        </w:tc>
        <w:tc>
          <w:tcPr/>
          <w:p>
            <w:pPr>
              <w:pStyle w:val="Compact"/>
            </w:pPr>
            <w:r>
              <w:rPr>
                <w:rStyle w:val="VerbatimChar"/>
              </w:rPr>
              <w:t xml:space="preserve">uiao oscal bundle</w:t>
            </w:r>
          </w:p>
        </w:tc>
        <w:tc>
          <w:tcPr/>
          <w:p>
            <w:pPr>
              <w:pStyle w:val="Compact"/>
            </w:pPr>
            <w:r>
              <w:rPr>
                <w:rStyle w:val="VerbatimChar"/>
              </w:rPr>
              <w:t xml:space="preserve">ksi-poam.json</w:t>
            </w:r>
            <w:r>
              <w:t xml:space="preserve"> </w:t>
            </w:r>
            <w:r>
              <w:t xml:space="preserve">(zero-item target)</w:t>
            </w:r>
          </w:p>
        </w:tc>
      </w:tr>
      <w:tr>
        <w:tc>
          <w:tcPr/>
          <w:p>
            <w:pPr>
              <w:pStyle w:val="Compact"/>
            </w:pPr>
            <w:r>
              <w:t xml:space="preserve">Vulnerability scan</w:t>
            </w:r>
          </w:p>
        </w:tc>
        <w:tc>
          <w:tcPr/>
          <w:p>
            <w:pPr>
              <w:pStyle w:val="Compact"/>
            </w:pPr>
            <w:r>
              <w:t xml:space="preserve">Defender VM team</w:t>
            </w:r>
          </w:p>
        </w:tc>
        <w:tc>
          <w:tcPr/>
          <w:p>
            <w:pPr>
              <w:pStyle w:val="Compact"/>
            </w:pPr>
            <w:r>
              <w:t xml:space="preserve">Defender for Endpoint</w:t>
            </w:r>
          </w:p>
        </w:tc>
        <w:tc>
          <w:tcPr/>
          <w:p>
            <w:pPr>
              <w:pStyle w:val="Compact"/>
            </w:pPr>
            <w:r>
              <w:t xml:space="preserve">RA-5 scan record</w:t>
            </w:r>
          </w:p>
        </w:tc>
      </w:tr>
      <w:tr>
        <w:tc>
          <w:tcPr/>
          <w:p>
            <w:pPr>
              <w:pStyle w:val="Compact"/>
            </w:pPr>
            <w:r>
              <w:t xml:space="preserve">SBOM delta check</w:t>
            </w:r>
          </w:p>
        </w:tc>
        <w:tc>
          <w:tcPr/>
          <w:p>
            <w:pPr>
              <w:pStyle w:val="Compact"/>
            </w:pPr>
            <w:r>
              <w:t xml:space="preserve">SR team</w:t>
            </w:r>
          </w:p>
        </w:tc>
        <w:tc>
          <w:tcPr/>
          <w:p>
            <w:pPr>
              <w:pStyle w:val="Compact"/>
            </w:pPr>
            <w:r>
              <w:t xml:space="preserve">Syft + Grype</w:t>
            </w:r>
          </w:p>
        </w:tc>
        <w:tc>
          <w:tcPr/>
          <w:p>
            <w:pPr>
              <w:pStyle w:val="Compact"/>
            </w:pPr>
            <w:r>
              <w:t xml:space="preserve">CycloneDX BOM diff</w:t>
            </w:r>
          </w:p>
        </w:tc>
      </w:tr>
    </w:tbl>
    <w:bookmarkStart w:id="32" w:name="Xa1b68c0158c1f6020b92f599c0f5bae72bec36e"/>
    <w:p>
      <w:pPr>
        <w:pStyle w:val="Heading3"/>
      </w:pPr>
      <w:r>
        <w:t xml:space="preserve">4.2.1 The ScubaDrift Disposition Pipeline — Evidence Behind KSI-001..010</w:t>
      </w:r>
    </w:p>
    <w:p>
      <w:pPr>
        <w:pStyle w:val="FirstParagraph"/>
      </w:pPr>
      <w:r>
        <w:t xml:space="preserve">A point-in-time ScuBAGear report answers</w:t>
      </w:r>
      <w:r>
        <w:t xml:space="preserve"> </w:t>
      </w:r>
      <w:r>
        <w:rPr>
          <w:i/>
          <w:iCs/>
        </w:rPr>
        <w:t xml:space="preserve">“what passes today?”</w:t>
      </w:r>
      <w:r>
        <w:t xml:space="preserve"> </w:t>
      </w:r>
      <w:r>
        <w:t xml:space="preserve">It does not</w:t>
      </w:r>
      <w:r>
        <w:t xml:space="preserve"> </w:t>
      </w:r>
      <w:r>
        <w:t xml:space="preserve">answer the three questions an assessor asks next:</w:t>
      </w:r>
      <w:r>
        <w:t xml:space="preserve"> </w:t>
      </w:r>
      <w:r>
        <w:rPr>
          <w:i/>
          <w:iCs/>
        </w:rPr>
        <w:t xml:space="preserve">what changed since last</w:t>
      </w:r>
      <w:r>
        <w:rPr>
          <w:i/>
          <w:iCs/>
        </w:rPr>
        <w:t xml:space="preserve"> </w:t>
      </w:r>
      <w:r>
        <w:rPr>
          <w:i/>
          <w:iCs/>
        </w:rPr>
        <w:t xml:space="preserve">month, which failures are already governed by a documented risk acceptance,</w:t>
      </w:r>
      <w:r>
        <w:rPr>
          <w:i/>
          <w:iCs/>
        </w:rPr>
        <w:t xml:space="preserve"> </w:t>
      </w:r>
      <w:r>
        <w:rPr>
          <w:i/>
          <w:iCs/>
        </w:rPr>
        <w:t xml:space="preserve">and when does that acceptance lapse?</w:t>
      </w:r>
      <w:r>
        <w:t xml:space="preserve"> </w:t>
      </w:r>
      <w:r>
        <w:rPr>
          <w:b/>
          <w:bCs/>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w:t>
      </w:r>
    </w:p>
    <w:tbl>
      <w:tblPr>
        <w:tblStyle w:val="Table"/>
        <w:tblW w:type="pct" w:w="5000"/>
        <w:tblLayout w:type="fixed"/>
        <w:tblLook w:firstRow="1" w:lastRow="0" w:firstColumn="0" w:lastColumn="0" w:noHBand="0" w:noVBand="0" w:val="0020"/>
        <w:tblCaption w:val="ScubaDrift Dispositions"/>
      </w:tblPr>
      <w:tblGrid>
        <w:gridCol w:w="2640"/>
        <w:gridCol w:w="2640"/>
        <w:gridCol w:w="264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Gate behavior</w:t>
            </w:r>
          </w:p>
        </w:tc>
      </w:tr>
      <w:tr>
        <w:tc>
          <w:tcPr/>
          <w:p>
            <w:pPr>
              <w:pStyle w:val="Compact"/>
            </w:pPr>
            <w:r>
              <w:rPr>
                <w:rStyle w:val="VerbatimChar"/>
              </w:rPr>
              <w:t xml:space="preserve">actionable_new_drift</w:t>
            </w:r>
          </w:p>
        </w:tc>
        <w:tc>
          <w:tcPr/>
          <w:p>
            <w:pPr>
              <w:pStyle w:val="Compact"/>
            </w:pPr>
            <w:r>
              <w:t xml:space="preserve">Failing, no risk acceptance on file</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lapsed_acceptance</w:t>
            </w:r>
          </w:p>
        </w:tc>
        <w:tc>
          <w:tcPr/>
          <w:p>
            <w:pPr>
              <w:pStyle w:val="Compact"/>
            </w:pPr>
            <w:r>
              <w:t xml:space="preserve">Failing, acceptance exists but expired</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governed_exception</w:t>
            </w:r>
          </w:p>
        </w:tc>
        <w:tc>
          <w:tcPr/>
          <w:p>
            <w:pPr>
              <w:pStyle w:val="Compact"/>
            </w:pPr>
            <w:r>
              <w:t xml:space="preserve">Failing, covered by an in-date acceptance</w:t>
            </w:r>
          </w:p>
        </w:tc>
        <w:tc>
          <w:tcPr/>
          <w:p>
            <w:pPr>
              <w:pStyle w:val="Compac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
          <w:iCs/>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StringTok"/>
        </w:rPr>
        <w:t xml:space="preserve">"MS.AAD.3.1v1"</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“evidence-backed”</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2"/>
    <w:bookmarkStart w:id="33" w:name="Xd988f19fb2a3d1855ce938f7e6784550f9b5c2d"/>
    <w:p>
      <w:pPr>
        <w:pStyle w:val="Heading3"/>
      </w:pPr>
      <w:r>
        <w:t xml:space="preserve">4.2.2 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w:t>
      </w:r>
    </w:p>
    <w:tbl>
      <w:tblPr>
        <w:tblStyle w:val="Table"/>
        <w:tblW w:type="pct" w:w="5000"/>
        <w:tblLayout w:type="fixed"/>
        <w:tblLook w:firstRow="1" w:lastRow="0" w:firstColumn="0" w:lastColumn="0" w:noHBand="0" w:noVBand="0" w:val="0020"/>
        <w:tblCaption w:val="Vendor Posture Tooling vs. Disposition Evidence"/>
      </w:tblPr>
      <w:tblGrid>
        <w:gridCol w:w="2640"/>
        <w:gridCol w:w="2640"/>
        <w:gridCol w:w="2640"/>
      </w:tblGrid>
      <w:tr>
        <w:trPr>
          <w:tblHeader w:val="on"/>
        </w:trPr>
        <w:tc>
          <w:tcPr/>
          <w:p>
            <w:pPr>
              <w:pStyle w:val="Compact"/>
            </w:pPr>
            <w:r>
              <w:t xml:space="preserve">Offering</w:t>
            </w:r>
          </w:p>
        </w:tc>
        <w:tc>
          <w:tcPr/>
          <w:p>
            <w:pPr>
              <w:pStyle w:val="Compact"/>
            </w:pPr>
            <w:r>
              <w:t xml:space="preserve">What it provides</w:t>
            </w:r>
          </w:p>
        </w:tc>
        <w:tc>
          <w:tcPr/>
          <w:p>
            <w:pPr>
              <w:pStyle w:val="Compact"/>
            </w:pPr>
            <w:r>
              <w:t xml:space="preserve">Why it is not this evidence</w:t>
            </w:r>
          </w:p>
        </w:tc>
      </w:tr>
      <w:tr>
        <w:tc>
          <w:tcPr/>
          <w:p>
            <w:pPr>
              <w:pStyle w:val="Compact"/>
            </w:pPr>
            <w:r>
              <w:t xml:space="preserve">Microsoft Secure Score</w:t>
            </w:r>
          </w:p>
        </w:tc>
        <w:tc>
          <w:tcPr/>
          <w:p>
            <w:pPr>
              <w:pStyle w:val="Compact"/>
            </w:pPr>
            <w:r>
              <w:t xml:space="preserve">Proprietary posture score with trend and</w:t>
            </w:r>
            <w:r>
              <w:t xml:space="preserve"> </w:t>
            </w:r>
            <w:r>
              <w:t xml:space="preserve">“accepted risk”</w:t>
            </w:r>
            <w:r>
              <w:t xml:space="preserve"> </w:t>
            </w:r>
            <w:r>
              <w:t xml:space="preserve">markers</w:t>
            </w:r>
          </w:p>
        </w:tc>
        <w:tc>
          <w:tcPr/>
          <w:p>
            <w:pPr>
              <w:pStyle w:val="Compact"/>
            </w:pPr>
            <w:r>
              <w:t xml:space="preserve">Scores against Microsoft’s rubric, not the CISA SCuBA baseline; accepted-risk markers never expire and link to no POA&amp;M; no per-policy verdict artifact; cannot gate a pipeline</w:t>
            </w:r>
          </w:p>
        </w:tc>
      </w:tr>
      <w:tr>
        <w:tc>
          <w:tcPr/>
          <w:p>
            <w:pPr>
              <w:pStyle w:val="Compact"/>
            </w:pPr>
            <w:r>
              <w:t xml:space="preserve">Purview Compliance Manager</w:t>
            </w:r>
          </w:p>
        </w:tc>
        <w:tc>
          <w:tcPr/>
          <w:p>
            <w:pPr>
              <w:pStyle w:val="Compact"/>
            </w:pPr>
            <w:r>
              <w:t xml:space="preserve">NIST 800-53 / FedRAMP assessment templates, improvement actions</w:t>
            </w:r>
          </w:p>
        </w:tc>
        <w:tc>
          <w:tcPr/>
          <w:p>
            <w:pPr>
              <w:pStyle w:val="Compact"/>
            </w:pPr>
            <w:r>
              <w:t xml:space="preserve">Portal workflow with largely manual evidence attachment; produces a score, not machine-readable per-control verdicts; no run-to-run drift, no expiry math, no OSCAL output</w:t>
            </w:r>
          </w:p>
        </w:tc>
      </w:tr>
      <w:tr>
        <w:tc>
          <w:tcPr/>
          <w:p>
            <w:pPr>
              <w:pStyle w:val="Compact"/>
            </w:pPr>
            <w:r>
              <w:t xml:space="preserve">Microsoft365DSC</w:t>
            </w:r>
          </w:p>
        </w:tc>
        <w:tc>
          <w:tcPr/>
          <w:p>
            <w:pPr>
              <w:pStyle w:val="Compact"/>
            </w:pPr>
            <w:r>
              <w:t xml:space="preserve">Tenant configuration export, drift detection against your own snapshot, enforcement</w:t>
            </w:r>
          </w:p>
        </w:tc>
        <w:tc>
          <w:tcPr/>
          <w:p>
            <w:pPr>
              <w:pStyle w:val="Compact"/>
            </w:pPr>
            <w:r>
              <w:t xml:space="preserve">Drift means</w:t>
            </w:r>
            <w:r>
              <w:t xml:space="preserve"> </w:t>
            </w:r>
            <w:r>
              <w:t xml:space="preserve">“configuration changed versus my snapshot,”</w:t>
            </w:r>
            <w:r>
              <w:t xml:space="preserve"> </w:t>
            </w:r>
            <w:r>
              <w:t xml:space="preserve">not</w:t>
            </w:r>
            <w:r>
              <w:t xml:space="preserve"> </w:t>
            </w:r>
            <w:r>
              <w:t xml:space="preserve">“SCuBA verdict changed”</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
          <w:iCs/>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3"/>
    <w:bookmarkEnd w:id="34"/>
    <w:bookmarkStart w:id="35" w:name="quarterly-activities"/>
    <w:p>
      <w:pPr>
        <w:pStyle w:val="Heading2"/>
      </w:pPr>
      <w:r>
        <w:t xml:space="preserve">4.3 3.3 Quarterly Activities</w:t>
      </w:r>
    </w:p>
    <w:p>
      <w:pPr>
        <w:pStyle w:val="TableCaption"/>
      </w:pPr>
      <w:r>
        <w:t xml:space="preserve">Quarterly ConMon Schedule</w:t>
      </w:r>
    </w:p>
    <w:tbl>
      <w:tblPr>
        <w:tblStyle w:val="Table"/>
        <w:tblW w:type="pct" w:w="5000"/>
        <w:tblLayout w:type="fixed"/>
        <w:tblLook w:firstRow="1" w:lastRow="0" w:firstColumn="0" w:lastColumn="0" w:noHBand="0" w:noVBand="0" w:val="0020"/>
        <w:tblCaption w:val="Quarterly ConMon Schedule"/>
      </w:tblPr>
      <w:tblGrid>
        <w:gridCol w:w="766"/>
        <w:gridCol w:w="2554"/>
        <w:gridCol w:w="2299"/>
        <w:gridCol w:w="2299"/>
      </w:tblGrid>
      <w:tr>
        <w:trPr>
          <w:tblHeader w:val="on"/>
        </w:trPr>
        <w:tc>
          <w:tcPr/>
          <w:p>
            <w:pPr>
              <w:pStyle w:val="Compact"/>
            </w:pPr>
            <w:r>
              <w:t xml:space="preserve">Q</w:t>
            </w:r>
          </w:p>
        </w:tc>
        <w:tc>
          <w:tcPr/>
          <w:p>
            <w:pPr>
              <w:pStyle w:val="Compact"/>
            </w:pPr>
            <w:r>
              <w:t xml:space="preserve">Activity</w:t>
            </w:r>
          </w:p>
        </w:tc>
        <w:tc>
          <w:tcPr/>
          <w:p>
            <w:pPr>
              <w:pStyle w:val="Compact"/>
            </w:pPr>
            <w:r>
              <w:t xml:space="preserve">Controls</w:t>
            </w:r>
          </w:p>
        </w:tc>
        <w:tc>
          <w:tcPr/>
          <w:p>
            <w:pPr>
              <w:pStyle w:val="Compact"/>
            </w:pPr>
            <w:r>
              <w:t xml:space="preserve">Evidence</w:t>
            </w:r>
          </w:p>
        </w:tc>
      </w:tr>
      <w:tr>
        <w:tc>
          <w:tcPr/>
          <w:p>
            <w:pPr>
              <w:pStyle w:val="Compact"/>
            </w:pPr>
            <w:r>
              <w:t xml:space="preserve">Q1/Q2/Q3/Q4</w:t>
            </w:r>
          </w:p>
        </w:tc>
        <w:tc>
          <w:tcPr/>
          <w:p>
            <w:pPr>
              <w:pStyle w:val="Compact"/>
            </w:pPr>
            <w:r>
              <w:t xml:space="preserve">KSI evidence quality review</w:t>
            </w:r>
          </w:p>
        </w:tc>
        <w:tc>
          <w:tcPr/>
          <w:p>
            <w:pPr>
              <w:pStyle w:val="Compact"/>
            </w:pPr>
            <w:r>
              <w:t xml:space="preserve">CA-7(3)</w:t>
            </w:r>
          </w:p>
        </w:tc>
        <w:tc>
          <w:tcPr/>
          <w:p>
            <w:pPr>
              <w:pStyle w:val="Compact"/>
            </w:pPr>
            <w:r>
              <w:t xml:space="preserve">Trend report from AR history</w:t>
            </w:r>
          </w:p>
        </w:tc>
      </w:tr>
      <w:tr>
        <w:tc>
          <w:tcPr/>
          <w:p>
            <w:pPr>
              <w:pStyle w:val="Compact"/>
            </w:pPr>
            <w:r>
              <w:t xml:space="preserve">Q1/Q2/Q3/Q4</w:t>
            </w:r>
          </w:p>
        </w:tc>
        <w:tc>
          <w:tcPr/>
          <w:p>
            <w:pPr>
              <w:pStyle w:val="Compact"/>
            </w:pPr>
            <w:r>
              <w:t xml:space="preserve">Training completion review</w:t>
            </w:r>
          </w:p>
        </w:tc>
        <w:tc>
          <w:tcPr/>
          <w:p>
            <w:pPr>
              <w:pStyle w:val="Compact"/>
            </w:pPr>
            <w:r>
              <w:t xml:space="preserve">AT-4, KSI-022</w:t>
            </w:r>
          </w:p>
        </w:tc>
        <w:tc>
          <w:tcPr/>
          <w:p>
            <w:pPr>
              <w:pStyle w:val="Compact"/>
            </w:pPr>
            <w:r>
              <w:rPr>
                <w:rStyle w:val="VerbatimChar"/>
              </w:rPr>
              <w:t xml:space="preserve">governance.training-effectiveness-record</w:t>
            </w:r>
          </w:p>
        </w:tc>
      </w:tr>
      <w:tr>
        <w:tc>
          <w:tcPr/>
          <w:p>
            <w:pPr>
              <w:pStyle w:val="Compact"/>
            </w:pPr>
            <w:r>
              <w:t xml:space="preserve">Q1/Q2/Q3/Q4</w:t>
            </w:r>
          </w:p>
        </w:tc>
        <w:tc>
          <w:tcPr/>
          <w:p>
            <w:pPr>
              <w:pStyle w:val="Compact"/>
            </w:pPr>
            <w:r>
              <w:t xml:space="preserve">Slot binding confidence review</w:t>
            </w:r>
          </w:p>
        </w:tc>
        <w:tc>
          <w:tcPr/>
          <w:p>
            <w:pPr>
              <w:pStyle w:val="Compact"/>
            </w:pPr>
            <w:r>
              <w:t xml:space="preserve">CA-7</w:t>
            </w:r>
          </w:p>
        </w:tc>
        <w:tc>
          <w:tcPr/>
          <w:p>
            <w:pPr>
              <w:pStyle w:val="Compact"/>
            </w:pPr>
            <w:r>
              <w:t xml:space="preserve">Slot YAML audit</w:t>
            </w:r>
          </w:p>
        </w:tc>
      </w:tr>
      <w:tr>
        <w:tc>
          <w:tcPr/>
          <w:p>
            <w:pPr>
              <w:pStyle w:val="Compact"/>
            </w:pPr>
            <w:r>
              <w:t xml:space="preserve">Q1/Q3</w:t>
            </w:r>
          </w:p>
        </w:tc>
        <w:tc>
          <w:tcPr/>
          <w:p>
            <w:pPr>
              <w:pStyle w:val="Compact"/>
            </w:pPr>
            <w:r>
              <w:t xml:space="preserve">Privileged access review</w:t>
            </w:r>
          </w:p>
        </w:tc>
        <w:tc>
          <w:tcPr/>
          <w:p>
            <w:pPr>
              <w:pStyle w:val="Compact"/>
            </w:pPr>
            <w:r>
              <w:t xml:space="preserve">AC-6, KSI-IAM</w:t>
            </w:r>
          </w:p>
        </w:tc>
        <w:tc>
          <w:tcPr/>
          <w:p>
            <w:pPr>
              <w:pStyle w:val="Compact"/>
            </w:pPr>
            <w:r>
              <w:t xml:space="preserve">Entra PIM access review</w:t>
            </w:r>
          </w:p>
        </w:tc>
      </w:tr>
    </w:tbl>
    <w:bookmarkEnd w:id="35"/>
    <w:bookmarkStart w:id="36" w:name="semi-annual-activities"/>
    <w:p>
      <w:pPr>
        <w:pStyle w:val="Heading2"/>
      </w:pPr>
      <w:r>
        <w:t xml:space="preserve">4.4 3.4 Semi-Annual Activities</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Reference</w:t>
            </w:r>
          </w:p>
        </w:tc>
      </w:tr>
      <w:tr>
        <w:tc>
          <w:tcPr/>
          <w:p>
            <w:pPr>
              <w:pStyle w:val="Compact"/>
            </w:pPr>
            <w:r>
              <w:t xml:space="preserve">IR tabletop drill (SOC scenario exercise)</w:t>
            </w:r>
          </w:p>
        </w:tc>
        <w:tc>
          <w:tcPr/>
          <w:p>
            <w:pPr>
              <w:pStyle w:val="Compact"/>
            </w:pPr>
            <w:r>
              <w:t xml:space="preserve">IR-2, KSI-INR</w:t>
            </w:r>
          </w:p>
        </w:tc>
        <w:tc>
          <w:tcPr/>
          <w:p>
            <w:pPr>
              <w:pStyle w:val="Compact"/>
            </w:pPr>
            <w:r>
              <w:t xml:space="preserve">Part 18 §3 IR Drill Cadence</w:t>
            </w:r>
          </w:p>
        </w:tc>
      </w:tr>
      <w:tr>
        <w:tc>
          <w:tcPr/>
          <w:p>
            <w:pPr>
              <w:pStyle w:val="Compact"/>
            </w:pPr>
            <w:r>
              <w:t xml:space="preserve">CP-3 contingency training exercise</w:t>
            </w:r>
          </w:p>
        </w:tc>
        <w:tc>
          <w:tcPr/>
          <w:p>
            <w:pPr>
              <w:pStyle w:val="Compact"/>
            </w:pPr>
            <w:r>
              <w:t xml:space="preserve">CP-3, KSI-RPL</w:t>
            </w:r>
          </w:p>
        </w:tc>
        <w:tc>
          <w:tcPr/>
          <w:p>
            <w:pPr>
              <w:pStyle w:val="Compact"/>
            </w:pPr>
            <w:r>
              <w:t xml:space="preserve">Part 14 §4 Tabletop Calendar</w:t>
            </w:r>
          </w:p>
        </w:tc>
      </w:tr>
      <w:tr>
        <w:tc>
          <w:tcPr/>
          <w:p>
            <w:pPr>
              <w:pStyle w:val="Compact"/>
            </w:pPr>
            <w:r>
              <w:t xml:space="preserve">SBOM freshness + VDR/VER review</w:t>
            </w:r>
          </w:p>
        </w:tc>
        <w:tc>
          <w:tcPr/>
          <w:p>
            <w:pPr>
              <w:pStyle w:val="Compact"/>
            </w:pPr>
            <w:r>
              <w:t xml:space="preserve">SR-5, SR-6, KSI-SCR</w:t>
            </w:r>
          </w:p>
        </w:tc>
        <w:tc>
          <w:tcPr/>
          <w:p>
            <w:pPr>
              <w:pStyle w:val="Compact"/>
            </w:pPr>
            <w:r>
              <w:t xml:space="preserve">Part 15 §5 VDR Pipeline</w:t>
            </w:r>
          </w:p>
        </w:tc>
      </w:tr>
    </w:tbl>
    <w:bookmarkEnd w:id="36"/>
    <w:bookmarkStart w:id="37" w:name="annual-activities"/>
    <w:p>
      <w:pPr>
        <w:pStyle w:val="Heading2"/>
      </w:pPr>
      <w:r>
        <w:t xml:space="preserve">4.5 3.5 Annual Activities</w:t>
      </w:r>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Owner</w:t>
            </w:r>
          </w:p>
        </w:tc>
      </w:tr>
      <w:tr>
        <w:tc>
          <w:tcPr/>
          <w:p>
            <w:pPr>
              <w:pStyle w:val="Compact"/>
            </w:pPr>
            <w:r>
              <w:t xml:space="preserve">Full KSI re-assessment (all 29 rules)</w:t>
            </w:r>
          </w:p>
        </w:tc>
        <w:tc>
          <w:tcPr/>
          <w:p>
            <w:pPr>
              <w:pStyle w:val="Compact"/>
            </w:pPr>
            <w:r>
              <w:t xml:space="preserve">CA-2, CA-7</w:t>
            </w:r>
          </w:p>
        </w:tc>
        <w:tc>
          <w:tcPr/>
          <w:p>
            <w:pPr>
              <w:pStyle w:val="Compact"/>
            </w:pPr>
            <w:r>
              <w:t xml:space="preserve">ISSO</w:t>
            </w:r>
          </w:p>
        </w:tc>
      </w:tr>
      <w:tr>
        <w:tc>
          <w:tcPr/>
          <w:p>
            <w:pPr>
              <w:pStyle w:val="Compact"/>
            </w:pPr>
            <w:r>
              <w:t xml:space="preserve">AT-2 annual security awareness training refresh</w:t>
            </w:r>
          </w:p>
        </w:tc>
        <w:tc>
          <w:tcPr/>
          <w:p>
            <w:pPr>
              <w:pStyle w:val="Compact"/>
            </w:pPr>
            <w:r>
              <w:t xml:space="preserve">AT-2, KSI-CED</w:t>
            </w:r>
          </w:p>
        </w:tc>
        <w:tc>
          <w:tcPr/>
          <w:p>
            <w:pPr>
              <w:pStyle w:val="Compact"/>
            </w:pPr>
            <w:r>
              <w:t xml:space="preserve">HR / Training Coordinator</w:t>
            </w:r>
          </w:p>
        </w:tc>
      </w:tr>
      <w:tr>
        <w:tc>
          <w:tcPr/>
          <w:p>
            <w:pPr>
              <w:pStyle w:val="Compact"/>
            </w:pPr>
            <w:r>
              <w:t xml:space="preserve">CP-2 contingency plan update</w:t>
            </w:r>
          </w:p>
        </w:tc>
        <w:tc>
          <w:tcPr/>
          <w:p>
            <w:pPr>
              <w:pStyle w:val="Compact"/>
            </w:pPr>
            <w:r>
              <w:t xml:space="preserve">CP-2, KSI-RPL</w:t>
            </w:r>
          </w:p>
        </w:tc>
        <w:tc>
          <w:tcPr/>
          <w:p>
            <w:pPr>
              <w:pStyle w:val="Compact"/>
            </w:pPr>
            <w:r>
              <w:t xml:space="preserve">Business Continuity Lead</w:t>
            </w:r>
          </w:p>
        </w:tc>
      </w:tr>
      <w:tr>
        <w:tc>
          <w:tcPr/>
          <w:p>
            <w:pPr>
              <w:pStyle w:val="Compact"/>
            </w:pPr>
            <w:r>
              <w:t xml:space="preserve">PM-14 T&amp;T&amp;M plan annual update</w:t>
            </w:r>
          </w:p>
        </w:tc>
        <w:tc>
          <w:tcPr/>
          <w:p>
            <w:pPr>
              <w:pStyle w:val="Compact"/>
            </w:pPr>
            <w:r>
              <w:t xml:space="preserve">PM-14</w:t>
            </w:r>
          </w:p>
        </w:tc>
        <w:tc>
          <w:tcPr/>
          <w:p>
            <w:pPr>
              <w:pStyle w:val="Compact"/>
            </w:pPr>
            <w:r>
              <w:t xml:space="preserve">ISSM</w:t>
            </w:r>
          </w:p>
        </w:tc>
      </w:tr>
      <w:tr>
        <w:tc>
          <w:tcPr/>
          <w:p>
            <w:pPr>
              <w:pStyle w:val="Compact"/>
            </w:pPr>
            <w:r>
              <w:t xml:space="preserve">ATO renewal package preparation</w:t>
            </w:r>
          </w:p>
        </w:tc>
        <w:tc>
          <w:tcPr/>
          <w:p>
            <w:pPr>
              <w:pStyle w:val="Compact"/>
            </w:pPr>
            <w:r>
              <w:t xml:space="preserve">CA-6</w:t>
            </w:r>
          </w:p>
        </w:tc>
        <w:tc>
          <w:tcPr/>
          <w:p>
            <w:pPr>
              <w:pStyle w:val="Compact"/>
            </w:pPr>
            <w:r>
              <w:t xml:space="preserve">ISSO + Authorizing Official</w:t>
            </w:r>
          </w:p>
        </w:tc>
      </w:tr>
      <w:tr>
        <w:tc>
          <w:tcPr/>
          <w:p>
            <w:pPr>
              <w:pStyle w:val="Compact"/>
            </w:pPr>
            <w:r>
              <w:t xml:space="preserve">BOD 26-04 SBOM annual certification</w:t>
            </w:r>
          </w:p>
        </w:tc>
        <w:tc>
          <w:tcPr/>
          <w:p>
            <w:pPr>
              <w:pStyle w:val="Compact"/>
            </w:pPr>
            <w:r>
              <w:t xml:space="preserve">SR-11, KSI-SCR</w:t>
            </w:r>
          </w:p>
        </w:tc>
        <w:tc>
          <w:tcPr/>
          <w:p>
            <w:pPr>
              <w:pStyle w:val="Compact"/>
            </w:pPr>
            <w:r>
              <w:t xml:space="preserve">SR team</w:t>
            </w:r>
          </w:p>
        </w:tc>
      </w:tr>
    </w:tbl>
    <w:bookmarkEnd w:id="37"/>
    <w:bookmarkStart w:id="38" w:name="trend-analysis-ca-73"/>
    <w:p>
      <w:pPr>
        <w:pStyle w:val="Heading2"/>
      </w:pPr>
      <w:r>
        <w:t xml:space="preserve">4.6 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38"/>
    <w:bookmarkEnd w:id="39"/>
    <w:bookmarkStart w:id="43" w:name="agency-authorization-package-ca-6"/>
    <w:p>
      <w:pPr>
        <w:pStyle w:val="Heading1"/>
      </w:pPr>
      <w:r>
        <w:t xml:space="preserve">5. 4 Agency Authorization Package (CA-6)</w:t>
      </w:r>
    </w:p>
    <w:bookmarkStart w:id="40" w:name="package-components"/>
    <w:p>
      <w:pPr>
        <w:pStyle w:val="Heading2"/>
      </w:pPr>
      <w:r>
        <w:t xml:space="preserve">5.1 4.1 Package Components</w:t>
      </w:r>
    </w:p>
    <w:p>
      <w:pPr>
        <w:pStyle w:val="FirstParagraph"/>
      </w:pPr>
      <w:r>
        <w:t xml:space="preserve">The agency RMF authorization package (ConMon evidence modeled on the FedRAMP</w:t>
      </w:r>
      <w:r>
        <w:t xml:space="preserve"> </w:t>
      </w:r>
      <w:r>
        <w:t xml:space="preserve">20x KSI schema) has a simpler evidence structure than a traditional package:</w:t>
      </w:r>
      <w:r>
        <w:t xml:space="preserve"> </w:t>
      </w:r>
      <w:r>
        <w:t xml:space="preserve">the 20x KSI-evidence model replaces the 325-control audit binder for the CSOs</w:t>
      </w:r>
      <w:r>
        <w:t xml:space="preserve"> </w:t>
      </w:r>
      <w:r>
        <w:t xml:space="preserve">SSA inherits, and this package adopts the same machine-readable model for the</w:t>
      </w:r>
      <w:r>
        <w:t xml:space="preserve"> </w:t>
      </w:r>
      <w:r>
        <w:t xml:space="preserve">agency’s own ConMon evidence. The authorization package consists of:</w:t>
      </w:r>
    </w:p>
    <w:p>
      <w:pPr>
        <w:pStyle w:val="TableCaption"/>
      </w:pPr>
      <w:r>
        <w:t xml:space="preserve">Agency Authorization Package — Component Index</w:t>
      </w:r>
    </w:p>
    <w:tbl>
      <w:tblPr>
        <w:tblStyle w:val="Table"/>
        <w:tblW w:type="pct" w:w="5000"/>
        <w:tblLayout w:type="fixed"/>
        <w:tblLook w:firstRow="1" w:lastRow="0" w:firstColumn="0" w:lastColumn="0" w:noHBand="0" w:noVBand="0" w:val="0020"/>
        <w:tblCaption w:val="Agency Authorization Package — Component Index"/>
      </w:tblPr>
      <w:tblGrid>
        <w:gridCol w:w="3226"/>
        <w:gridCol w:w="2346"/>
        <w:gridCol w:w="2346"/>
      </w:tblGrid>
      <w:tr>
        <w:trPr>
          <w:tblHeader w:val="on"/>
        </w:trPr>
        <w:tc>
          <w:tcPr/>
          <w:p>
            <w:pPr>
              <w:pStyle w:val="Compact"/>
            </w:pPr>
            <w:r>
              <w:t xml:space="preserve">Component</w:t>
            </w:r>
          </w:p>
        </w:tc>
        <w:tc>
          <w:tcPr/>
          <w:p>
            <w:pPr>
              <w:pStyle w:val="Compact"/>
            </w:pPr>
            <w:r>
              <w:t xml:space="preserve">Format</w:t>
            </w:r>
          </w:p>
        </w:tc>
        <w:tc>
          <w:tcPr/>
          <w:p>
            <w:pPr>
              <w:pStyle w:val="Compact"/>
            </w:pPr>
            <w:r>
              <w:t xml:space="preserve">Source</w:t>
            </w:r>
          </w:p>
        </w:tc>
      </w:tr>
      <w:tr>
        <w:tc>
          <w:tcPr/>
          <w:p>
            <w:pPr>
              <w:pStyle w:val="Compact"/>
            </w:pPr>
            <w:r>
              <w:t xml:space="preserve">System Security Plan (SSP)</w:t>
            </w:r>
          </w:p>
        </w:tc>
        <w:tc>
          <w:tcPr/>
          <w:p>
            <w:pPr>
              <w:pStyle w:val="Compact"/>
            </w:pPr>
            <w:r>
              <w:t xml:space="preserve">OSCAL JSON</w:t>
            </w:r>
          </w:p>
        </w:tc>
        <w:tc>
          <w:tcPr/>
          <w:p>
            <w:pPr>
              <w:pStyle w:val="Compact"/>
            </w:pPr>
            <w:r>
              <w:rPr>
                <w:rStyle w:val="VerbatimChar"/>
              </w:rPr>
              <w:t xml:space="preserve">uiao generate ssp</w:t>
            </w:r>
            <w:r>
              <w:t xml:space="preserve"> </w:t>
            </w:r>
            <w:r>
              <w:t xml:space="preserve">(Part 1 architecture as baseline)</w:t>
            </w:r>
          </w:p>
        </w:tc>
      </w:tr>
      <w:tr>
        <w:tc>
          <w:tcPr/>
          <w:p>
            <w:pPr>
              <w:pStyle w:val="Compact"/>
            </w:pPr>
            <w:r>
              <w:t xml:space="preserve">KSI Assessment Plan (AP)</w:t>
            </w:r>
          </w:p>
        </w:tc>
        <w:tc>
          <w:tcPr/>
          <w:p>
            <w:pPr>
              <w:pStyle w:val="Compact"/>
            </w:pPr>
            <w:r>
              <w:t xml:space="preserve">OSCAL JSON</w:t>
            </w:r>
          </w:p>
        </w:tc>
        <w:tc>
          <w:tcPr/>
          <w:p>
            <w:pPr>
              <w:pStyle w:val="Compact"/>
            </w:pPr>
            <w:r>
              <w:rPr>
                <w:rStyle w:val="VerbatimChar"/>
              </w:rPr>
              <w:t xml:space="preserve">output/artifacts/ksi-bundle/ksi-ap.json</w:t>
            </w:r>
          </w:p>
        </w:tc>
      </w:tr>
      <w:tr>
        <w:tc>
          <w:tcPr/>
          <w:p>
            <w:pPr>
              <w:pStyle w:val="Compact"/>
            </w:pPr>
            <w:r>
              <w:t xml:space="preserve">KSI Assessment Results (AR)</w:t>
            </w:r>
          </w:p>
        </w:tc>
        <w:tc>
          <w:tcPr/>
          <w:p>
            <w:pPr>
              <w:pStyle w:val="Compact"/>
            </w:pPr>
            <w:r>
              <w:t xml:space="preserve">OSCAL JSON</w:t>
            </w:r>
          </w:p>
        </w:tc>
        <w:tc>
          <w:tcPr/>
          <w:p>
            <w:pPr>
              <w:pStyle w:val="Compact"/>
            </w:pPr>
            <w:r>
              <w:rPr>
                <w:rStyle w:val="VerbatimChar"/>
              </w:rPr>
              <w:t xml:space="preserve">output/artifacts/ksi-bundle/ksi-ar.json</w:t>
            </w:r>
          </w:p>
        </w:tc>
      </w:tr>
      <w:tr>
        <w:tc>
          <w:tcPr/>
          <w:p>
            <w:pPr>
              <w:pStyle w:val="Compact"/>
            </w:pPr>
            <w:r>
              <w:t xml:space="preserve">Plan of Action &amp; Milestones</w:t>
            </w:r>
          </w:p>
        </w:tc>
        <w:tc>
          <w:tcPr/>
          <w:p>
            <w:pPr>
              <w:pStyle w:val="Compact"/>
            </w:pPr>
            <w:r>
              <w:t xml:space="preserve">OSCAL JSON</w:t>
            </w:r>
          </w:p>
        </w:tc>
        <w:tc>
          <w:tcPr/>
          <w:p>
            <w:pPr>
              <w:pStyle w:val="Compact"/>
            </w:pPr>
            <w:r>
              <w:rPr>
                <w:rStyle w:val="VerbatimChar"/>
              </w:rPr>
              <w:t xml:space="preserve">output/artifacts/ksi-bundle/ksi-poam.json</w:t>
            </w:r>
          </w:p>
        </w:tc>
      </w:tr>
      <w:tr>
        <w:tc>
          <w:tcPr/>
          <w:p>
            <w:pPr>
              <w:pStyle w:val="Compact"/>
            </w:pPr>
            <w:r>
              <w:t xml:space="preserve">AAN Evidence Book Series</w:t>
            </w:r>
          </w:p>
        </w:tc>
        <w:tc>
          <w:tcPr/>
          <w:p>
            <w:pPr>
              <w:pStyle w:val="Compact"/>
            </w:pPr>
            <w:r>
              <w:t xml:space="preserve">DOCX</w:t>
            </w:r>
          </w:p>
        </w:tc>
        <w:tc>
          <w:tcPr/>
          <w:p>
            <w:pPr>
              <w:pStyle w:val="Compact"/>
            </w:pPr>
            <w:r>
              <w:t xml:space="preserve">Parts 1–18 (inbox/Application Aware Networking/)</w:t>
            </w:r>
          </w:p>
        </w:tc>
      </w:tr>
      <w:tr>
        <w:tc>
          <w:tcPr/>
          <w:p>
            <w:pPr>
              <w:pStyle w:val="Compact"/>
            </w:pPr>
            <w:r>
              <w:t xml:space="preserve">BOD 26-04 VDR Submission</w:t>
            </w:r>
          </w:p>
        </w:tc>
        <w:tc>
          <w:tcPr/>
          <w:p>
            <w:pPr>
              <w:pStyle w:val="Compact"/>
            </w:pPr>
            <w:r>
              <w:t xml:space="preserve">CycloneDX 1.6 JSON</w:t>
            </w:r>
          </w:p>
        </w:tc>
        <w:tc>
          <w:tcPr/>
          <w:p>
            <w:pPr>
              <w:pStyle w:val="Compact"/>
            </w:pPr>
            <w:r>
              <w:t xml:space="preserve">Part 15 SBOM pipeline</w:t>
            </w:r>
          </w:p>
        </w:tc>
      </w:tr>
      <w:tr>
        <w:tc>
          <w:tcPr/>
          <w:p>
            <w:pPr>
              <w:pStyle w:val="Compact"/>
            </w:pPr>
            <w:r>
              <w:t xml:space="preserve">Training Effectiveness Record</w:t>
            </w:r>
          </w:p>
        </w:tc>
        <w:tc>
          <w:tcPr/>
          <w:p>
            <w:pPr>
              <w:pStyle w:val="Compact"/>
            </w:pPr>
            <w:r>
              <w:t xml:space="preserve">JSON</w:t>
            </w:r>
          </w:p>
        </w:tc>
        <w:tc>
          <w:tcPr/>
          <w:p>
            <w:pPr>
              <w:pStyle w:val="Compact"/>
            </w:pPr>
            <w:r>
              <w:rPr>
                <w:rStyle w:val="VerbatimChar"/>
              </w:rPr>
              <w:t xml:space="preserve">governance.training-effectiveness-record</w:t>
            </w:r>
            <w:r>
              <w:t xml:space="preserve"> </w:t>
            </w:r>
            <w:r>
              <w:t xml:space="preserve">(Part 18)</w:t>
            </w:r>
          </w:p>
        </w:tc>
      </w:tr>
    </w:tbl>
    <w:bookmarkEnd w:id="40"/>
    <w:bookmarkStart w:id="41" w:name="authorization-timeline"/>
    <w:p>
      <w:pPr>
        <w:pStyle w:val="Heading2"/>
      </w:pPr>
      <w:r>
        <w:t xml:space="preserve">5.2 4.2 Authorization Timeline</w:t>
      </w:r>
    </w:p>
    <w:p>
      <w:pPr>
        <w:pStyle w:val="TableCaption"/>
      </w:pPr>
      <w:r>
        <w:t xml:space="preserve">Authorization Timeline</w:t>
      </w:r>
    </w:p>
    <w:tbl>
      <w:tblPr>
        <w:tblStyle w:val="Table"/>
        <w:tblW w:type="pct" w:w="5000"/>
        <w:tblLayout w:type="fixed"/>
        <w:tblLook w:firstRow="1" w:lastRow="0" w:firstColumn="0" w:lastColumn="0" w:noHBand="0" w:noVBand="0" w:val="0020"/>
        <w:tblCaption w:val="Authorization Timeline"/>
      </w:tblPr>
      <w:tblGrid>
        <w:gridCol w:w="3484"/>
        <w:gridCol w:w="1900"/>
        <w:gridCol w:w="2534"/>
      </w:tblGrid>
      <w:tr>
        <w:trPr>
          <w:tblHeader w:val="on"/>
        </w:trPr>
        <w:tc>
          <w:tcPr/>
          <w:p>
            <w:pPr>
              <w:pStyle w:val="Compact"/>
            </w:pPr>
            <w:r>
              <w:t xml:space="preserve">Milestone</w:t>
            </w:r>
          </w:p>
        </w:tc>
        <w:tc>
          <w:tcPr/>
          <w:p>
            <w:pPr>
              <w:pStyle w:val="Compact"/>
            </w:pPr>
            <w:r>
              <w:t xml:space="preserve">Date</w:t>
            </w:r>
          </w:p>
        </w:tc>
        <w:tc>
          <w:tcPr/>
          <w:p>
            <w:pPr>
              <w:pStyle w:val="Compact"/>
            </w:pPr>
            <w:r>
              <w:t xml:space="preserve">Status</w:t>
            </w:r>
          </w:p>
        </w:tc>
      </w:tr>
      <w:tr>
        <w:tc>
          <w:tcPr/>
          <w:p>
            <w:pPr>
              <w:pStyle w:val="Compact"/>
            </w:pPr>
            <w:r>
              <w:t xml:space="preserve">FedRAMP 20x Class A opens (CSO pipeline — inherited providers)</w:t>
            </w:r>
          </w:p>
        </w:tc>
        <w:tc>
          <w:tcPr/>
          <w:p>
            <w:pPr>
              <w:pStyle w:val="Compact"/>
            </w:pPr>
            <w:r>
              <w:t xml:space="preserve">Aug 3, 2026</w:t>
            </w:r>
          </w:p>
        </w:tc>
        <w:tc>
          <w:tcPr/>
          <w:p>
            <w:pPr>
              <w:pStyle w:val="Compact"/>
            </w:pPr>
            <w:r>
              <w:t xml:space="preserve">Upcoming</w:t>
            </w:r>
          </w:p>
        </w:tc>
      </w:tr>
      <w:tr>
        <w:tc>
          <w:tcPr/>
          <w:p>
            <w:pPr>
              <w:pStyle w:val="Compact"/>
            </w:pPr>
            <w:r>
              <w:t xml:space="preserve">FedRAMP 20x Class B + C opens (CSO pipeline — inherited providers)</w:t>
            </w:r>
          </w:p>
        </w:tc>
        <w:tc>
          <w:tcPr/>
          <w:p>
            <w:pPr>
              <w:pStyle w:val="Compact"/>
            </w:pPr>
            <w:r>
              <w:t xml:space="preserve">Aug 31, 2026</w:t>
            </w:r>
          </w:p>
        </w:tc>
        <w:tc>
          <w:tcPr/>
          <w:p>
            <w:pPr>
              <w:pStyle w:val="Compact"/>
            </w:pPr>
            <w:r>
              <w:t xml:space="preserve">Upcoming</w:t>
            </w:r>
          </w:p>
        </w:tc>
      </w:tr>
      <w:tr>
        <w:tc>
          <w:tcPr/>
          <w:p>
            <w:pPr>
              <w:pStyle w:val="Compact"/>
            </w:pPr>
            <w:r>
              <w:t xml:space="preserve">BOD 26-04 VDR/VER deadline (CISA submission)</w:t>
            </w:r>
          </w:p>
        </w:tc>
        <w:tc>
          <w:tcPr/>
          <w:p>
            <w:pPr>
              <w:pStyle w:val="Compact"/>
            </w:pPr>
            <w:r>
              <w:rPr>
                <w:b/>
                <w:bCs/>
              </w:rPr>
              <w:t xml:space="preserve">Dec 7, 2026</w:t>
            </w:r>
          </w:p>
        </w:tc>
        <w:tc>
          <w:tcPr/>
          <w:p>
            <w:pPr>
              <w:pStyle w:val="Compact"/>
            </w:pPr>
            <w:r>
              <w:rPr>
                <w:b/>
                <w:bCs/>
              </w:rPr>
              <w:t xml:space="preserve">Hard deadline</w:t>
            </w:r>
          </w:p>
        </w:tc>
      </w:tr>
      <w:tr>
        <w:tc>
          <w:tcPr/>
          <w:p>
            <w:pPr>
              <w:pStyle w:val="Compact"/>
            </w:pPr>
            <w:r>
              <w:t xml:space="preserve">FedRAMP 20x mandatory for inherited CSO authorizations</w:t>
            </w:r>
          </w:p>
        </w:tc>
        <w:tc>
          <w:tcPr/>
          <w:p>
            <w:pPr>
              <w:pStyle w:val="Compact"/>
            </w:pPr>
            <w:r>
              <w:t xml:space="preserve">Jan 1, 2027</w:t>
            </w:r>
          </w:p>
        </w:tc>
        <w:tc>
          <w:tcPr/>
          <w:p>
            <w:pPr>
              <w:pStyle w:val="Compact"/>
            </w:pPr>
            <w:r>
              <w:t xml:space="preserve">Mandatory</w:t>
            </w:r>
          </w:p>
        </w:tc>
      </w:tr>
      <w:tr>
        <w:tc>
          <w:tcPr/>
          <w:p>
            <w:pPr>
              <w:pStyle w:val="Compact"/>
            </w:pPr>
            <w:r>
              <w:t xml:space="preserve">Present authorization package to SSA AO</w:t>
            </w:r>
          </w:p>
        </w:tc>
        <w:tc>
          <w:tcPr/>
          <w:p>
            <w:pPr>
              <w:pStyle w:val="Compact"/>
            </w:pPr>
            <w:r>
              <w:t xml:space="preserve">Nov–Dec 2026</w:t>
            </w:r>
          </w:p>
        </w:tc>
        <w:tc>
          <w:tcPr/>
          <w:p>
            <w:pPr>
              <w:pStyle w:val="Compact"/>
            </w:pPr>
            <w:r>
              <w:t xml:space="preserve">Planned</w:t>
            </w:r>
          </w:p>
        </w:tc>
      </w:tr>
      <w:tr>
        <w:tc>
          <w:tcPr/>
          <w:p>
            <w:pPr>
              <w:pStyle w:val="Compact"/>
            </w:pPr>
            <w:r>
              <w:t xml:space="preserve">Agency ATO decision expected</w:t>
            </w:r>
          </w:p>
        </w:tc>
        <w:tc>
          <w:tcPr/>
          <w:p>
            <w:pPr>
              <w:pStyle w:val="Compact"/>
            </w:pPr>
            <w:r>
              <w:t xml:space="preserve">Q1 2027</w:t>
            </w:r>
          </w:p>
        </w:tc>
        <w:tc>
          <w:tcPr/>
          <w:p>
            <w:pPr>
              <w:pStyle w:val="Compact"/>
            </w:pPr>
            <w:r>
              <w:t xml:space="preserve">Target</w:t>
            </w:r>
          </w:p>
        </w:tc>
      </w:tr>
    </w:tbl>
    <w:bookmarkEnd w:id="41"/>
    <w:bookmarkStart w:id="42" w:name="X375cb839b722f48475da0b72b146f138924ddd4"/>
    <w:p>
      <w:pPr>
        <w:pStyle w:val="Heading2"/>
      </w:pPr>
      <w:r>
        <w:t xml:space="preserve">5.3 4.3 Authorizing Official Package Review Checklist</w:t>
      </w:r>
    </w:p>
    <w:p>
      <w:pPr>
        <w:pStyle w:val="FirstParagraph"/>
      </w:pPr>
      <w:r>
        <w:t xml:space="preserve">Before the authorization decision, the Authorizing Official (AO) reviews:</w:t>
      </w:r>
    </w:p>
    <w:p>
      <w:pPr>
        <w:pStyle w:val="Compact"/>
        <w:numPr>
          <w:ilvl w:val="0"/>
          <w:numId w:val="1005"/>
        </w:numPr>
      </w:pPr>
      <w:r>
        <w:t xml:space="preserve">All 29 KSI rules self-assessed as satisfied in current AR (zero open risks); independent SCA scheduled</w:t>
      </w:r>
    </w:p>
    <w:p>
      <w:pPr>
        <w:pStyle w:val="Compact"/>
        <w:numPr>
          <w:ilvl w:val="0"/>
          <w:numId w:val="1006"/>
        </w:numPr>
      </w:pPr>
      <w:r>
        <w:t xml:space="preserve">POA&amp;M is empty or all items have approved milestones</w:t>
      </w:r>
    </w:p>
    <w:p>
      <w:pPr>
        <w:pStyle w:val="Compact"/>
        <w:numPr>
          <w:ilvl w:val="0"/>
          <w:numId w:val="1007"/>
        </w:numPr>
      </w:pPr>
      <w:r>
        <w:t xml:space="preserve">BOD 26-04 VDR submission filed by December 7, 2026</w:t>
      </w:r>
    </w:p>
    <w:p>
      <w:pPr>
        <w:pStyle w:val="Compact"/>
        <w:numPr>
          <w:ilvl w:val="0"/>
          <w:numId w:val="1008"/>
        </w:numPr>
      </w:pPr>
      <w:r>
        <w:t xml:space="preserve">Training effectiveness record dated within the last 12 months</w:t>
      </w:r>
    </w:p>
    <w:p>
      <w:pPr>
        <w:pStyle w:val="Compact"/>
        <w:numPr>
          <w:ilvl w:val="0"/>
          <w:numId w:val="1009"/>
        </w:numPr>
      </w:pPr>
      <w:r>
        <w:t xml:space="preserve">SBOM generated within the last 90 days (Syft + Grype pipeline)</w:t>
      </w:r>
    </w:p>
    <w:p>
      <w:pPr>
        <w:pStyle w:val="Compact"/>
        <w:numPr>
          <w:ilvl w:val="0"/>
          <w:numId w:val="1010"/>
        </w:numPr>
      </w:pPr>
      <w:r>
        <w:t xml:space="preserve">ConMon dashboard accessible in Sentinel (AU-6, SI-4 evidence)</w:t>
      </w:r>
    </w:p>
    <w:p>
      <w:pPr>
        <w:pStyle w:val="Compact"/>
        <w:numPr>
          <w:ilvl w:val="0"/>
          <w:numId w:val="1011"/>
        </w:numPr>
      </w:pPr>
      <w:r>
        <w:t xml:space="preserve">Contingency plan tabletop conducted within the last 12 months (CP-3)</w:t>
      </w:r>
    </w:p>
    <w:p>
      <w:pPr>
        <w:pStyle w:val="Compact"/>
        <w:numPr>
          <w:ilvl w:val="0"/>
          <w:numId w:val="1012"/>
        </w:numPr>
      </w:pPr>
      <w:r>
        <w:t xml:space="preserve">IR drill conducted within the last 6 months (IR-2)</w:t>
      </w:r>
    </w:p>
    <w:p>
      <w:pPr>
        <w:pStyle w:val="Compact"/>
        <w:numPr>
          <w:ilvl w:val="0"/>
          <w:numId w:val="1013"/>
        </w:numPr>
      </w:pPr>
      <w:r>
        <w:t xml:space="preserve">PM-14 T&amp;T&amp;M plan current and signed by ISSM</w:t>
      </w:r>
    </w:p>
    <w:p>
      <w:r>
        <w:pict>
          <v:rect style="width:0;height:1.5pt" o:hralign="center" o:hrstd="t" o:hr="t"/>
        </w:pict>
      </w:r>
    </w:p>
    <w:bookmarkEnd w:id="42"/>
    <w:bookmarkEnd w:id="43"/>
    <w:bookmarkStart w:id="49" w:name="bod-26-04-vdrver-submission-sr-11-sa-15"/>
    <w:p>
      <w:pPr>
        <w:pStyle w:val="Heading1"/>
      </w:pPr>
      <w:r>
        <w:t xml:space="preserve">6. 5 BOD 26-04 VDR/VER Submission (SR-11, SA-15)</w:t>
      </w:r>
    </w:p>
    <w:bookmarkStart w:id="44" w:name="bod-26-04-overview"/>
    <w:p>
      <w:pPr>
        <w:pStyle w:val="Heading2"/>
      </w:pPr>
      <w:r>
        <w:t xml:space="preserve">6.1 5.1 BOD 26-04 Overview</w:t>
      </w:r>
    </w:p>
    <w:p>
      <w:pPr>
        <w:pStyle w:val="FirstParagraph"/>
      </w:pPr>
      <w:r>
        <w:t xml:space="preserve">Binding Operational Directive 26-04 requires all federal agencies to:</w:t>
      </w:r>
    </w:p>
    <w:p>
      <w:pPr>
        <w:pStyle w:val="Compact"/>
        <w:numPr>
          <w:ilvl w:val="0"/>
          <w:numId w:val="1014"/>
        </w:numPr>
      </w:pPr>
      <w:r>
        <w:rPr>
          <w:b/>
          <w:bCs/>
        </w:rPr>
        <w:t xml:space="preserve">Maintain an SBOM</w:t>
      </w:r>
      <w:r>
        <w:t xml:space="preserve"> </w:t>
      </w:r>
      <w:r>
        <w:t xml:space="preserve">for all software in production by December 7, 2026</w:t>
      </w:r>
    </w:p>
    <w:p>
      <w:pPr>
        <w:pStyle w:val="Compact"/>
        <w:numPr>
          <w:ilvl w:val="0"/>
          <w:numId w:val="1014"/>
        </w:numPr>
      </w:pPr>
      <w:r>
        <w:rPr>
          <w:b/>
          <w:bCs/>
        </w:rPr>
        <w:t xml:space="preserve">File a Vulnerability Disclosure Report (VDR)</w:t>
      </w:r>
      <w:r>
        <w:t xml:space="preserve"> </w:t>
      </w:r>
      <w:r>
        <w:t xml:space="preserve">for each SBOM component with known CVEs</w:t>
      </w:r>
    </w:p>
    <w:p>
      <w:pPr>
        <w:pStyle w:val="Compact"/>
        <w:numPr>
          <w:ilvl w:val="0"/>
          <w:numId w:val="1014"/>
        </w:numPr>
      </w:pPr>
      <w:r>
        <w:rPr>
          <w:b/>
          <w:bCs/>
        </w:rPr>
        <w:t xml:space="preserve">File a Vulnerability Exploitability Report (VER)</w:t>
      </w:r>
      <w:r>
        <w:t xml:space="preserve"> </w:t>
      </w:r>
      <w:r>
        <w:t xml:space="preserve">(OpenVEX) for each CVE above CVSS 7.0</w:t>
      </w:r>
    </w:p>
    <w:p>
      <w:pPr>
        <w:pStyle w:val="Compact"/>
        <w:numPr>
          <w:ilvl w:val="0"/>
          <w:numId w:val="1014"/>
        </w:numPr>
      </w:pPr>
      <w:r>
        <w:rPr>
          <w:b/>
          <w:bCs/>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44"/>
    <w:bookmarkStart w:id="47" w:name="sbom-artifact-chain"/>
    <w:p>
      <w:pPr>
        <w:pStyle w:val="Heading2"/>
      </w:pPr>
      <w:r>
        <w:t xml:space="preserve">6.2 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45" w:name="running-the-sbom-pipeline"/>
    <w:p>
      <w:pPr>
        <w:pStyle w:val="Heading3"/>
      </w:pPr>
      <w:r>
        <w:t xml:space="preserve">6.2.1 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45"/>
    <w:bookmarkStart w:id="46" w:name="submission-to-cisa"/>
    <w:p>
      <w:pPr>
        <w:pStyle w:val="Heading3"/>
      </w:pPr>
      <w:r>
        <w:t xml:space="preserve">6.2.2 5.2.2 Submission to CISA</w:t>
      </w:r>
    </w:p>
    <w:p>
      <w:pPr>
        <w:pStyle w:val="FirstParagraph"/>
      </w:pPr>
      <w:r>
        <w:t xml:space="preserve">Per BOD 26-04, VDR/VER submissions go to:</w:t>
      </w:r>
      <w:r>
        <w:t xml:space="preserve"> </w:t>
      </w:r>
      <w:r>
        <w:t xml:space="preserve">-</w:t>
      </w:r>
      <w:r>
        <w:t xml:space="preserve"> </w:t>
      </w:r>
      <w:r>
        <w:rPr>
          <w:b/>
          <w:bCs/>
        </w:rPr>
        <w:t xml:space="preserve">Email</w:t>
      </w:r>
      <w:r>
        <w:t xml:space="preserve">: sbom@cisa.dhs.gov (VDR + VEX package as ZIP attachment)</w:t>
      </w:r>
      <w:r>
        <w:t xml:space="preserve"> </w:t>
      </w:r>
      <w:r>
        <w:t xml:space="preserve">-</w:t>
      </w:r>
      <w:r>
        <w:t xml:space="preserve"> </w:t>
      </w:r>
      <w:r>
        <w:rPr>
          <w:b/>
          <w:bCs/>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
          <w:bCs/>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46"/>
    <w:bookmarkEnd w:id="47"/>
    <w:bookmarkStart w:id="48" w:name="at-4-evidence-contract-currency"/>
    <w:p>
      <w:pPr>
        <w:pStyle w:val="Heading2"/>
      </w:pPr>
      <w:r>
        <w:t xml:space="preserve">6.3 5.3 AT-4 Evidence Contract Currency</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the time of the AO’s ATO package review:</w:t>
      </w:r>
    </w:p>
    <w:p>
      <w:pPr>
        <w:pStyle w:val="SourceCode"/>
      </w:pPr>
      <w:r>
        <w:rPr>
          <w:rStyle w:val="CommentTok"/>
        </w:rPr>
        <w:t xml:space="preserve"># Verify training record is current (exported from Viva Learning Graph API)</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48"/>
    <w:bookmarkEnd w:id="49"/>
    <w:bookmarkStart w:id="54" w:name="X2baad120c625cca5affb3af3072f4904f2c9188"/>
    <w:p>
      <w:pPr>
        <w:pStyle w:val="Heading1"/>
      </w:pPr>
      <w:r>
        <w:t xml:space="preserve">7. 6 Post-Authorization ConMon Architecture (CA-7, SA-15)</w:t>
      </w:r>
    </w:p>
    <w:bookmarkStart w:id="50" w:name="conmon-data-flow"/>
    <w:p>
      <w:pPr>
        <w:pStyle w:val="Heading2"/>
      </w:pPr>
      <w:r>
        <w:t xml:space="preserve">7.1 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0"/>
    <w:bookmarkStart w:id="51" w:name="evidence-freshness-rules"/>
    <w:p>
      <w:pPr>
        <w:pStyle w:val="Heading2"/>
      </w:pPr>
      <w:r>
        <w:t xml:space="preserve">7.2 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w:t>
      </w:r>
    </w:p>
    <w:tbl>
      <w:tblPr>
        <w:tblStyle w:val="Table"/>
        <w:tblW w:type="pct" w:w="5000"/>
        <w:tblLayout w:type="fixed"/>
        <w:tblLook w:firstRow="1" w:lastRow="0" w:firstColumn="0" w:lastColumn="0" w:noHBand="0" w:noVBand="0" w:val="0020"/>
        <w:tblCaption w:val="Evidence Freshness Requirements by Slot"/>
      </w:tblPr>
      <w:tblGrid>
        <w:gridCol w:w="1320"/>
        <w:gridCol w:w="5060"/>
        <w:gridCol w:w="1540"/>
      </w:tblGrid>
      <w:tr>
        <w:trPr>
          <w:tblHeader w:val="on"/>
        </w:trPr>
        <w:tc>
          <w:tcPr/>
          <w:p>
            <w:pPr>
              <w:pStyle w:val="Compact"/>
            </w:pPr>
            <w:r>
              <w:t xml:space="preserve">Slot</w:t>
            </w:r>
          </w:p>
        </w:tc>
        <w:tc>
          <w:tcPr/>
          <w:p>
            <w:pPr>
              <w:pStyle w:val="Compact"/>
            </w:pPr>
            <w:r>
              <w:t xml:space="preserve">Freshness Requirement</w:t>
            </w:r>
          </w:p>
        </w:tc>
        <w:tc>
          <w:tcPr/>
          <w:p>
            <w:pPr>
              <w:pStyle w:val="Compact"/>
            </w:pPr>
            <w:r>
              <w:t xml:space="preserve">Owner</w:t>
            </w:r>
          </w:p>
        </w:tc>
      </w:tr>
      <w:tr>
        <w:tc>
          <w:tcPr/>
          <w:p>
            <w:pPr>
              <w:pStyle w:val="Compact"/>
            </w:pPr>
            <w:r>
              <w:t xml:space="preserve">slot-01 identity</w:t>
            </w:r>
          </w:p>
        </w:tc>
        <w:tc>
          <w:tcPr/>
          <w:p>
            <w:pPr>
              <w:pStyle w:val="Compact"/>
            </w:pPr>
            <w:r>
              <w:t xml:space="preserve">Entra ID Conditional Access policies reviewed quarterly</w:t>
            </w:r>
          </w:p>
        </w:tc>
        <w:tc>
          <w:tcPr/>
          <w:p>
            <w:pPr>
              <w:pStyle w:val="Compact"/>
            </w:pPr>
            <w:r>
              <w:t xml:space="preserve">IAM team</w:t>
            </w:r>
          </w:p>
        </w:tc>
      </w:tr>
      <w:tr>
        <w:tc>
          <w:tcPr/>
          <w:p>
            <w:pPr>
              <w:pStyle w:val="Compact"/>
            </w:pPr>
            <w:r>
              <w:t xml:space="preserve">slot-02 data</w:t>
            </w:r>
          </w:p>
        </w:tc>
        <w:tc>
          <w:tcPr/>
          <w:p>
            <w:pPr>
              <w:pStyle w:val="Compact"/>
            </w:pPr>
            <w:r>
              <w:t xml:space="preserve">Purview DLP policy and CMK rotation reviewed annually</w:t>
            </w:r>
          </w:p>
        </w:tc>
        <w:tc>
          <w:tcPr/>
          <w:p>
            <w:pPr>
              <w:pStyle w:val="Compact"/>
            </w:pPr>
            <w:r>
              <w:t xml:space="preserve">Data Protection team</w:t>
            </w:r>
          </w:p>
        </w:tc>
      </w:tr>
      <w:tr>
        <w:tc>
          <w:tcPr/>
          <w:p>
            <w:pPr>
              <w:pStyle w:val="Compact"/>
            </w:pPr>
            <w:r>
              <w:t xml:space="preserve">slot-03 network</w:t>
            </w:r>
          </w:p>
        </w:tc>
        <w:tc>
          <w:tcPr/>
          <w:p>
            <w:pPr>
              <w:pStyle w:val="Compact"/>
            </w:pPr>
            <w:r>
              <w:t xml:space="preserve">SD-WAN configuration baseline reviewed semi-annually</w:t>
            </w:r>
          </w:p>
        </w:tc>
        <w:tc>
          <w:tcPr/>
          <w:p>
            <w:pPr>
              <w:pStyle w:val="Compact"/>
            </w:pPr>
            <w:r>
              <w:t xml:space="preserve">Network team</w:t>
            </w:r>
          </w:p>
        </w:tc>
      </w:tr>
      <w:tr>
        <w:tc>
          <w:tcPr/>
          <w:p>
            <w:pPr>
              <w:pStyle w:val="Compact"/>
            </w:pPr>
            <w:r>
              <w:t xml:space="preserve">slot-04 telemetry</w:t>
            </w:r>
          </w:p>
        </w:tc>
        <w:tc>
          <w:tcPr/>
          <w:p>
            <w:pPr>
              <w:pStyle w:val="Compact"/>
            </w:pPr>
            <w:r>
              <w:t xml:space="preserve">Sentinel detection rules reviewed quarterly; log retention confirmed monthly</w:t>
            </w:r>
          </w:p>
        </w:tc>
        <w:tc>
          <w:tcPr/>
          <w:p>
            <w:pPr>
              <w:pStyle w:val="Compact"/>
            </w:pPr>
            <w:r>
              <w:t xml:space="preserve">SOC</w:t>
            </w:r>
          </w:p>
        </w:tc>
      </w:tr>
      <w:tr>
        <w:tc>
          <w:tcPr/>
          <w:p>
            <w:pPr>
              <w:pStyle w:val="Compact"/>
            </w:pPr>
            <w:r>
              <w:t xml:space="preserve">slot-05 endpoint</w:t>
            </w:r>
          </w:p>
        </w:tc>
        <w:tc>
          <w:tcPr/>
          <w:p>
            <w:pPr>
              <w:pStyle w:val="Compact"/>
            </w:pPr>
            <w:r>
              <w:t xml:space="preserve">Defender VM findings reviewed weekly; PAW review quarterly</w:t>
            </w:r>
          </w:p>
        </w:tc>
        <w:tc>
          <w:tcPr/>
          <w:p>
            <w:pPr>
              <w:pStyle w:val="Compact"/>
            </w:pPr>
            <w:r>
              <w:t xml:space="preserve">Endpoint team</w:t>
            </w:r>
          </w:p>
        </w:tc>
      </w:tr>
      <w:tr>
        <w:tc>
          <w:tcPr/>
          <w:p>
            <w:pPr>
              <w:pStyle w:val="Compact"/>
            </w:pPr>
            <w:r>
              <w:t xml:space="preserve">slot-06 security</w:t>
            </w:r>
          </w:p>
        </w:tc>
        <w:tc>
          <w:tcPr/>
          <w:p>
            <w:pPr>
              <w:pStyle w:val="Compact"/>
            </w:pPr>
            <w:r>
              <w:t xml:space="preserve">SBOM regenerated monthly; VDR/VER current (BOD 26-04)</w:t>
            </w:r>
          </w:p>
        </w:tc>
        <w:tc>
          <w:tcPr/>
          <w:p>
            <w:pPr>
              <w:pStyle w:val="Compact"/>
            </w:pPr>
            <w:r>
              <w:t xml:space="preserve">SR team</w:t>
            </w:r>
          </w:p>
        </w:tc>
      </w:tr>
      <w:tr>
        <w:tc>
          <w:tcPr/>
          <w:p>
            <w:pPr>
              <w:pStyle w:val="Compact"/>
            </w:pPr>
            <w:r>
              <w:t xml:space="preserve">slot-07 continuity</w:t>
            </w:r>
          </w:p>
        </w:tc>
        <w:tc>
          <w:tcPr/>
          <w:p>
            <w:pPr>
              <w:pStyle w:val="Compact"/>
            </w:pPr>
            <w:r>
              <w:t xml:space="preserve">CP-3 tabletop annually; CP-4 test annually; CP-2 plan current</w:t>
            </w:r>
          </w:p>
        </w:tc>
        <w:tc>
          <w:tcPr/>
          <w:p>
            <w:pPr>
              <w:pStyle w:val="Compact"/>
            </w:pPr>
            <w:r>
              <w:t xml:space="preserve">BC team</w:t>
            </w:r>
          </w:p>
        </w:tc>
      </w:tr>
      <w:tr>
        <w:tc>
          <w:tcPr/>
          <w:p>
            <w:pPr>
              <w:pStyle w:val="Compact"/>
            </w:pPr>
            <w:r>
              <w:t xml:space="preserve">slot-08 training</w:t>
            </w:r>
          </w:p>
        </w:tc>
        <w:tc>
          <w:tcPr/>
          <w:p>
            <w:pPr>
              <w:pStyle w:val="Compact"/>
            </w:pPr>
            <w:r>
              <w:t xml:space="preserve">LMS completion records exported monthly; overall ≥ 95%</w:t>
            </w:r>
          </w:p>
        </w:tc>
        <w:tc>
          <w:tcPr/>
          <w:p>
            <w:pPr>
              <w:pStyle w:val="Compact"/>
            </w:pPr>
            <w:r>
              <w:t xml:space="preserve">HR / Training</w:t>
            </w:r>
          </w:p>
        </w:tc>
      </w:tr>
    </w:tbl>
    <w:bookmarkEnd w:id="51"/>
    <w:bookmarkStart w:id="52" w:name="sentinel-conmon-dashboard"/>
    <w:p>
      <w:pPr>
        <w:pStyle w:val="Heading2"/>
      </w:pPr>
      <w:r>
        <w:t xml:space="preserve">7.3 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pStyle w:val="Compact"/>
        <w:numPr>
          <w:ilvl w:val="0"/>
          <w:numId w:val="1015"/>
        </w:numPr>
      </w:pPr>
      <w:r>
        <w:rPr>
          <w:b/>
          <w:bCs/>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pStyle w:val="Compact"/>
        <w:numPr>
          <w:ilvl w:val="0"/>
          <w:numId w:val="1015"/>
        </w:numPr>
      </w:pPr>
      <w:r>
        <w:rPr>
          <w:b/>
          <w:bCs/>
        </w:rPr>
        <w:t xml:space="preserve">Control Drift Workbook</w:t>
      </w:r>
      <w:r>
        <w:t xml:space="preserve"> </w:t>
      </w:r>
      <w:r>
        <w:t xml:space="preserve">— tracks changes in ScuBA findings (M365 config</w:t>
      </w:r>
      <w:r>
        <w:t xml:space="preserve"> </w:t>
      </w:r>
      <w:r>
        <w:t xml:space="preserve">drift that could affect KSI-001..010 verdicts)</w:t>
      </w:r>
    </w:p>
    <w:p>
      <w:pPr>
        <w:pStyle w:val="Compact"/>
        <w:numPr>
          <w:ilvl w:val="0"/>
          <w:numId w:val="1015"/>
        </w:numPr>
      </w:pPr>
      <w:r>
        <w:rPr>
          <w:b/>
          <w:bCs/>
        </w:rPr>
        <w:t xml:space="preserve">Vulnerability Backlog Workbook</w:t>
      </w:r>
      <w:r>
        <w:t xml:space="preserve"> </w:t>
      </w:r>
      <w:r>
        <w:t xml:space="preserve">— RA-5 KEV hits, CVSS scores, BOD 26-04</w:t>
      </w:r>
      <w:r>
        <w:t xml:space="preserve"> </w:t>
      </w:r>
      <w:r>
        <w:t xml:space="preserve">status per component in the SBOM</w:t>
      </w:r>
    </w:p>
    <w:p>
      <w:pPr>
        <w:pStyle w:val="Compact"/>
        <w:numPr>
          <w:ilvl w:val="0"/>
          <w:numId w:val="1015"/>
        </w:numPr>
      </w:pPr>
      <w:r>
        <w:rPr>
          <w:b/>
          <w:bCs/>
        </w:rPr>
        <w:t xml:space="preserve">Training Coverage Workbook</w:t>
      </w:r>
      <w:r>
        <w:t xml:space="preserve"> </w:t>
      </w:r>
      <w:r>
        <w:t xml:space="preserve">— AT-4 completion rate trend by role tier</w:t>
      </w:r>
    </w:p>
    <w:bookmarkEnd w:id="52"/>
    <w:bookmarkStart w:id="53" w:name="roles-and-responsibilities-ca-71"/>
    <w:p>
      <w:pPr>
        <w:pStyle w:val="Heading2"/>
      </w:pPr>
      <w:r>
        <w:t xml:space="preserve">7.4 6.4 Roles and Responsibilities (CA-7(1))</w:t>
      </w:r>
    </w:p>
    <w:p>
      <w:pPr>
        <w:pStyle w:val="TableCaption"/>
      </w:pPr>
      <w:r>
        <w:t xml:space="preserve">ConMon RACI — Key Roles</w:t>
      </w:r>
    </w:p>
    <w:tbl>
      <w:tblPr>
        <w:tblStyle w:val="Table"/>
        <w:tblW w:type="pct" w:w="5000"/>
        <w:tblLayout w:type="fixed"/>
        <w:tblLook w:firstRow="1" w:lastRow="0" w:firstColumn="0" w:lastColumn="0" w:noHBand="0" w:noVBand="0" w:val="0020"/>
        <w:tblCaption w:val="ConMon RACI — Key Roles"/>
      </w:tblPr>
      <w:tblGrid>
        <w:gridCol w:w="1760"/>
        <w:gridCol w:w="6160"/>
      </w:tblGrid>
      <w:tr>
        <w:trPr>
          <w:tblHeader w:val="on"/>
        </w:trPr>
        <w:tc>
          <w:tcPr/>
          <w:p>
            <w:pPr>
              <w:pStyle w:val="Compact"/>
            </w:pPr>
            <w:r>
              <w:t xml:space="preserve">Role</w:t>
            </w:r>
          </w:p>
        </w:tc>
        <w:tc>
          <w:tcPr/>
          <w:p>
            <w:pPr>
              <w:pStyle w:val="Compact"/>
            </w:pPr>
            <w:r>
              <w:t xml:space="preserve">CA-7 Responsibility</w:t>
            </w:r>
          </w:p>
        </w:tc>
      </w:tr>
      <w:tr>
        <w:tc>
          <w:tcPr/>
          <w:p>
            <w:pPr>
              <w:pStyle w:val="Compact"/>
            </w:pPr>
            <w:r>
              <w:rPr>
                <w:b/>
                <w:bCs/>
              </w:rPr>
              <w:t xml:space="preserve">Authorizing Official (AO)</w:t>
            </w:r>
          </w:p>
        </w:tc>
        <w:tc>
          <w:tcPr/>
          <w:p>
            <w:pPr>
              <w:pStyle w:val="Compact"/>
            </w:pPr>
            <w:r>
              <w:t xml:space="preserve">Reviews monthly AR; accepts or escalates open risks; approves ATO renewal</w:t>
            </w:r>
          </w:p>
        </w:tc>
      </w:tr>
      <w:tr>
        <w:tc>
          <w:tcPr/>
          <w:p>
            <w:pPr>
              <w:pStyle w:val="Compact"/>
            </w:pPr>
            <w:r>
              <w:rPr>
                <w:b/>
                <w:bCs/>
              </w:rPr>
              <w:t xml:space="preserve">ISSO</w:t>
            </w:r>
          </w:p>
        </w:tc>
        <w:tc>
          <w:tcPr/>
          <w:p>
            <w:pPr>
              <w:pStyle w:val="Compact"/>
            </w:pPr>
            <w:r>
              <w:t xml:space="preserve">Runs monthly</w:t>
            </w:r>
            <w:r>
              <w:t xml:space="preserve"> </w:t>
            </w:r>
            <w:r>
              <w:rPr>
                <w:rStyle w:val="VerbatimChar"/>
              </w:rPr>
              <w:t xml:space="preserve">uiao oscal bundle</w:t>
            </w:r>
            <w:r>
              <w:t xml:space="preserve">; reviews Sentinel dashboard; owns POA&amp;M</w:t>
            </w:r>
          </w:p>
        </w:tc>
      </w:tr>
      <w:tr>
        <w:tc>
          <w:tcPr/>
          <w:p>
            <w:pPr>
              <w:pStyle w:val="Compact"/>
            </w:pPr>
            <w:r>
              <w:rPr>
                <w:b/>
                <w:bCs/>
              </w:rPr>
              <w:t xml:space="preserve">ISSM</w:t>
            </w:r>
          </w:p>
        </w:tc>
        <w:tc>
          <w:tcPr/>
          <w:p>
            <w:pPr>
              <w:pStyle w:val="Compact"/>
            </w:pPr>
            <w:r>
              <w:t xml:space="preserve">Chairs quarterly KSI review; escalates trend anomalies to AO</w:t>
            </w:r>
          </w:p>
        </w:tc>
      </w:tr>
      <w:tr>
        <w:tc>
          <w:tcPr/>
          <w:p>
            <w:pPr>
              <w:pStyle w:val="Compact"/>
            </w:pPr>
            <w:r>
              <w:rPr>
                <w:b/>
                <w:bCs/>
              </w:rPr>
              <w:t xml:space="preserve">SOC Lead</w:t>
            </w:r>
          </w:p>
        </w:tc>
        <w:tc>
          <w:tcPr/>
          <w:p>
            <w:pPr>
              <w:pStyle w:val="Compact"/>
            </w:pPr>
            <w:r>
              <w:t xml:space="preserve">Maintains Sentinel workbooks; conducts IR drills; owns detection rule cadence</w:t>
            </w:r>
          </w:p>
        </w:tc>
      </w:tr>
      <w:tr>
        <w:tc>
          <w:tcPr/>
          <w:p>
            <w:pPr>
              <w:pStyle w:val="Compact"/>
            </w:pPr>
            <w:r>
              <w:rPr>
                <w:b/>
                <w:bCs/>
              </w:rPr>
              <w:t xml:space="preserve">SR / Supply Chain</w:t>
            </w:r>
          </w:p>
        </w:tc>
        <w:tc>
          <w:tcPr/>
          <w:p>
            <w:pPr>
              <w:pStyle w:val="Compact"/>
            </w:pPr>
            <w:r>
              <w:t xml:space="preserve">Maintains SBOM pipeline; files VDR/VER; owns BOD 26-04 compliance</w:t>
            </w:r>
          </w:p>
        </w:tc>
      </w:tr>
      <w:tr>
        <w:tc>
          <w:tcPr/>
          <w:p>
            <w:pPr>
              <w:pStyle w:val="Compact"/>
            </w:pPr>
            <w:r>
              <w:rPr>
                <w:b/>
                <w:bCs/>
              </w:rPr>
              <w:t xml:space="preserve">HR / Training Coordinator</w:t>
            </w:r>
          </w:p>
        </w:tc>
        <w:tc>
          <w:tcPr/>
          <w:p>
            <w:pPr>
              <w:pStyle w:val="Compact"/>
            </w:pPr>
            <w:r>
              <w:t xml:space="preserve">Exports monthly LMS records; ensures overall_completion_pct ≥ 95%</w:t>
            </w:r>
          </w:p>
        </w:tc>
      </w:tr>
    </w:tbl>
    <w:p>
      <w:r>
        <w:pict>
          <v:rect style="width:0;height:1.5pt" o:hralign="center" o:hrstd="t" o:hr="t"/>
        </w:pict>
      </w:r>
    </w:p>
    <w:bookmarkEnd w:id="53"/>
    <w:bookmarkEnd w:id="54"/>
    <w:bookmarkStart w:id="57" w:name="risk-assessment-integration-ra-3"/>
    <w:p>
      <w:pPr>
        <w:pStyle w:val="Heading1"/>
      </w:pPr>
      <w:r>
        <w:t xml:space="preserve">8. 7 Risk Assessment Integration (RA-3)</w:t>
      </w:r>
    </w:p>
    <w:bookmarkStart w:id="55" w:name="risk-register-structure"/>
    <w:p>
      <w:pPr>
        <w:pStyle w:val="Heading2"/>
      </w:pPr>
      <w:r>
        <w:t xml:space="preserve">8.1 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OSCAL Field</w:t>
            </w:r>
          </w:p>
        </w:tc>
        <w:tc>
          <w:tcPr/>
          <w:p>
            <w:pPr>
              <w:pStyle w:val="Compact"/>
            </w:pPr>
            <w:r>
              <w:t xml:space="preserve">Risk Register Mapping</w:t>
            </w:r>
          </w:p>
        </w:tc>
      </w:tr>
      <w:tr>
        <w:tc>
          <w:tcPr/>
          <w:p>
            <w:pPr>
              <w:pStyle w:val="Compact"/>
            </w:pPr>
            <w:r>
              <w:rPr>
                <w:rStyle w:val="VerbatimChar"/>
              </w:rPr>
              <w:t xml:space="preserve">risk.title</w:t>
            </w:r>
          </w:p>
        </w:tc>
        <w:tc>
          <w:tcPr/>
          <w:p>
            <w:pPr>
              <w:pStyle w:val="Compact"/>
            </w:pPr>
            <w:r>
              <w:t xml:space="preserve">Risk item name</w:t>
            </w:r>
          </w:p>
        </w:tc>
      </w:tr>
      <w:tr>
        <w:tc>
          <w:tcPr/>
          <w:p>
            <w:pPr>
              <w:pStyle w:val="Compact"/>
            </w:pPr>
            <w:r>
              <w:rPr>
                <w:rStyle w:val="VerbatimChar"/>
              </w:rPr>
              <w:t xml:space="preserve">risk.status</w:t>
            </w:r>
          </w:p>
        </w:tc>
        <w:tc>
          <w:tcPr/>
          <w:p>
            <w:pPr>
              <w:pStyle w:val="Compact"/>
            </w:pPr>
            <w:r>
              <w:t xml:space="preserve">open / closed / deferred</w:t>
            </w:r>
          </w:p>
        </w:tc>
      </w:tr>
      <w:tr>
        <w:tc>
          <w:tcPr/>
          <w:p>
            <w:pPr>
              <w:pStyle w:val="Compact"/>
            </w:pPr>
            <w:r>
              <w:rPr>
                <w:rStyle w:val="VerbatimChar"/>
              </w:rPr>
              <w:t xml:space="preserve">risk.characterizations</w:t>
            </w:r>
          </w:p>
        </w:tc>
        <w:tc>
          <w:tcPr/>
          <w:p>
            <w:pPr>
              <w:pStyle w:val="Compact"/>
            </w:pPr>
            <w:r>
              <w:t xml:space="preserve">CVSS-derived severity; KSI theme</w:t>
            </w:r>
          </w:p>
        </w:tc>
      </w:tr>
      <w:tr>
        <w:tc>
          <w:tcPr/>
          <w:p>
            <w:pPr>
              <w:pStyle w:val="Compact"/>
            </w:pPr>
            <w:r>
              <w:rPr>
                <w:rStyle w:val="VerbatimChar"/>
              </w:rPr>
              <w:t xml:space="preserve">risk.mitigating-factors</w:t>
            </w:r>
          </w:p>
        </w:tc>
        <w:tc>
          <w:tcPr/>
          <w:p>
            <w:pPr>
              <w:pStyle w:val="Compact"/>
            </w:pPr>
            <w:r>
              <w:t xml:space="preserve">Compensating controls from AAN evidence</w:t>
            </w:r>
          </w:p>
        </w:tc>
      </w:tr>
      <w:tr>
        <w:tc>
          <w:tcPr/>
          <w:p>
            <w:pPr>
              <w:pStyle w:val="Compact"/>
            </w:pPr>
            <w:r>
              <w:rPr>
                <w:rStyle w:val="VerbatimChar"/>
              </w:rPr>
              <w:t xml:space="preserve">risk.remediation-tracking</w:t>
            </w:r>
          </w:p>
        </w:tc>
        <w:tc>
          <w:tcPr/>
          <w:p>
            <w:pPr>
              <w:pStyle w:val="Compac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“All 29 KSI controls satisfied — no residual risk</w:t>
      </w:r>
      <w:r>
        <w:t xml:space="preserve"> </w:t>
      </w:r>
      <w:r>
        <w:t xml:space="preserve">from the KSI evaluation.”</w:t>
      </w:r>
      <w:r>
        <w:t xml:space="preserve"> </w:t>
      </w:r>
      <w:r>
        <w:t xml:space="preserve">This does not eliminate enterprise risk; it</w:t>
      </w:r>
      <w:r>
        <w:t xml:space="preserve"> </w:t>
      </w:r>
      <w:r>
        <w:t xml:space="preserve">eliminates KSI-specific compliance risk.</w:t>
      </w:r>
    </w:p>
    <w:bookmarkEnd w:id="55"/>
    <w:bookmarkStart w:id="56" w:name="X8d10a249fbdba0d990b4e3f6ae9964964ca46d1"/>
    <w:p>
      <w:pPr>
        <w:pStyle w:val="Heading2"/>
      </w:pPr>
      <w:r>
        <w:t xml:space="preserve">8.2 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pStyle w:val="Compact"/>
        <w:numPr>
          <w:ilvl w:val="0"/>
          <w:numId w:val="1016"/>
        </w:numPr>
      </w:pPr>
      <w:r>
        <w:rPr>
          <w:b/>
          <w:bCs/>
        </w:rPr>
        <w:t xml:space="preserve">Mission risk</w:t>
      </w:r>
      <w:r>
        <w:t xml:space="preserve"> </w:t>
      </w:r>
      <w:r>
        <w:t xml:space="preserve">— impact to SSA service delivery from system failure</w:t>
      </w:r>
    </w:p>
    <w:p>
      <w:pPr>
        <w:pStyle w:val="Compact"/>
        <w:numPr>
          <w:ilvl w:val="0"/>
          <w:numId w:val="1016"/>
        </w:numPr>
      </w:pPr>
      <w:r>
        <w:rPr>
          <w:b/>
          <w:bCs/>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pStyle w:val="Compact"/>
        <w:numPr>
          <w:ilvl w:val="0"/>
          <w:numId w:val="1016"/>
        </w:numPr>
      </w:pPr>
      <w:r>
        <w:rPr>
          <w:b/>
          <w:bCs/>
        </w:rPr>
        <w:t xml:space="preserve">Physical security</w:t>
      </w:r>
      <w:r>
        <w:t xml:space="preserve"> </w:t>
      </w:r>
      <w:r>
        <w:t xml:space="preserve">— AC-18/19, PE family (not in scope for cloud boundary)</w:t>
      </w:r>
    </w:p>
    <w:p>
      <w:pPr>
        <w:pStyle w:val="Compact"/>
        <w:numPr>
          <w:ilvl w:val="0"/>
          <w:numId w:val="1016"/>
        </w:numPr>
      </w:pPr>
      <w:r>
        <w:rPr>
          <w:b/>
          <w:bCs/>
        </w:rPr>
        <w:t xml:space="preserve">Supply chain geopolitical risk</w:t>
      </w:r>
      <w:r>
        <w:t xml:space="preserve"> </w:t>
      </w:r>
      <w:r>
        <w:t xml:space="preserve">— beyond BOD 26-04 SBOM/VDR/VER scope</w:t>
      </w:r>
    </w:p>
    <w:p>
      <w:r>
        <w:pict>
          <v:rect style="width:0;height:1.5pt" o:hralign="center" o:hrstd="t" o:hr="t"/>
        </w:pict>
      </w:r>
    </w:p>
    <w:bookmarkEnd w:id="56"/>
    <w:bookmarkEnd w:id="57"/>
    <w:bookmarkStart w:id="60" w:name="authorization-package-assembly-checklist"/>
    <w:p>
      <w:pPr>
        <w:pStyle w:val="Heading1"/>
      </w:pPr>
      <w:r>
        <w:t xml:space="preserve">9. 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AO review window.</w:t>
      </w:r>
    </w:p>
    <w:bookmarkStart w:id="58" w:name="pre-decision-checklist"/>
    <w:p>
      <w:pPr>
        <w:pStyle w:val="Heading2"/>
      </w:pPr>
      <w:r>
        <w:t xml:space="preserve">9.1 8.1 Pre-Decision Checklist</w:t>
      </w:r>
    </w:p>
    <w:p>
      <w:pPr>
        <w:pStyle w:val="FirstParagraph"/>
      </w:pPr>
      <w:r>
        <w:rPr>
          <w:b/>
          <w:bCs/>
        </w:rPr>
        <w:t xml:space="preserve">OSCAL Bundle (CA-2, CA-5):</w:t>
      </w:r>
    </w:p>
    <w:p>
      <w:pPr>
        <w:pStyle w:val="Compact"/>
        <w:numPr>
          <w:ilvl w:val="0"/>
          <w:numId w:val="1017"/>
        </w:numPr>
      </w:pPr>
      <w:r>
        <w:t xml:space="preserve">Run</w:t>
      </w:r>
      <w:r>
        <w:t xml:space="preserve"> </w:t>
      </w:r>
      <w:r>
        <w:rPr>
          <w:rStyle w:val="VerbatimChar"/>
        </w:rPr>
        <w:t xml:space="preserve">uiao oscal bundle --system-name "SSA GCC Moderate"</w:t>
      </w:r>
      <w:r>
        <w:t xml:space="preserve"> </w:t>
      </w:r>
      <w:r>
        <w:t xml:space="preserve">and confirm 29/29 satisfied</w:t>
      </w:r>
    </w:p>
    <w:p>
      <w:pPr>
        <w:pStyle w:val="Compact"/>
        <w:numPr>
          <w:ilvl w:val="0"/>
          <w:numId w:val="1018"/>
        </w:numPr>
      </w:pPr>
      <w:r>
        <w:t xml:space="preserve">Confirm POA&amp;M has zero open items</w:t>
      </w:r>
    </w:p>
    <w:p>
      <w:pPr>
        <w:pStyle w:val="Compact"/>
        <w:numPr>
          <w:ilvl w:val="0"/>
          <w:numId w:val="1019"/>
        </w:numPr>
      </w:pPr>
      <w:r>
        <w:t xml:space="preserve">Archive bundle with timestamp to</w:t>
      </w:r>
      <w:r>
        <w:t xml:space="preserve"> </w:t>
      </w:r>
      <w:r>
        <w:rPr>
          <w:rStyle w:val="VerbatimChar"/>
        </w:rPr>
        <w:t xml:space="preserve">output/artifacts/ksi-bundle/history/YYYYMM/</w:t>
      </w:r>
    </w:p>
    <w:p>
      <w:pPr>
        <w:pStyle w:val="Compact"/>
        <w:numPr>
          <w:ilvl w:val="0"/>
          <w:numId w:val="1020"/>
        </w:numPr>
      </w:pPr>
      <w:r>
        <w:t xml:space="preserve">Present bundle (AP + AR + POA&amp;M) to the SSA AO for the RMF authorization decision</w:t>
      </w:r>
    </w:p>
    <w:p>
      <w:pPr>
        <w:pStyle w:val="FirstParagraph"/>
      </w:pPr>
      <w:r>
        <w:rPr>
          <w:b/>
          <w:bCs/>
        </w:rPr>
        <w:t xml:space="preserve">Evidence Books (CA-2):</w:t>
      </w:r>
    </w:p>
    <w:p>
      <w:pPr>
        <w:pStyle w:val="Compact"/>
        <w:numPr>
          <w:ilvl w:val="0"/>
          <w:numId w:val="1021"/>
        </w:numPr>
      </w:pPr>
      <w:r>
        <w:t xml:space="preserve">Confirm all 19 books compiled and available in</w:t>
      </w:r>
      <w:r>
        <w:t xml:space="preserve"> </w:t>
      </w:r>
      <w:r>
        <w:rPr>
          <w:rStyle w:val="VerbatimChar"/>
        </w:rPr>
        <w:t xml:space="preserve">inbox/Application Aware Networking/</w:t>
      </w:r>
    </w:p>
    <w:p>
      <w:pPr>
        <w:pStyle w:val="Compact"/>
        <w:numPr>
          <w:ilvl w:val="0"/>
          <w:numId w:val="1022"/>
        </w:numPr>
      </w:pPr>
      <w:r>
        <w:t xml:space="preserve">Upload updated books to agency document management system</w:t>
      </w:r>
    </w:p>
    <w:p>
      <w:pPr>
        <w:pStyle w:val="Compact"/>
        <w:numPr>
          <w:ilvl w:val="0"/>
          <w:numId w:val="1023"/>
        </w:numPr>
      </w:pPr>
      <w:r>
        <w:t xml:space="preserve">Create cross-reference index: book → NIST controls → KSI IDs</w:t>
      </w:r>
    </w:p>
    <w:p>
      <w:pPr>
        <w:pStyle w:val="FirstParagraph"/>
      </w:pPr>
      <w:r>
        <w:rPr>
          <w:b/>
          <w:bCs/>
        </w:rPr>
        <w:t xml:space="preserve">BOD 26-04 (SR-11):</w:t>
      </w:r>
    </w:p>
    <w:p>
      <w:pPr>
        <w:pStyle w:val="Compact"/>
        <w:numPr>
          <w:ilvl w:val="0"/>
          <w:numId w:val="1024"/>
        </w:numPr>
      </w:pPr>
      <w:r>
        <w:t xml:space="preserve">Run SBOM pipeline: Syft scan → CycloneDX 1.6 JSON</w:t>
      </w:r>
    </w:p>
    <w:p>
      <w:pPr>
        <w:pStyle w:val="Compact"/>
        <w:numPr>
          <w:ilvl w:val="0"/>
          <w:numId w:val="1025"/>
        </w:numPr>
      </w:pPr>
      <w:r>
        <w:t xml:space="preserve">Run Grype: vulnerability scan → VDR artifact</w:t>
      </w:r>
    </w:p>
    <w:p>
      <w:pPr>
        <w:pStyle w:val="Compact"/>
        <w:numPr>
          <w:ilvl w:val="0"/>
          <w:numId w:val="1026"/>
        </w:numPr>
      </w:pPr>
      <w:r>
        <w:t xml:space="preserve">Draft VEX statements for all CVEs CVSS ≥ 7.0</w:t>
      </w:r>
    </w:p>
    <w:p>
      <w:pPr>
        <w:pStyle w:val="Compact"/>
        <w:numPr>
          <w:ilvl w:val="0"/>
          <w:numId w:val="1027"/>
        </w:numPr>
      </w:pPr>
      <w:r>
        <w:t xml:space="preserve">Submit VDR/VER to CISA by</w:t>
      </w:r>
      <w:r>
        <w:t xml:space="preserve"> </w:t>
      </w:r>
      <w:r>
        <w:rPr>
          <w:b/>
          <w:bCs/>
        </w:rPr>
        <w:t xml:space="preserve">December 7, 2026</w:t>
      </w:r>
    </w:p>
    <w:p>
      <w:pPr>
        <w:pStyle w:val="Compact"/>
        <w:numPr>
          <w:ilvl w:val="0"/>
          <w:numId w:val="1028"/>
        </w:numPr>
      </w:pPr>
      <w:r>
        <w:t xml:space="preserve">Retain submission confirmation as</w:t>
      </w:r>
      <w:r>
        <w:t xml:space="preserve"> </w:t>
      </w:r>
      <w:r>
        <w:rPr>
          <w:rStyle w:val="VerbatimChar"/>
        </w:rPr>
        <w:t xml:space="preserve">vdr-submission-record.json</w:t>
      </w:r>
    </w:p>
    <w:p>
      <w:pPr>
        <w:pStyle w:val="FirstParagraph"/>
      </w:pPr>
      <w:r>
        <w:rPr>
          <w:b/>
          <w:bCs/>
        </w:rPr>
        <w:t xml:space="preserve">Training (AT-4, KSI-022):</w:t>
      </w:r>
    </w:p>
    <w:p>
      <w:pPr>
        <w:pStyle w:val="Compact"/>
        <w:numPr>
          <w:ilvl w:val="0"/>
          <w:numId w:val="1029"/>
        </w:numPr>
      </w:pPr>
      <w:r>
        <w:t xml:space="preserve">Export</w:t>
      </w:r>
      <w:r>
        <w:t xml:space="preserve"> </w:t>
      </w:r>
      <w:r>
        <w:rPr>
          <w:rStyle w:val="VerbatimChar"/>
        </w:rPr>
        <w:t xml:space="preserve">governance.training-effectiveness-record</w:t>
      </w:r>
      <w:r>
        <w:t xml:space="preserve"> </w:t>
      </w:r>
      <w:r>
        <w:t xml:space="preserve">from Viva Learning</w:t>
      </w:r>
    </w:p>
    <w:p>
      <w:pPr>
        <w:pStyle w:val="Compact"/>
        <w:numPr>
          <w:ilvl w:val="0"/>
          <w:numId w:val="1030"/>
        </w:numPr>
      </w:pPr>
      <w:r>
        <w:t xml:space="preserve">Confirm</w:t>
      </w:r>
      <w:r>
        <w:t xml:space="preserve"> </w:t>
      </w:r>
      <w:r>
        <w:rPr>
          <w:rStyle w:val="VerbatimChar"/>
        </w:rPr>
        <w:t xml:space="preserve">overall_completion_pct &gt;= 95.0</w:t>
      </w:r>
    </w:p>
    <w:p>
      <w:pPr>
        <w:pStyle w:val="Compact"/>
        <w:numPr>
          <w:ilvl w:val="0"/>
          <w:numId w:val="1031"/>
        </w:numPr>
      </w:pPr>
      <w:r>
        <w:t xml:space="preserve">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pStyle w:val="Compact"/>
        <w:numPr>
          <w:ilvl w:val="0"/>
          <w:numId w:val="1032"/>
        </w:numPr>
      </w:pPr>
      <w:r>
        <w:t xml:space="preserve">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
          <w:bCs/>
        </w:rPr>
        <w:t xml:space="preserve">ConMon Program (CA-7):</w:t>
      </w:r>
    </w:p>
    <w:p>
      <w:pPr>
        <w:pStyle w:val="Compact"/>
        <w:numPr>
          <w:ilvl w:val="0"/>
          <w:numId w:val="1033"/>
        </w:numPr>
      </w:pPr>
      <w:r>
        <w:t xml:space="preserve">Sentinel ConMon dashboard active and accessible</w:t>
      </w:r>
    </w:p>
    <w:p>
      <w:pPr>
        <w:pStyle w:val="Compact"/>
        <w:numPr>
          <w:ilvl w:val="0"/>
          <w:numId w:val="1034"/>
        </w:numPr>
      </w:pPr>
      <w:r>
        <w:t xml:space="preserve">Monthly AR automation configured (Azure Logic App or scheduled task)</w:t>
      </w:r>
    </w:p>
    <w:p>
      <w:pPr>
        <w:pStyle w:val="Compact"/>
        <w:numPr>
          <w:ilvl w:val="0"/>
          <w:numId w:val="1035"/>
        </w:numPr>
      </w:pPr>
      <w:r>
        <w:t xml:space="preserve">Quarterly KSI review cadence documented in PM-14 T&amp;T&amp;M plan</w:t>
      </w:r>
    </w:p>
    <w:p>
      <w:pPr>
        <w:pStyle w:val="Compact"/>
        <w:numPr>
          <w:ilvl w:val="0"/>
          <w:numId w:val="1036"/>
        </w:numPr>
      </w:pPr>
      <w:r>
        <w:t xml:space="preserve">ISSO designated and documented in PM-2 leadership RACI</w:t>
      </w:r>
    </w:p>
    <w:bookmarkEnd w:id="58"/>
    <w:bookmarkStart w:id="59" w:name="authorization-decision-package-procedure"/>
    <w:p>
      <w:pPr>
        <w:pStyle w:val="Heading2"/>
      </w:pPr>
      <w:r>
        <w:t xml:space="preserve">9.2 8.2 Authorization-Decision Package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the SSA AO review</w:t>
      </w:r>
      <w:r>
        <w:br/>
      </w:r>
      <w:r>
        <w:rPr>
          <w:rStyle w:val="FunctionTok"/>
        </w:rPr>
        <w:t xml:space="preserve">zip</w:t>
      </w:r>
      <w:r>
        <w:rPr>
          <w:rStyle w:val="NormalTok"/>
        </w:rPr>
        <w:t xml:space="preserve"> </w:t>
      </w:r>
      <w:r>
        <w:rPr>
          <w:rStyle w:val="AttributeTok"/>
        </w:rPr>
        <w:t xml:space="preserve">-r</w:t>
      </w:r>
      <w:r>
        <w:rPr>
          <w:rStyle w:val="NormalTok"/>
        </w:rPr>
        <w:t xml:space="preserve"> ssa-gcc-moderate-authpkg-</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59"/>
    <w:bookmarkEnd w:id="60"/>
    <w:bookmarkStart w:id="61" w:name="controls-closed-by-this-document"/>
    <w:p>
      <w:pPr>
        <w:pStyle w:val="Heading1"/>
      </w:pPr>
      <w:r>
        <w:t xml:space="preserve">10. 9 Controls Closed by This Document</w:t>
      </w:r>
    </w:p>
    <w:p>
      <w:pPr>
        <w:pStyle w:val="TableCaption"/>
      </w:pPr>
      <w:r>
        <w:t xml:space="preserve">Controls Closed by Part 19</w:t>
      </w:r>
    </w:p>
    <w:tbl>
      <w:tblPr>
        <w:tblStyle w:val="Table"/>
        <w:tblW w:type="pct" w:w="5000"/>
        <w:tblLayout w:type="fixed"/>
        <w:tblLook w:firstRow="1" w:lastRow="0" w:firstColumn="0" w:lastColumn="0" w:noHBand="0" w:noVBand="0" w:val="0020"/>
        <w:tblCaption w:val="Controls Closed by Part 19"/>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CA-2</w:t>
            </w:r>
          </w:p>
        </w:tc>
        <w:tc>
          <w:tcPr/>
          <w:p>
            <w:pPr>
              <w:pStyle w:val="Compact"/>
            </w:pPr>
            <w:r>
              <w:t xml:space="preserve">Control Assessments</w:t>
            </w:r>
          </w:p>
        </w:tc>
        <w:tc>
          <w:tcPr/>
          <w:p>
            <w:pPr>
              <w:pStyle w:val="Compac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pPr>
            <w:r>
              <w:rPr>
                <w:b/>
                <w:bCs/>
              </w:rPr>
              <w:t xml:space="preserve">CA-5</w:t>
            </w:r>
          </w:p>
        </w:tc>
        <w:tc>
          <w:tcPr/>
          <w:p>
            <w:pPr>
              <w:pStyle w:val="Compact"/>
            </w:pPr>
            <w:r>
              <w:t xml:space="preserve">Plan of Action and Milestones</w:t>
            </w:r>
          </w:p>
        </w:tc>
        <w:tc>
          <w:tcPr/>
          <w:p>
            <w:pPr>
              <w:pStyle w:val="Compac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pPr>
            <w:r>
              <w:rPr>
                <w:b/>
                <w:bCs/>
              </w:rPr>
              <w:t xml:space="preserve">CA-6</w:t>
            </w:r>
          </w:p>
        </w:tc>
        <w:tc>
          <w:tcPr/>
          <w:p>
            <w:pPr>
              <w:pStyle w:val="Compact"/>
            </w:pPr>
            <w:r>
              <w:t xml:space="preserve">Authorization</w:t>
            </w:r>
          </w:p>
        </w:tc>
        <w:tc>
          <w:tcPr/>
          <w:p>
            <w:pPr>
              <w:pStyle w:val="Compact"/>
            </w:pPr>
            <w:r>
              <w:t xml:space="preserve">Agency ATO package structure documented in §4; assembly checklist in §8; AO review roles in §6.4; leveraged FedRAMP authorizations documented as inherited controls in the SSP</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pPr>
            <w:r>
              <w:rPr>
                <w:b/>
                <w:bCs/>
              </w:rPr>
              <w:t xml:space="preserve">CA-7(1)</w:t>
            </w:r>
          </w:p>
        </w:tc>
        <w:tc>
          <w:tcPr/>
          <w:p>
            <w:pPr>
              <w:pStyle w:val="Compact"/>
            </w:pPr>
            <w:r>
              <w:t xml:space="preserve">Independent Assessment</w:t>
            </w:r>
          </w:p>
        </w:tc>
        <w:tc>
          <w:tcPr/>
          <w:p>
            <w:pPr>
              <w:pStyle w:val="Compact"/>
            </w:pPr>
            <w:r>
              <w:t xml:space="preserve">Independent security control assessment (SCA) of the OSCAL AR — SSA may engage a FedRAMP-recognized 3PAO as its assessor — constitutes the independent assessment; ScuBA assessment provides continuous independent M365 validation</w:t>
            </w:r>
          </w:p>
        </w:tc>
      </w:tr>
      <w:tr>
        <w:tc>
          <w:tcPr/>
          <w:p>
            <w:pPr>
              <w:pStyle w:val="Compact"/>
            </w:pPr>
            <w:r>
              <w:rPr>
                <w:b/>
                <w:bCs/>
              </w:rPr>
              <w:t xml:space="preserve">CA-7(3)</w:t>
            </w:r>
          </w:p>
        </w:tc>
        <w:tc>
          <w:tcPr/>
          <w:p>
            <w:pPr>
              <w:pStyle w:val="Compact"/>
            </w:pPr>
            <w:r>
              <w:t xml:space="preserve">Trend Analysis</w:t>
            </w:r>
          </w:p>
        </w:tc>
        <w:tc>
          <w:tcPr/>
          <w:p>
            <w:pPr>
              <w:pStyle w:val="Compac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pPr>
            <w:r>
              <w:rPr>
                <w:b/>
                <w:bCs/>
              </w:rPr>
              <w:t xml:space="preserve">RA-3</w:t>
            </w:r>
          </w:p>
        </w:tc>
        <w:tc>
          <w:tcPr/>
          <w:p>
            <w:pPr>
              <w:pStyle w:val="Compact"/>
            </w:pPr>
            <w:r>
              <w:t xml:space="preserve">Risk Assessment</w:t>
            </w:r>
          </w:p>
        </w:tc>
        <w:tc>
          <w:tcPr/>
          <w:p>
            <w:pPr>
              <w:pStyle w:val="Compact"/>
            </w:pPr>
            <w:r>
              <w:t xml:space="preserve">OSCAL AR risk entries feed PM-9 risk register; residual risk taxonomy in §7.2</w:t>
            </w:r>
          </w:p>
        </w:tc>
      </w:tr>
      <w:tr>
        <w:tc>
          <w:tcPr/>
          <w:p>
            <w:pPr>
              <w:pStyle w:val="Compact"/>
            </w:pPr>
            <w:r>
              <w:rPr>
                <w:b/>
                <w:bCs/>
              </w:rPr>
              <w:t xml:space="preserve">SA-15</w:t>
            </w:r>
          </w:p>
        </w:tc>
        <w:tc>
          <w:tcPr/>
          <w:p>
            <w:pPr>
              <w:pStyle w:val="Compact"/>
            </w:pPr>
            <w:r>
              <w:t xml:space="preserve">Development Process Standards</w:t>
            </w:r>
          </w:p>
        </w:tc>
        <w:tc>
          <w:tcPr/>
          <w:p>
            <w:pPr>
              <w:pStyle w:val="Compac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1"/>
    <w:bookmarkStart w:id="62" w:name="appendix-a-oscal-ar-findings-summary"/>
    <w:p>
      <w:pPr>
        <w:pStyle w:val="Heading1"/>
      </w:pPr>
      <w:r>
        <w:t xml:space="preserve">11. 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independent SCA.</w:t>
      </w:r>
    </w:p>
    <w:p>
      <w:pPr>
        <w:pStyle w:val="TableCaption"/>
      </w:pPr>
      <w:r>
        <w:t xml:space="preserve">KSI Findings Summary — July 4, 2026 Bundle Run</w:t>
      </w:r>
    </w:p>
    <w:tbl>
      <w:tblPr>
        <w:tblStyle w:val="Table"/>
        <w:tblW w:type="auto" w:w="0"/>
        <w:tblLook w:firstRow="1" w:lastRow="0" w:firstColumn="0" w:lastColumn="0" w:noHBand="0" w:noVBand="0" w:val="0020"/>
        <w:tblCaption w:val="KSI Findings Summary — July 4, 2026 Bundle Run"/>
      </w:tblPr>
      <w:tblGrid>
        <w:gridCol w:w="1980"/>
        <w:gridCol w:w="1980"/>
        <w:gridCol w:w="1980"/>
        <w:gridCol w:w="1980"/>
      </w:tblGrid>
      <w:tr>
        <w:trPr>
          <w:tblHeader w:val="on"/>
        </w:trPr>
        <w:tc>
          <w:tcPr/>
          <w:p>
            <w:pPr>
              <w:pStyle w:val="Compact"/>
            </w:pPr>
            <w:r>
              <w:t xml:space="preserve">KSI ID</w:t>
            </w:r>
          </w:p>
        </w:tc>
        <w:tc>
          <w:tcPr/>
          <w:p>
            <w:pPr>
              <w:pStyle w:val="Compact"/>
            </w:pPr>
            <w:r>
              <w:t xml:space="preserve">CR26 Control</w:t>
            </w:r>
          </w:p>
        </w:tc>
        <w:tc>
          <w:tcPr/>
          <w:p>
            <w:pPr>
              <w:pStyle w:val="Compact"/>
            </w:pPr>
            <w:r>
              <w:t xml:space="preserve">Evaluation Path</w:t>
            </w:r>
          </w:p>
        </w:tc>
        <w:tc>
          <w:tcPr/>
          <w:p>
            <w:pPr>
              <w:pStyle w:val="Compact"/>
            </w:pPr>
            <w:r>
              <w:t xml:space="preserve">Verdict</w:t>
            </w:r>
          </w:p>
        </w:tc>
      </w:tr>
      <w:tr>
        <w:tc>
          <w:tcPr/>
          <w:p>
            <w:pPr>
              <w:pStyle w:val="Compact"/>
            </w:pPr>
            <w:r>
              <w:t xml:space="preserve">KSI-001</w:t>
            </w:r>
          </w:p>
        </w:tc>
        <w:tc>
          <w:tcPr/>
          <w:p>
            <w:pPr>
              <w:pStyle w:val="Compact"/>
            </w:pPr>
            <w:r>
              <w:t xml:space="preserve">KSI-IAM-MFA</w:t>
            </w:r>
          </w:p>
        </w:tc>
        <w:tc>
          <w:tcPr/>
          <w:p>
            <w:pPr>
              <w:pStyle w:val="Compact"/>
            </w:pPr>
            <w:r>
              <w:t xml:space="preserve">ScuBA (M365-ACCT-001)</w:t>
            </w:r>
          </w:p>
        </w:tc>
        <w:tc>
          <w:tcPr/>
          <w:p>
            <w:pPr>
              <w:pStyle w:val="Compact"/>
            </w:pPr>
            <w:r>
              <w:t xml:space="preserve">satisfied</w:t>
            </w:r>
          </w:p>
        </w:tc>
      </w:tr>
      <w:tr>
        <w:tc>
          <w:tcPr/>
          <w:p>
            <w:pPr>
              <w:pStyle w:val="Compact"/>
            </w:pPr>
            <w:r>
              <w:t xml:space="preserve">KSI-002</w:t>
            </w:r>
          </w:p>
        </w:tc>
        <w:tc>
          <w:tcPr/>
          <w:p>
            <w:pPr>
              <w:pStyle w:val="Compact"/>
            </w:pPr>
            <w:r>
              <w:t xml:space="preserve">KSI-IAM-LAB</w:t>
            </w:r>
          </w:p>
        </w:tc>
        <w:tc>
          <w:tcPr/>
          <w:p>
            <w:pPr>
              <w:pStyle w:val="Compact"/>
            </w:pPr>
            <w:r>
              <w:t xml:space="preserve">ScuBA (M365-AUTH-002)</w:t>
            </w:r>
          </w:p>
        </w:tc>
        <w:tc>
          <w:tcPr/>
          <w:p>
            <w:pPr>
              <w:pStyle w:val="Compact"/>
            </w:pPr>
            <w:r>
              <w:t xml:space="preserve">satisfied</w:t>
            </w:r>
          </w:p>
        </w:tc>
      </w:tr>
      <w:tr>
        <w:tc>
          <w:tcPr/>
          <w:p>
            <w:pPr>
              <w:pStyle w:val="Compact"/>
            </w:pPr>
            <w:r>
              <w:t xml:space="preserve">KSI-003</w:t>
            </w:r>
          </w:p>
        </w:tc>
        <w:tc>
          <w:tcPr/>
          <w:p>
            <w:pPr>
              <w:pStyle w:val="Compact"/>
            </w:pPr>
            <w:r>
              <w:t xml:space="preserve">KSI-IAM-PAC</w:t>
            </w:r>
          </w:p>
        </w:tc>
        <w:tc>
          <w:tcPr/>
          <w:p>
            <w:pPr>
              <w:pStyle w:val="Compact"/>
            </w:pPr>
            <w:r>
              <w:t xml:space="preserve">ScuBA (M365-PRIV-003)</w:t>
            </w:r>
          </w:p>
        </w:tc>
        <w:tc>
          <w:tcPr/>
          <w:p>
            <w:pPr>
              <w:pStyle w:val="Compact"/>
            </w:pPr>
            <w:r>
              <w:t xml:space="preserve">satisfied</w:t>
            </w:r>
          </w:p>
        </w:tc>
      </w:tr>
      <w:tr>
        <w:tc>
          <w:tcPr/>
          <w:p>
            <w:pPr>
              <w:pStyle w:val="Compact"/>
            </w:pPr>
            <w:r>
              <w:t xml:space="preserve">KSI-004</w:t>
            </w:r>
          </w:p>
        </w:tc>
        <w:tc>
          <w:tcPr/>
          <w:p>
            <w:pPr>
              <w:pStyle w:val="Compact"/>
            </w:pPr>
            <w:r>
              <w:t xml:space="preserve">KSI-SVC-EFR</w:t>
            </w:r>
          </w:p>
        </w:tc>
        <w:tc>
          <w:tcPr/>
          <w:p>
            <w:pPr>
              <w:pStyle w:val="Compact"/>
            </w:pPr>
            <w:r>
              <w:t xml:space="preserve">ScuBA (M365-EXO-004)</w:t>
            </w:r>
          </w:p>
        </w:tc>
        <w:tc>
          <w:tcPr/>
          <w:p>
            <w:pPr>
              <w:pStyle w:val="Compact"/>
            </w:pPr>
            <w:r>
              <w:t xml:space="preserve">satisfied</w:t>
            </w:r>
          </w:p>
        </w:tc>
      </w:tr>
      <w:tr>
        <w:tc>
          <w:tcPr/>
          <w:p>
            <w:pPr>
              <w:pStyle w:val="Compact"/>
            </w:pPr>
            <w:r>
              <w:t xml:space="preserve">KSI-005</w:t>
            </w:r>
          </w:p>
        </w:tc>
        <w:tc>
          <w:tcPr/>
          <w:p>
            <w:pPr>
              <w:pStyle w:val="Compact"/>
            </w:pPr>
            <w:r>
              <w:t xml:space="preserve">KSI-MLA-MAU</w:t>
            </w:r>
          </w:p>
        </w:tc>
        <w:tc>
          <w:tcPr/>
          <w:p>
            <w:pPr>
              <w:pStyle w:val="Compact"/>
            </w:pPr>
            <w:r>
              <w:t xml:space="preserve">ScuBA (M365-EXO-005)</w:t>
            </w:r>
          </w:p>
        </w:tc>
        <w:tc>
          <w:tcPr/>
          <w:p>
            <w:pPr>
              <w:pStyle w:val="Compact"/>
            </w:pPr>
            <w:r>
              <w:t xml:space="preserve">satisfied</w:t>
            </w:r>
          </w:p>
        </w:tc>
      </w:tr>
      <w:tr>
        <w:tc>
          <w:tcPr/>
          <w:p>
            <w:pPr>
              <w:pStyle w:val="Compact"/>
            </w:pPr>
            <w:r>
              <w:t xml:space="preserve">KSI-006</w:t>
            </w:r>
          </w:p>
        </w:tc>
        <w:tc>
          <w:tcPr/>
          <w:p>
            <w:pPr>
              <w:pStyle w:val="Compact"/>
            </w:pPr>
            <w:r>
              <w:t xml:space="preserve">KSI-MLA-ESH</w:t>
            </w:r>
          </w:p>
        </w:tc>
        <w:tc>
          <w:tcPr/>
          <w:p>
            <w:pPr>
              <w:pStyle w:val="Compact"/>
            </w:pPr>
            <w:r>
              <w:t xml:space="preserve">ScuBA (M365-SPO-006)</w:t>
            </w:r>
          </w:p>
        </w:tc>
        <w:tc>
          <w:tcPr/>
          <w:p>
            <w:pPr>
              <w:pStyle w:val="Compact"/>
            </w:pPr>
            <w:r>
              <w:t xml:space="preserve">satisfied</w:t>
            </w:r>
          </w:p>
        </w:tc>
      </w:tr>
      <w:tr>
        <w:tc>
          <w:tcPr/>
          <w:p>
            <w:pPr>
              <w:pStyle w:val="Compact"/>
            </w:pPr>
            <w:r>
              <w:t xml:space="preserve">KSI-007</w:t>
            </w:r>
          </w:p>
        </w:tc>
        <w:tc>
          <w:tcPr/>
          <w:p>
            <w:pPr>
              <w:pStyle w:val="Compact"/>
            </w:pPr>
            <w:r>
              <w:t xml:space="preserve">KSI-SVC-SLP</w:t>
            </w:r>
          </w:p>
        </w:tc>
        <w:tc>
          <w:tcPr/>
          <w:p>
            <w:pPr>
              <w:pStyle w:val="Compact"/>
            </w:pPr>
            <w:r>
              <w:t xml:space="preserve">ScuBA (M365-ATP-007)</w:t>
            </w:r>
          </w:p>
        </w:tc>
        <w:tc>
          <w:tcPr/>
          <w:p>
            <w:pPr>
              <w:pStyle w:val="Compact"/>
            </w:pPr>
            <w:r>
              <w:t xml:space="preserve">satisfied</w:t>
            </w:r>
          </w:p>
        </w:tc>
      </w:tr>
      <w:tr>
        <w:tc>
          <w:tcPr/>
          <w:p>
            <w:pPr>
              <w:pStyle w:val="Compact"/>
            </w:pPr>
            <w:r>
              <w:t xml:space="preserve">KSI-008</w:t>
            </w:r>
          </w:p>
        </w:tc>
        <w:tc>
          <w:tcPr/>
          <w:p>
            <w:pPr>
              <w:pStyle w:val="Compact"/>
            </w:pPr>
            <w:r>
              <w:t xml:space="preserve">KSI-SVC-VCM</w:t>
            </w:r>
          </w:p>
        </w:tc>
        <w:tc>
          <w:tcPr/>
          <w:p>
            <w:pPr>
              <w:pStyle w:val="Compact"/>
            </w:pPr>
            <w:r>
              <w:t xml:space="preserve">ScuBA (M365-ATP-008)</w:t>
            </w:r>
          </w:p>
        </w:tc>
        <w:tc>
          <w:tcPr/>
          <w:p>
            <w:pPr>
              <w:pStyle w:val="Compact"/>
            </w:pPr>
            <w:r>
              <w:t xml:space="preserve">satisfied</w:t>
            </w:r>
          </w:p>
        </w:tc>
      </w:tr>
      <w:tr>
        <w:tc>
          <w:tcPr/>
          <w:p>
            <w:pPr>
              <w:pStyle w:val="Compact"/>
            </w:pPr>
            <w:r>
              <w:t xml:space="preserve">KSI-009</w:t>
            </w:r>
          </w:p>
        </w:tc>
        <w:tc>
          <w:tcPr/>
          <w:p>
            <w:pPr>
              <w:pStyle w:val="Compact"/>
            </w:pPr>
            <w:r>
              <w:t xml:space="preserve">KSI-IAM-CAP</w:t>
            </w:r>
          </w:p>
        </w:tc>
        <w:tc>
          <w:tcPr/>
          <w:p>
            <w:pPr>
              <w:pStyle w:val="Compact"/>
            </w:pPr>
            <w:r>
              <w:t xml:space="preserve">ScuBA (M365-CA-009)</w:t>
            </w:r>
          </w:p>
        </w:tc>
        <w:tc>
          <w:tcPr/>
          <w:p>
            <w:pPr>
              <w:pStyle w:val="Compact"/>
            </w:pPr>
            <w:r>
              <w:t xml:space="preserve">satisfied</w:t>
            </w:r>
          </w:p>
        </w:tc>
      </w:tr>
      <w:tr>
        <w:tc>
          <w:tcPr/>
          <w:p>
            <w:pPr>
              <w:pStyle w:val="Compact"/>
            </w:pPr>
            <w:r>
              <w:t xml:space="preserve">KSI-010</w:t>
            </w:r>
          </w:p>
        </w:tc>
        <w:tc>
          <w:tcPr/>
          <w:p>
            <w:pPr>
              <w:pStyle w:val="Compact"/>
            </w:pPr>
            <w:r>
              <w:t xml:space="preserve">KSI-MLA-DLP</w:t>
            </w:r>
          </w:p>
        </w:tc>
        <w:tc>
          <w:tcPr/>
          <w:p>
            <w:pPr>
              <w:pStyle w:val="Compact"/>
            </w:pPr>
            <w:r>
              <w:t xml:space="preserve">ScuBA (M365-DLP-010)</w:t>
            </w:r>
          </w:p>
        </w:tc>
        <w:tc>
          <w:tcPr/>
          <w:p>
            <w:pPr>
              <w:pStyle w:val="Compact"/>
            </w:pPr>
            <w:r>
              <w:t xml:space="preserve">satisfied</w:t>
            </w:r>
          </w:p>
        </w:tc>
      </w:tr>
      <w:tr>
        <w:tc>
          <w:tcPr/>
          <w:p>
            <w:pPr>
              <w:pStyle w:val="Compact"/>
            </w:pPr>
            <w:r>
              <w:t xml:space="preserve">KSI-011</w:t>
            </w:r>
          </w:p>
        </w:tc>
        <w:tc>
          <w:tcPr/>
          <w:p>
            <w:pPr>
              <w:pStyle w:val="Compact"/>
            </w:pPr>
            <w:r>
              <w:t xml:space="preserve">KSI-CMT-LMC</w:t>
            </w:r>
          </w:p>
        </w:tc>
        <w:tc>
          <w:tcPr/>
          <w:p>
            <w:pPr>
              <w:pStyle w:val="Compact"/>
            </w:pPr>
            <w:r>
              <w:t xml:space="preserve">slot-06 high (Part 15/16)</w:t>
            </w:r>
          </w:p>
        </w:tc>
        <w:tc>
          <w:tcPr/>
          <w:p>
            <w:pPr>
              <w:pStyle w:val="Compact"/>
            </w:pPr>
            <w:r>
              <w:t xml:space="preserve">satisfied</w:t>
            </w:r>
          </w:p>
        </w:tc>
      </w:tr>
      <w:tr>
        <w:tc>
          <w:tcPr/>
          <w:p>
            <w:pPr>
              <w:pStyle w:val="Compact"/>
            </w:pPr>
            <w:r>
              <w:t xml:space="preserve">KSI-012</w:t>
            </w:r>
          </w:p>
        </w:tc>
        <w:tc>
          <w:tcPr/>
          <w:p>
            <w:pPr>
              <w:pStyle w:val="Compact"/>
            </w:pPr>
            <w:r>
              <w:t xml:space="preserve">KSI-CMT-RMV</w:t>
            </w:r>
          </w:p>
        </w:tc>
        <w:tc>
          <w:tcPr/>
          <w:p>
            <w:pPr>
              <w:pStyle w:val="Compact"/>
            </w:pPr>
            <w:r>
              <w:t xml:space="preserve">slot-06 high</w:t>
            </w:r>
          </w:p>
        </w:tc>
        <w:tc>
          <w:tcPr/>
          <w:p>
            <w:pPr>
              <w:pStyle w:val="Compact"/>
            </w:pPr>
            <w:r>
              <w:t xml:space="preserve">satisfied</w:t>
            </w:r>
          </w:p>
        </w:tc>
      </w:tr>
      <w:tr>
        <w:tc>
          <w:tcPr/>
          <w:p>
            <w:pPr>
              <w:pStyle w:val="Compact"/>
            </w:pPr>
            <w:r>
              <w:t xml:space="preserve">KSI-013</w:t>
            </w:r>
          </w:p>
        </w:tc>
        <w:tc>
          <w:tcPr/>
          <w:p>
            <w:pPr>
              <w:pStyle w:val="Compact"/>
            </w:pPr>
            <w:r>
              <w:t xml:space="preserve">KSI-CMT-RVP</w:t>
            </w:r>
          </w:p>
        </w:tc>
        <w:tc>
          <w:tcPr/>
          <w:p>
            <w:pPr>
              <w:pStyle w:val="Compact"/>
            </w:pPr>
            <w:r>
              <w:t xml:space="preserve">slot-06 high</w:t>
            </w:r>
          </w:p>
        </w:tc>
        <w:tc>
          <w:tcPr/>
          <w:p>
            <w:pPr>
              <w:pStyle w:val="Compact"/>
            </w:pPr>
            <w:r>
              <w:t xml:space="preserve">satisfied</w:t>
            </w:r>
          </w:p>
        </w:tc>
      </w:tr>
      <w:tr>
        <w:tc>
          <w:tcPr/>
          <w:p>
            <w:pPr>
              <w:pStyle w:val="Compact"/>
            </w:pPr>
            <w:r>
              <w:t xml:space="preserve">KSI-014</w:t>
            </w:r>
          </w:p>
        </w:tc>
        <w:tc>
          <w:tcPr/>
          <w:p>
            <w:pPr>
              <w:pStyle w:val="Compact"/>
            </w:pPr>
            <w:r>
              <w:t xml:space="preserve">KSI-CMT-VTD</w:t>
            </w:r>
          </w:p>
        </w:tc>
        <w:tc>
          <w:tcPr/>
          <w:p>
            <w:pPr>
              <w:pStyle w:val="Compact"/>
            </w:pPr>
            <w:r>
              <w:t xml:space="preserve">slot-06 high</w:t>
            </w:r>
          </w:p>
        </w:tc>
        <w:tc>
          <w:tcPr/>
          <w:p>
            <w:pPr>
              <w:pStyle w:val="Compact"/>
            </w:pPr>
            <w:r>
              <w:t xml:space="preserve">satisfied</w:t>
            </w:r>
          </w:p>
        </w:tc>
      </w:tr>
      <w:tr>
        <w:tc>
          <w:tcPr/>
          <w:p>
            <w:pPr>
              <w:pStyle w:val="Compact"/>
            </w:pPr>
            <w:r>
              <w:t xml:space="preserve">KSI-015</w:t>
            </w:r>
          </w:p>
        </w:tc>
        <w:tc>
          <w:tcPr/>
          <w:p>
            <w:pPr>
              <w:pStyle w:val="Compact"/>
            </w:pPr>
            <w:r>
              <w:t xml:space="preserve">KSI-SCR-MIT</w:t>
            </w:r>
          </w:p>
        </w:tc>
        <w:tc>
          <w:tcPr/>
          <w:p>
            <w:pPr>
              <w:pStyle w:val="Compact"/>
            </w:pPr>
            <w:r>
              <w:t xml:space="preserve">slot-06 high</w:t>
            </w:r>
          </w:p>
        </w:tc>
        <w:tc>
          <w:tcPr/>
          <w:p>
            <w:pPr>
              <w:pStyle w:val="Compact"/>
            </w:pPr>
            <w:r>
              <w:t xml:space="preserve">satisfied</w:t>
            </w:r>
          </w:p>
        </w:tc>
      </w:tr>
      <w:tr>
        <w:tc>
          <w:tcPr/>
          <w:p>
            <w:pPr>
              <w:pStyle w:val="Compact"/>
            </w:pPr>
            <w:r>
              <w:t xml:space="preserve">KSI-016</w:t>
            </w:r>
          </w:p>
        </w:tc>
        <w:tc>
          <w:tcPr/>
          <w:p>
            <w:pPr>
              <w:pStyle w:val="Compact"/>
            </w:pPr>
            <w:r>
              <w:t xml:space="preserve">KSI-SCR-MON</w:t>
            </w:r>
          </w:p>
        </w:tc>
        <w:tc>
          <w:tcPr/>
          <w:p>
            <w:pPr>
              <w:pStyle w:val="Compact"/>
            </w:pPr>
            <w:r>
              <w:t xml:space="preserve">slot-06 high</w:t>
            </w:r>
          </w:p>
        </w:tc>
        <w:tc>
          <w:tcPr/>
          <w:p>
            <w:pPr>
              <w:pStyle w:val="Compact"/>
            </w:pPr>
            <w:r>
              <w:t xml:space="preserve">satisfied</w:t>
            </w:r>
          </w:p>
        </w:tc>
      </w:tr>
      <w:tr>
        <w:tc>
          <w:tcPr/>
          <w:p>
            <w:pPr>
              <w:pStyle w:val="Compact"/>
            </w:pPr>
            <w:r>
              <w:t xml:space="preserve">KSI-017</w:t>
            </w:r>
          </w:p>
        </w:tc>
        <w:tc>
          <w:tcPr/>
          <w:p>
            <w:pPr>
              <w:pStyle w:val="Compact"/>
            </w:pPr>
            <w:r>
              <w:t xml:space="preserve">KSI-PIY-GIV</w:t>
            </w:r>
          </w:p>
        </w:tc>
        <w:tc>
          <w:tcPr/>
          <w:p>
            <w:pPr>
              <w:pStyle w:val="Compact"/>
            </w:pPr>
            <w:r>
              <w:t xml:space="preserve">slot-05 high</w:t>
            </w:r>
          </w:p>
        </w:tc>
        <w:tc>
          <w:tcPr/>
          <w:p>
            <w:pPr>
              <w:pStyle w:val="Compact"/>
            </w:pPr>
            <w:r>
              <w:t xml:space="preserve">satisfied</w:t>
            </w:r>
          </w:p>
        </w:tc>
      </w:tr>
      <w:tr>
        <w:tc>
          <w:tcPr/>
          <w:p>
            <w:pPr>
              <w:pStyle w:val="Compact"/>
            </w:pPr>
            <w:r>
              <w:t xml:space="preserve">KSI-018</w:t>
            </w:r>
          </w:p>
        </w:tc>
        <w:tc>
          <w:tcPr/>
          <w:p>
            <w:pPr>
              <w:pStyle w:val="Compact"/>
            </w:pPr>
            <w:r>
              <w:t xml:space="preserve">KSI-PIY-RES</w:t>
            </w:r>
          </w:p>
        </w:tc>
        <w:tc>
          <w:tcPr/>
          <w:p>
            <w:pPr>
              <w:pStyle w:val="Compact"/>
            </w:pPr>
            <w:r>
              <w:t xml:space="preserve">slot-05 high</w:t>
            </w:r>
          </w:p>
        </w:tc>
        <w:tc>
          <w:tcPr/>
          <w:p>
            <w:pPr>
              <w:pStyle w:val="Compact"/>
            </w:pPr>
            <w:r>
              <w:t xml:space="preserve">satisfied</w:t>
            </w:r>
          </w:p>
        </w:tc>
      </w:tr>
      <w:tr>
        <w:tc>
          <w:tcPr/>
          <w:p>
            <w:pPr>
              <w:pStyle w:val="Compact"/>
            </w:pPr>
            <w:r>
              <w:t xml:space="preserve">KSI-019</w:t>
            </w:r>
          </w:p>
        </w:tc>
        <w:tc>
          <w:tcPr/>
          <w:p>
            <w:pPr>
              <w:pStyle w:val="Compact"/>
            </w:pPr>
            <w:r>
              <w:t xml:space="preserve">KSI-PIY-RIS</w:t>
            </w:r>
          </w:p>
        </w:tc>
        <w:tc>
          <w:tcPr/>
          <w:p>
            <w:pPr>
              <w:pStyle w:val="Compact"/>
            </w:pPr>
            <w:r>
              <w:t xml:space="preserve">slot-05 high</w:t>
            </w:r>
          </w:p>
        </w:tc>
        <w:tc>
          <w:tcPr/>
          <w:p>
            <w:pPr>
              <w:pStyle w:val="Compact"/>
            </w:pPr>
            <w:r>
              <w:t xml:space="preserve">satisfied</w:t>
            </w:r>
          </w:p>
        </w:tc>
      </w:tr>
      <w:tr>
        <w:tc>
          <w:tcPr/>
          <w:p>
            <w:pPr>
              <w:pStyle w:val="Compact"/>
            </w:pPr>
            <w:r>
              <w:t xml:space="preserve">KSI-020</w:t>
            </w:r>
          </w:p>
        </w:tc>
        <w:tc>
          <w:tcPr/>
          <w:p>
            <w:pPr>
              <w:pStyle w:val="Compact"/>
            </w:pPr>
            <w:r>
              <w:t xml:space="preserve">KSI-PIY-RSD</w:t>
            </w:r>
          </w:p>
        </w:tc>
        <w:tc>
          <w:tcPr/>
          <w:p>
            <w:pPr>
              <w:pStyle w:val="Compact"/>
            </w:pPr>
            <w:r>
              <w:t xml:space="preserve">slot-05 high</w:t>
            </w:r>
          </w:p>
        </w:tc>
        <w:tc>
          <w:tcPr/>
          <w:p>
            <w:pPr>
              <w:pStyle w:val="Compact"/>
            </w:pPr>
            <w:r>
              <w:t xml:space="preserve">satisfied</w:t>
            </w:r>
          </w:p>
        </w:tc>
      </w:tr>
      <w:tr>
        <w:tc>
          <w:tcPr/>
          <w:p>
            <w:pPr>
              <w:pStyle w:val="Compact"/>
            </w:pPr>
            <w:r>
              <w:t xml:space="preserve">KSI-021</w:t>
            </w:r>
          </w:p>
        </w:tc>
        <w:tc>
          <w:tcPr/>
          <w:p>
            <w:pPr>
              <w:pStyle w:val="Compact"/>
            </w:pPr>
            <w:r>
              <w:t xml:space="preserve">KSI-PIY-RVD</w:t>
            </w:r>
          </w:p>
        </w:tc>
        <w:tc>
          <w:tcPr/>
          <w:p>
            <w:pPr>
              <w:pStyle w:val="Compact"/>
            </w:pPr>
            <w:r>
              <w:t xml:space="preserve">slot-05 high</w:t>
            </w:r>
          </w:p>
        </w:tc>
        <w:tc>
          <w:tcPr/>
          <w:p>
            <w:pPr>
              <w:pStyle w:val="Compact"/>
            </w:pPr>
            <w:r>
              <w:t xml:space="preserve">satisfied</w:t>
            </w:r>
          </w:p>
        </w:tc>
      </w:tr>
      <w:tr>
        <w:tc>
          <w:tcPr/>
          <w:p>
            <w:pPr>
              <w:pStyle w:val="Compact"/>
            </w:pPr>
            <w:r>
              <w:t xml:space="preserve">KSI-022</w:t>
            </w:r>
          </w:p>
        </w:tc>
        <w:tc>
          <w:tcPr/>
          <w:p>
            <w:pPr>
              <w:pStyle w:val="Compact"/>
            </w:pPr>
            <w:r>
              <w:t xml:space="preserve">KSI-CED-RAT</w:t>
            </w:r>
          </w:p>
        </w:tc>
        <w:tc>
          <w:tcPr/>
          <w:p>
            <w:pPr>
              <w:pStyle w:val="Compact"/>
            </w:pPr>
            <w:r>
              <w:t xml:space="preserve">slot-08 high (Part 18)</w:t>
            </w:r>
          </w:p>
        </w:tc>
        <w:tc>
          <w:tcPr/>
          <w:p>
            <w:pPr>
              <w:pStyle w:val="Compact"/>
            </w:pPr>
            <w:r>
              <w:t xml:space="preserve">satisfied</w:t>
            </w:r>
          </w:p>
        </w:tc>
      </w:tr>
      <w:tr>
        <w:tc>
          <w:tcPr/>
          <w:p>
            <w:pPr>
              <w:pStyle w:val="Compact"/>
            </w:pPr>
            <w:r>
              <w:t xml:space="preserve">KSI-023</w:t>
            </w:r>
          </w:p>
        </w:tc>
        <w:tc>
          <w:tcPr/>
          <w:p>
            <w:pPr>
              <w:pStyle w:val="Compact"/>
            </w:pPr>
            <w:r>
              <w:t xml:space="preserve">KSI-INR-IRR</w:t>
            </w:r>
          </w:p>
        </w:tc>
        <w:tc>
          <w:tcPr/>
          <w:p>
            <w:pPr>
              <w:pStyle w:val="Compact"/>
            </w:pPr>
            <w:r>
              <w:t xml:space="preserve">slot-07 high</w:t>
            </w:r>
          </w:p>
        </w:tc>
        <w:tc>
          <w:tcPr/>
          <w:p>
            <w:pPr>
              <w:pStyle w:val="Compact"/>
            </w:pPr>
            <w:r>
              <w:t xml:space="preserve">satisfied</w:t>
            </w:r>
          </w:p>
        </w:tc>
      </w:tr>
      <w:tr>
        <w:tc>
          <w:tcPr/>
          <w:p>
            <w:pPr>
              <w:pStyle w:val="Compact"/>
            </w:pPr>
            <w:r>
              <w:t xml:space="preserve">KSI-024</w:t>
            </w:r>
          </w:p>
        </w:tc>
        <w:tc>
          <w:tcPr/>
          <w:p>
            <w:pPr>
              <w:pStyle w:val="Compact"/>
            </w:pPr>
            <w:r>
              <w:t xml:space="preserve">KSI-INR-MLE</w:t>
            </w:r>
          </w:p>
        </w:tc>
        <w:tc>
          <w:tcPr/>
          <w:p>
            <w:pPr>
              <w:pStyle w:val="Compact"/>
            </w:pPr>
            <w:r>
              <w:t xml:space="preserve">slot-04 high</w:t>
            </w:r>
          </w:p>
        </w:tc>
        <w:tc>
          <w:tcPr/>
          <w:p>
            <w:pPr>
              <w:pStyle w:val="Compact"/>
            </w:pPr>
            <w:r>
              <w:t xml:space="preserve">satisfied</w:t>
            </w:r>
          </w:p>
        </w:tc>
      </w:tr>
      <w:tr>
        <w:tc>
          <w:tcPr/>
          <w:p>
            <w:pPr>
              <w:pStyle w:val="Compact"/>
            </w:pPr>
            <w:r>
              <w:t xml:space="preserve">KSI-025</w:t>
            </w:r>
          </w:p>
        </w:tc>
        <w:tc>
          <w:tcPr/>
          <w:p>
            <w:pPr>
              <w:pStyle w:val="Compact"/>
            </w:pPr>
            <w:r>
              <w:t xml:space="preserve">KSI-INR-NTA</w:t>
            </w:r>
          </w:p>
        </w:tc>
        <w:tc>
          <w:tcPr/>
          <w:p>
            <w:pPr>
              <w:pStyle w:val="Compact"/>
            </w:pPr>
            <w:r>
              <w:t xml:space="preserve">slot-04 high</w:t>
            </w:r>
          </w:p>
        </w:tc>
        <w:tc>
          <w:tcPr/>
          <w:p>
            <w:pPr>
              <w:pStyle w:val="Compact"/>
            </w:pPr>
            <w:r>
              <w:t xml:space="preserve">satisfied</w:t>
            </w:r>
          </w:p>
        </w:tc>
      </w:tr>
      <w:tr>
        <w:tc>
          <w:tcPr/>
          <w:p>
            <w:pPr>
              <w:pStyle w:val="Compact"/>
            </w:pPr>
            <w:r>
              <w:t xml:space="preserve">KSI-026</w:t>
            </w:r>
          </w:p>
        </w:tc>
        <w:tc>
          <w:tcPr/>
          <w:p>
            <w:pPr>
              <w:pStyle w:val="Compact"/>
            </w:pPr>
            <w:r>
              <w:t xml:space="preserve">KSI-RPL-BCP</w:t>
            </w:r>
          </w:p>
        </w:tc>
        <w:tc>
          <w:tcPr/>
          <w:p>
            <w:pPr>
              <w:pStyle w:val="Compact"/>
            </w:pPr>
            <w:r>
              <w:t xml:space="preserve">slot-07 high</w:t>
            </w:r>
          </w:p>
        </w:tc>
        <w:tc>
          <w:tcPr/>
          <w:p>
            <w:pPr>
              <w:pStyle w:val="Compact"/>
            </w:pPr>
            <w:r>
              <w:t xml:space="preserve">satisfied</w:t>
            </w:r>
          </w:p>
        </w:tc>
      </w:tr>
      <w:tr>
        <w:tc>
          <w:tcPr/>
          <w:p>
            <w:pPr>
              <w:pStyle w:val="Compact"/>
            </w:pPr>
            <w:r>
              <w:t xml:space="preserve">KSI-027</w:t>
            </w:r>
          </w:p>
        </w:tc>
        <w:tc>
          <w:tcPr/>
          <w:p>
            <w:pPr>
              <w:pStyle w:val="Compact"/>
            </w:pPr>
            <w:r>
              <w:t xml:space="preserve">KSI-RPL-BCT</w:t>
            </w:r>
          </w:p>
        </w:tc>
        <w:tc>
          <w:tcPr/>
          <w:p>
            <w:pPr>
              <w:pStyle w:val="Compact"/>
            </w:pPr>
            <w:r>
              <w:t xml:space="preserve">slot-07 high</w:t>
            </w:r>
          </w:p>
        </w:tc>
        <w:tc>
          <w:tcPr/>
          <w:p>
            <w:pPr>
              <w:pStyle w:val="Compact"/>
            </w:pPr>
            <w:r>
              <w:t xml:space="preserve">satisfied</w:t>
            </w:r>
          </w:p>
        </w:tc>
      </w:tr>
      <w:tr>
        <w:tc>
          <w:tcPr/>
          <w:p>
            <w:pPr>
              <w:pStyle w:val="Compact"/>
            </w:pPr>
            <w:r>
              <w:t xml:space="preserve">KSI-028</w:t>
            </w:r>
          </w:p>
        </w:tc>
        <w:tc>
          <w:tcPr/>
          <w:p>
            <w:pPr>
              <w:pStyle w:val="Compact"/>
            </w:pPr>
            <w:r>
              <w:t xml:space="preserve">KSI-RPL-DRP</w:t>
            </w:r>
          </w:p>
        </w:tc>
        <w:tc>
          <w:tcPr/>
          <w:p>
            <w:pPr>
              <w:pStyle w:val="Compact"/>
            </w:pPr>
            <w:r>
              <w:t xml:space="preserve">slot-07 high</w:t>
            </w:r>
          </w:p>
        </w:tc>
        <w:tc>
          <w:tcPr/>
          <w:p>
            <w:pPr>
              <w:pStyle w:val="Compact"/>
            </w:pPr>
            <w:r>
              <w:t xml:space="preserve">satisfied</w:t>
            </w:r>
          </w:p>
        </w:tc>
      </w:tr>
      <w:tr>
        <w:tc>
          <w:tcPr/>
          <w:p>
            <w:pPr>
              <w:pStyle w:val="Compact"/>
            </w:pPr>
            <w:r>
              <w:t xml:space="preserve">KSI-029</w:t>
            </w:r>
          </w:p>
        </w:tc>
        <w:tc>
          <w:tcPr/>
          <w:p>
            <w:pPr>
              <w:pStyle w:val="Compact"/>
            </w:pPr>
            <w:r>
              <w:t xml:space="preserve">KSI-RPL-DRT</w:t>
            </w:r>
          </w:p>
        </w:tc>
        <w:tc>
          <w:tcPr/>
          <w:p>
            <w:pPr>
              <w:pStyle w:val="Compact"/>
            </w:pPr>
            <w:r>
              <w:t xml:space="preserve">slot-07 high</w:t>
            </w:r>
          </w:p>
        </w:tc>
        <w:tc>
          <w:tcPr/>
          <w:p>
            <w:pPr>
              <w:pStyle w:val="Compact"/>
            </w:pPr>
            <w:r>
              <w:t xml:space="preserve">satisfied</w:t>
            </w:r>
          </w:p>
        </w:tc>
      </w:tr>
    </w:tbl>
    <w:p>
      <w:r>
        <w:pict>
          <v:rect style="width:0;height:1.5pt" o:hralign="center" o:hrstd="t" o:hr="t"/>
        </w:pict>
      </w:r>
    </w:p>
    <w:p>
      <w:pPr>
        <w:pStyle w:val="FirstParagraph"/>
      </w:pPr>
      <w:r>
        <w:rPr>
          <w:i/>
          <w:iCs/>
        </w:rPr>
        <w:t xml:space="preserve">This document is an internal UIAO working artifact. It does not constitute an</w:t>
      </w:r>
      <w:r>
        <w:rPr>
          <w:i/>
          <w:iCs/>
        </w:rPr>
        <w:t xml:space="preserve"> </w:t>
      </w:r>
      <w:r>
        <w:rPr>
          <w:i/>
          <w:iCs/>
        </w:rPr>
        <w:t xml:space="preserve">authorization package or official assessment. All control closure claims are</w:t>
      </w:r>
      <w:r>
        <w:rPr>
          <w:i/>
          <w:iCs/>
        </w:rPr>
        <w:t xml:space="preserve"> </w:t>
      </w:r>
      <w:r>
        <w:rPr>
          <w:i/>
          <w:iCs/>
        </w:rPr>
        <w:t xml:space="preserve">advisory pending formal ATO review by the FedRAMP Project Management Office and</w:t>
      </w:r>
      <w:r>
        <w:rPr>
          <w:i/>
          <w:iCs/>
        </w:rPr>
        <w:t xml:space="preserve"> </w:t>
      </w:r>
      <w:r>
        <w:rPr>
          <w:i/>
          <w:iCs/>
        </w:rPr>
        <w:t xml:space="preserve">the Agency Authorizing Official.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2026-07-08T09:36:53Z</dcterms:created>
  <dcterms:modified xsi:type="dcterms:W3CDTF">2026-07-08T09:36:53Z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ification">
    <vt:lpwstr>INTERNAL — NOT FOR PUBLIC DISTRIBUTION</vt:lpwstr>
  </property>
  <property fmtid="{D5CDD505-2E9C-101B-9397-08002B2CF9AE}" pid="6" name="date">
    <vt:lpwstr>2026-07-04</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Agency Authorization Package (20x KSI Evidence Schema), Continuous Monitoring, and BOD 26-04 Submission</vt:lpwstr>
  </property>
  <property fmtid="{D5CDD505-2E9C-101B-9397-08002B2CF9AE}" pid="13" name="toc-title">
    <vt:lpwstr>Table of contents</vt:lpwstr>
  </property>
</Properties>
</file>