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UIAO Working Document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15:18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authorization-package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for the agency’s RMF authorization, with continuous-monitoring evidence</w:t>
      </w:r>
      <w:r>
        <w:t xml:space="preserve"> </w:t>
      </w:r>
      <w:r>
        <w:t xml:space="preserve">modeled on the FedRAMP 20x KSI schema.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KSI rules in the ADR-111</w:t>
      </w:r>
      <w:r>
        <w:rPr>
          <w:b/>
          <w:bCs/>
        </w:rPr>
        <w:t xml:space="preserve"> </w:t>
      </w:r>
      <w:r>
        <w:rPr>
          <w:b/>
          <w:bCs/>
        </w:rPr>
        <w:t xml:space="preserve">rule set</w:t>
      </w:r>
      <w:r>
        <w:t xml:space="preserve"> </w:t>
      </w:r>
      <w:r>
        <w:t xml:space="preserve">— zero scaffold rules remain. Part 18 (Book_18) delivered the AT</w:t>
      </w:r>
      <w:r>
        <w:t xml:space="preserve"> </w:t>
      </w:r>
      <w:r>
        <w:t xml:space="preserve">family training evidence and closed KSI-022 (KSI-CED-RAT). Part 19 (Book_19)</w:t>
      </w:r>
      <w:r>
        <w:t xml:space="preserve"> </w:t>
      </w:r>
      <w:r>
        <w:t xml:space="preserve">assembled the authorization package — OSCAL bundle (29/29 rules in scope</w:t>
      </w:r>
      <w:r>
        <w:t xml:space="preserve"> </w:t>
      </w:r>
      <w:r>
        <w:t xml:space="preserve">satisfied, 0 open risks, 0 POA&amp;M items), BOD 26-04 VDR/VER submission</w:t>
      </w:r>
      <w:r>
        <w:t xml:space="preserve"> </w:t>
      </w:r>
      <w:r>
        <w:t xml:space="preserve">procedure, and CA-7 ConMon program. All rules in scope are self-assessed</w:t>
      </w:r>
      <w:r>
        <w:t xml:space="preserve"> </w:t>
      </w:r>
      <w:r>
        <w:t xml:space="preserve">satisfied pending independent security control assessment (SCA).</w:t>
      </w:r>
      <w:r>
        <w:t xml:space="preserve"> </w:t>
      </w:r>
      <w:r>
        <w:rPr>
          <w:b/>
          <w:bCs/>
        </w:rPr>
        <w:t xml:space="preserve">The series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and the authorization package is assembled for the SSA Authorizing</w:t>
      </w:r>
      <w:r>
        <w:rPr>
          <w:b/>
          <w:bCs/>
        </w:rPr>
        <w:t xml:space="preserve"> </w:t>
      </w:r>
      <w:r>
        <w:rPr>
          <w:b/>
          <w:bCs/>
        </w:rPr>
        <w:t xml:space="preserve">Official’s review.</w:t>
      </w:r>
    </w:p>
    <w:p>
      <w:pPr>
        <w:pStyle w:val="BlockText"/>
      </w:pPr>
      <w:r>
        <w:rPr>
          <w:b/>
          <w:bCs/>
        </w:rPr>
        <w:t xml:space="preserve">Framing note (added 2026-07-08).</w:t>
      </w:r>
      <w:r>
        <w:t xml:space="preserve"> </w:t>
      </w:r>
      <w:r>
        <w:t xml:space="preserve">SSA is a</w:t>
      </w:r>
      <w:r>
        <w:t xml:space="preserve"> </w:t>
      </w:r>
      <w:r>
        <w:rPr>
          <w:i/>
          <w:iCs/>
        </w:rPr>
        <w:t xml:space="preserve">consuming agency</w:t>
      </w:r>
      <w:r>
        <w:t xml:space="preserve"> </w:t>
      </w:r>
      <w:r>
        <w:t xml:space="preserve">securing its</w:t>
      </w:r>
      <w:r>
        <w:t xml:space="preserve"> </w:t>
      </w:r>
      <w:r>
        <w:t xml:space="preserve">own GCC Moderate enterprise — it is not a cloud service provider seeking a</w:t>
      </w:r>
      <w:r>
        <w:t xml:space="preserve"> </w:t>
      </w:r>
      <w:r>
        <w:t xml:space="preserve">FedRAMP authorization. The artifact this roadmap builds toward is an</w:t>
      </w:r>
      <w:r>
        <w:t xml:space="preserve"> </w:t>
      </w:r>
      <w:r>
        <w:rPr>
          <w:b/>
          <w:bCs/>
        </w:rPr>
        <w:t xml:space="preserve">agency</w:t>
      </w:r>
      <w:r>
        <w:rPr>
          <w:b/>
          <w:bCs/>
        </w:rPr>
        <w:t xml:space="preserve"> </w:t>
      </w:r>
      <w:r>
        <w:rPr>
          <w:b/>
          <w:bCs/>
        </w:rPr>
        <w:t xml:space="preserve">RMF/FISMA ATO (NIST SP 800-37)</w:t>
      </w:r>
      <w:r>
        <w:t xml:space="preserve"> </w:t>
      </w:r>
      <w:r>
        <w:t xml:space="preserve">issued by the SSA Authorizing Official, with</w:t>
      </w:r>
      <w:r>
        <w:t xml:space="preserve"> </w:t>
      </w:r>
      <w:r>
        <w:t xml:space="preserve">the FedRAMP-authorized cloud services SSA consumes (M365 GCC, AWS GovCloud,</w:t>
      </w:r>
      <w:r>
        <w:t xml:space="preserve"> </w:t>
      </w:r>
      <w:r>
        <w:t xml:space="preserve">DDI SaaS) inherited as leveraged authorizations. The FedRAMP 20x KSI schema</w:t>
      </w:r>
      <w:r>
        <w:t xml:space="preserve"> </w:t>
      </w:r>
      <w:r>
        <w:t xml:space="preserve">is used as the</w:t>
      </w:r>
      <w:r>
        <w:t xml:space="preserve"> </w:t>
      </w:r>
      <w:r>
        <w:rPr>
          <w:i/>
          <w:iCs/>
        </w:rPr>
        <w:t xml:space="preserve">ConMon evidence idiom</w:t>
      </w:r>
      <w:r>
        <w:t xml:space="preserve"> </w:t>
      </w:r>
      <w:r>
        <w:t xml:space="preserve">— it future-proofs the evidence layer</w:t>
      </w:r>
      <w:r>
        <w:t xml:space="preserve"> </w:t>
      </w:r>
      <w:r>
        <w:t xml:space="preserve">against M-24-15 ConMon expectations, CDM, FISMA CIO metrics, and OSCAL</w:t>
      </w:r>
      <w:r>
        <w:t xml:space="preserve"> </w:t>
      </w:r>
      <w:r>
        <w:t xml:space="preserve">mandates, all of which do bind agencies — but nothing here is submitted to</w:t>
      </w:r>
      <w:r>
        <w:t xml:space="preserve"> </w:t>
      </w:r>
      <w:r>
        <w:t xml:space="preserve">the FedRAMP PMO. If any in-scope system is later offered as a shared service</w:t>
      </w:r>
      <w:r>
        <w:t xml:space="preserve"> </w:t>
      </w:r>
      <w:r>
        <w:t xml:space="preserve">to other agencies, that system becomes a CSO and enters the 20x pipeline in</w:t>
      </w:r>
      <w:r>
        <w:t xml:space="preserve"> </w:t>
      </w:r>
      <w:r>
        <w:t xml:space="preserve">its own right; split it out explicitly at that point rather than letting the</w:t>
      </w:r>
      <w:r>
        <w:t xml:space="preserve"> </w:t>
      </w:r>
      <w:r>
        <w:t xml:space="preserve">CSO framing color the enterprise corpus.</w:t>
      </w:r>
    </w:p>
    <w:p>
      <w:pPr>
        <w:pStyle w:val="BlockText"/>
      </w:pPr>
      <w:r>
        <w:rPr>
          <w:b/>
          <w:bCs/>
        </w:rPr>
        <w:t xml:space="preserve">KSI-count reconciliation (open item).</w:t>
      </w:r>
      <w:r>
        <w:t xml:space="preserve"> </w:t>
      </w:r>
      <w:r>
        <w:t xml:space="preserve">The</w:t>
      </w:r>
      <w:r>
        <w:t xml:space="preserve"> </w:t>
      </w:r>
      <w:r>
        <w:t xml:space="preserve">“29 KSI rules”</w:t>
      </w:r>
      <w:r>
        <w:t xml:space="preserve"> </w:t>
      </w:r>
      <w:r>
        <w:t xml:space="preserve">throughout this</w:t>
      </w:r>
      <w:r>
        <w:t xml:space="preserve"> </w:t>
      </w:r>
      <w:r>
        <w:t xml:space="preserve">document are the ADR-111 rule decomposition, not the published CR26 Moderate</w:t>
      </w:r>
      <w:r>
        <w:t xml:space="preserve"> </w:t>
      </w:r>
      <w:r>
        <w:t xml:space="preserve">KSI catalog (~56–63 indicators across the same 10 theme codes, depending on</w:t>
      </w:r>
      <w:r>
        <w:t xml:space="preserve"> </w:t>
      </w:r>
      <w:r>
        <w:t xml:space="preserve">counting method). Until the 29-rule set is diffed rule-ID-by-rule-ID against</w:t>
      </w:r>
      <w:r>
        <w:t xml:space="preserve"> </w:t>
      </w:r>
      <w:r>
        <w:t xml:space="preserve">the finalized CR26 Moderate list (June 25, 2026) and the mapping stated</w:t>
      </w:r>
      <w:r>
        <w:t xml:space="preserve"> </w:t>
      </w:r>
      <w:r>
        <w:t xml:space="preserve">explicitly,</w:t>
      </w:r>
      <w:r>
        <w:t xml:space="preserve"> </w:t>
      </w:r>
      <w:r>
        <w:t xml:space="preserve">“29/29 satisfied”</w:t>
      </w:r>
      <w:r>
        <w:t xml:space="preserve"> </w:t>
      </w:r>
      <w:r>
        <w:t xml:space="preserve">is a claim about the internal rule set — not</w:t>
      </w:r>
      <w:r>
        <w:t xml:space="preserve"> </w:t>
      </w:r>
      <w:r>
        <w:t xml:space="preserve">about coverage of the full CR26 indicator set.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Class C (Moderate) CSO certifications open —</w:t>
            </w:r>
            <w:r>
              <w:t xml:space="preserve"> </w:t>
            </w:r>
            <w:r>
              <w:rPr>
                <w:b/>
                <w:bCs/>
              </w:rPr>
              <w:t xml:space="preserve">the window for the cloud services SSA inherits.</w:t>
            </w:r>
            <w:r>
              <w:t xml:space="preserve"> </w:t>
            </w:r>
            <w:r>
              <w:t xml:space="preserve">SSA tracks that its providers (M365 GCC, GovCloud, DDI) enter the 20x pipeline; this is not an SSA submission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AAN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9a778112191957761f95d8c82818c114f2d4447"/>
    <w:p>
      <w:pPr>
        <w:pStyle w:val="Heading3"/>
      </w:pPr>
      <w:r>
        <w:t xml:space="preserve">Phase 7 — Agency Authorization Decision (SSA AO)</w:t>
      </w:r>
    </w:p>
    <w:p>
      <w:pPr>
        <w:pStyle w:val="Compact"/>
        <w:numPr>
          <w:ilvl w:val="0"/>
          <w:numId w:val="1033"/>
        </w:numPr>
      </w:pPr>
      <w:r>
        <w:t xml:space="preserve">Authorization package presented to the SSA AO for the RMF authorization decision; inherited CSOs tracked against their own 20x Class C timelines (window opens Aug 31, 2026)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Agency ATO issued by the SSA AO; leveraged FedRAMP authorizations documented as inherited controls in the SSP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2026-07-08T09:36:55Z</dcterms:created>
  <dcterms:modified xsi:type="dcterms:W3CDTF">2026-07-08T09:36:55Z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