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082"/>
          <w:sz w:val="36"/>
        </w:rPr>
        <w:t>AAN ServiceNow Identity &amp; Access Governance Kit</w:t>
      </w:r>
    </w:p>
    <w:p>
      <w:pPr>
        <w:jc w:val="center"/>
      </w:pPr>
      <w:r>
        <w:rPr>
          <w:color w:val="595959"/>
          <w:sz w:val="20"/>
        </w:rPr>
        <w:t>Detailed Requirements Document  |  Draft v0.9  |  July 2026</w:t>
      </w:r>
    </w:p>
    <w:p>
      <w:r>
        <w:rPr>
          <w:b/>
        </w:rPr>
        <w:t xml:space="preserve">Related Volumes: </w:t>
      </w:r>
      <w:r>
        <w:rPr>
          <w:sz w:val="18"/>
        </w:rPr>
        <w:t>Vol I Book 04 (HRIT Identity &amp; Org SSOT), Vol I Book 05 (Entra ID + ZTNA + Active Governance), Vol IX (Day-2 Operations)</w:t>
      </w:r>
    </w:p>
    <w:p>
      <w:pPr>
        <w:pStyle w:val="Heading1"/>
      </w:pPr>
      <w:r>
        <w:rPr>
          <w:color w:val="156082"/>
        </w:rPr>
        <w:t>1. Overview &amp; Purpose</w:t>
      </w:r>
    </w:p>
    <w:p>
      <w:r>
        <w:t>This document defines the detailed functional and non-functional requirements for a new ServiceNow scoped application: the **AAN Identity &amp; Access Governance Kit** (proposed as a Phase 2 deliverable in the ServiceNow Kit Expansion Roadmap).</w:t>
        <w:br/>
        <w:br/>
        <w:t>The kit will automate identity lifecycle management, access governance, and evidence generation to support FedRAMP 20x / CR26 continuous monitoring requirements. It builds directly on the AAN architectural substrate (particularly HRIT Org SSOT and Entra ID modernization) and integrates with the existing AAN ServiceNow Day-2 and DDI kits.</w:t>
      </w:r>
    </w:p>
    <w:p>
      <w:r>
        <w:rPr>
          <w:b/>
        </w:rPr>
        <w:t>Primary Objectives:</w:t>
      </w:r>
    </w:p>
    <w:p>
      <w:pPr>
        <w:pStyle w:val="ListBullet"/>
      </w:pPr>
      <w:r>
        <w:rPr>
          <w:sz w:val="18"/>
        </w:rPr>
        <w:t>Automate Joiner-Mover-Leaver (JML) processes with authoritative HRIT Org SSOT data.</w:t>
      </w:r>
    </w:p>
    <w:p>
      <w:pPr>
        <w:pStyle w:val="ListBullet"/>
      </w:pPr>
      <w:r>
        <w:rPr>
          <w:sz w:val="18"/>
        </w:rPr>
        <w:t>Enable continuous, auditable access reviews and certification campaigns.</w:t>
      </w:r>
    </w:p>
    <w:p>
      <w:pPr>
        <w:pStyle w:val="ListBullet"/>
      </w:pPr>
      <w:r>
        <w:rPr>
          <w:sz w:val="18"/>
        </w:rPr>
        <w:t>Generate machine-readable KSI evidence and OSCAL-compatible artifacts for IAM-related controls and indicators.</w:t>
      </w:r>
    </w:p>
    <w:p>
      <w:pPr>
        <w:pStyle w:val="ListBullet"/>
      </w:pPr>
      <w:r>
        <w:rPr>
          <w:sz w:val="18"/>
        </w:rPr>
        <w:t>Provide real-time visibility into identity posture, least privilege, and conditional access compliance.</w:t>
      </w:r>
    </w:p>
    <w:p>
      <w:pPr>
        <w:pStyle w:val="ListBullet"/>
      </w:pPr>
      <w:r>
        <w:rPr>
          <w:sz w:val="18"/>
        </w:rPr>
        <w:t>Reduce manual effort in identity governance and ConMon evidence collection by 60-80% for in-scope processes.</w:t>
      </w:r>
    </w:p>
    <w:p>
      <w:pPr>
        <w:pStyle w:val="Heading1"/>
      </w:pPr>
      <w:r>
        <w:rPr>
          <w:color w:val="156082"/>
        </w:rPr>
        <w:t>2. Scope</w:t>
      </w:r>
    </w:p>
    <w:p>
      <w:r>
        <w:rPr>
          <w:b/>
        </w:rPr>
        <w:t>In Scope (MVP / Phase 2):</w:t>
      </w:r>
    </w:p>
    <w:p>
      <w:pPr>
        <w:pStyle w:val="ListBullet"/>
      </w:pPr>
      <w:r>
        <w:rPr>
          <w:sz w:val="18"/>
        </w:rPr>
        <w:t>Integration with Microsoft Entra ID (Microsoft Graph API) for users, groups, conditional access policies, and sign-in logs.</w:t>
      </w:r>
    </w:p>
    <w:p>
      <w:pPr>
        <w:pStyle w:val="ListBullet"/>
      </w:pPr>
      <w:r>
        <w:rPr>
          <w:sz w:val="18"/>
        </w:rPr>
        <w:t>Bidirectional synchronization with AAN HRIT Org SSOT (Vol I Book 04) for organizational context, supervisory relationships, and position data.</w:t>
      </w:r>
    </w:p>
    <w:p>
      <w:pPr>
        <w:pStyle w:val="ListBullet"/>
      </w:pPr>
      <w:r>
        <w:rPr>
          <w:sz w:val="18"/>
        </w:rPr>
        <w:t>Automated and scheduled Access Certification campaigns (user access reviews, privileged access reviews).</w:t>
      </w:r>
    </w:p>
    <w:p>
      <w:pPr>
        <w:pStyle w:val="ListBullet"/>
      </w:pPr>
      <w:r>
        <w:rPr>
          <w:sz w:val="18"/>
        </w:rPr>
        <w:t>Joiner-Mover-Leaver workflow automation with approval gates and full audit trail.</w:t>
      </w:r>
    </w:p>
    <w:p>
      <w:pPr>
        <w:pStyle w:val="ListBullet"/>
      </w:pPr>
      <w:r>
        <w:rPr>
          <w:sz w:val="18"/>
        </w:rPr>
        <w:t>Evidence generation for key IAM KSIs (e.g., access review completion, MFA enforcement status, group membership accuracy, least privilege indicators).</w:t>
      </w:r>
    </w:p>
    <w:p>
      <w:pPr>
        <w:pStyle w:val="ListBullet"/>
      </w:pPr>
      <w:r>
        <w:rPr>
          <w:sz w:val="18"/>
        </w:rPr>
        <w:t>OSCAL-compatible evidence export (via integration with uiao oscal bundle or native OSCAL emitter).</w:t>
      </w:r>
    </w:p>
    <w:p>
      <w:pPr>
        <w:pStyle w:val="ListBullet"/>
      </w:pPr>
      <w:r>
        <w:rPr>
          <w:sz w:val="18"/>
        </w:rPr>
        <w:t>Dashboard and reporting for identity posture and compliance status.</w:t>
      </w:r>
    </w:p>
    <w:p>
      <w:pPr>
        <w:pStyle w:val="ListBullet"/>
      </w:pPr>
      <w:r>
        <w:rPr>
          <w:sz w:val="18"/>
        </w:rPr>
        <w:t>Role-based access control within the ServiceNow app aligned with AAN governance model.</w:t>
      </w:r>
    </w:p>
    <w:p>
      <w:r>
        <w:rPr>
          <w:b/>
        </w:rPr>
        <w:t>Out of Scope (Future Phases or Separate Kits):</w:t>
      </w:r>
    </w:p>
    <w:p>
      <w:pPr>
        <w:pStyle w:val="ListBullet"/>
      </w:pPr>
      <w:r>
        <w:rPr>
          <w:sz w:val="18"/>
        </w:rPr>
        <w:t>Full Privileged Access Management (PAM) / just-in-time access provisioning (consider separate kit).</w:t>
      </w:r>
    </w:p>
    <w:p>
      <w:pPr>
        <w:pStyle w:val="ListBullet"/>
      </w:pPr>
      <w:r>
        <w:rPr>
          <w:sz w:val="18"/>
        </w:rPr>
        <w:t>Device compliance / Intune integration (may be addressed in ZTNA-related work).</w:t>
      </w:r>
    </w:p>
    <w:p>
      <w:pPr>
        <w:pStyle w:val="ListBullet"/>
      </w:pPr>
      <w:r>
        <w:rPr>
          <w:sz w:val="18"/>
        </w:rPr>
        <w:t>Cross-cloud identity federation beyond Entra ID (future if Vol VIII breadth expands).</w:t>
      </w:r>
    </w:p>
    <w:p>
      <w:pPr>
        <w:pStyle w:val="ListBullet"/>
      </w:pPr>
      <w:r>
        <w:rPr>
          <w:sz w:val="18"/>
        </w:rPr>
        <w:t>Advanced analytics / AI-driven access recommendations (Phase 3+).</w:t>
      </w:r>
    </w:p>
    <w:p>
      <w:pPr>
        <w:pStyle w:val="ListBullet"/>
      </w:pPr>
      <w:r>
        <w:rPr>
          <w:sz w:val="18"/>
        </w:rPr>
        <w:t>Direct remediation of access violations (initially evidence + alerting only).</w:t>
      </w:r>
    </w:p>
    <w:p>
      <w:pPr>
        <w:pStyle w:val="Heading1"/>
      </w:pPr>
      <w:r>
        <w:rPr>
          <w:color w:val="156082"/>
        </w:rPr>
        <w:t>3. Functional Requirements</w:t>
      </w:r>
    </w:p>
    <w:p>
      <w:pPr>
        <w:pStyle w:val="Heading2"/>
      </w:pPr>
      <w:r>
        <w:t>3.1 Identity Lifecycle Management (JML)</w:t>
      </w:r>
    </w:p>
    <w:tbl>
      <w:tblPr>
        <w:tblStyle w:val="TableGrid"/>
        <w:tblW w:type="auto" w:w="0"/>
        <w:tblLook w:firstColumn="1" w:firstRow="1" w:lastColumn="0" w:lastRow="0" w:noHBand="0" w:noVBand="1" w:val="04A0"/>
      </w:tblPr>
      <w:tblGrid>
        <w:gridCol w:w="5112"/>
        <w:gridCol w:w="5112"/>
      </w:tblGrid>
      <w:tr>
        <w:tc>
          <w:tcPr>
            <w:tcW w:type="dxa" w:w="5112"/>
            <w:shd w:fill="156082"/>
          </w:tcPr>
          <w:p>
            <w:r>
              <w:rPr>
                <w:b/>
                <w:color w:val="FFFFFF"/>
                <w:sz w:val="16"/>
              </w:rPr>
              <w:t>Req ID</w:t>
            </w:r>
          </w:p>
        </w:tc>
        <w:tc>
          <w:tcPr>
            <w:tcW w:type="dxa" w:w="5112"/>
            <w:shd w:fill="156082"/>
          </w:tcPr>
          <w:p>
            <w:r>
              <w:rPr>
                <w:b/>
                <w:color w:val="FFFFFF"/>
                <w:sz w:val="16"/>
              </w:rPr>
              <w:t>Requirement</w:t>
            </w:r>
          </w:p>
        </w:tc>
      </w:tr>
      <w:tr>
        <w:tc>
          <w:tcPr>
            <w:tcW w:type="dxa" w:w="5112"/>
          </w:tcPr>
          <w:p>
            <w:r>
              <w:rPr>
                <w:sz w:val="16"/>
              </w:rPr>
              <w:t>FR-JML-001</w:t>
            </w:r>
          </w:p>
        </w:tc>
        <w:tc>
          <w:tcPr>
            <w:tcW w:type="dxa" w:w="5112"/>
          </w:tcPr>
          <w:p>
            <w:r>
              <w:rPr>
                <w:sz w:val="16"/>
              </w:rPr>
              <w:t>On Joiner event from HRIT Org SSOT, automatically provision Entra ID account with appropriate licenses, group memberships, and conditional access policies based on position/org attributes.</w:t>
            </w:r>
          </w:p>
        </w:tc>
      </w:tr>
      <w:tr>
        <w:tc>
          <w:tcPr>
            <w:tcW w:type="dxa" w:w="5112"/>
          </w:tcPr>
          <w:p>
            <w:r>
              <w:rPr>
                <w:sz w:val="16"/>
              </w:rPr>
              <w:t>FR-JML-002</w:t>
            </w:r>
          </w:p>
        </w:tc>
        <w:tc>
          <w:tcPr>
            <w:tcW w:type="dxa" w:w="5112"/>
          </w:tcPr>
          <w:p>
            <w:r>
              <w:rPr>
                <w:sz w:val="16"/>
              </w:rPr>
              <w:t>On Mover event (org change, position change, manager change), trigger access review or automatic adjustment of group memberships and access rights with full audit logging.</w:t>
            </w:r>
          </w:p>
        </w:tc>
      </w:tr>
      <w:tr>
        <w:tc>
          <w:tcPr>
            <w:tcW w:type="dxa" w:w="5112"/>
          </w:tcPr>
          <w:p>
            <w:r>
              <w:rPr>
                <w:sz w:val="16"/>
              </w:rPr>
              <w:t>FR-JML-003</w:t>
            </w:r>
          </w:p>
        </w:tc>
        <w:tc>
          <w:tcPr>
            <w:tcW w:type="dxa" w:w="5112"/>
          </w:tcPr>
          <w:p>
            <w:r>
              <w:rPr>
                <w:sz w:val="16"/>
              </w:rPr>
              <w:t>On Leaver event, automatically disable/remove Entra ID account, revoke sessions, and generate evidence of deprovisioning within defined SLA (e.g., 24 hours).</w:t>
            </w:r>
          </w:p>
        </w:tc>
      </w:tr>
      <w:tr>
        <w:tc>
          <w:tcPr>
            <w:tcW w:type="dxa" w:w="5112"/>
          </w:tcPr>
          <w:p>
            <w:r>
              <w:rPr>
                <w:sz w:val="16"/>
              </w:rPr>
              <w:t>FR-JML-004</w:t>
            </w:r>
          </w:p>
        </w:tc>
        <w:tc>
          <w:tcPr>
            <w:tcW w:type="dxa" w:w="5112"/>
          </w:tcPr>
          <w:p>
            <w:r>
              <w:rPr>
                <w:sz w:val="16"/>
              </w:rPr>
              <w:t>Maintain bidirectional sync between HRIT Org SSOT and Entra ID for key attributes (manager, department, cost center, employment status).</w:t>
            </w:r>
          </w:p>
        </w:tc>
      </w:tr>
      <w:tr>
        <w:tc>
          <w:tcPr>
            <w:tcW w:type="dxa" w:w="5112"/>
          </w:tcPr>
          <w:p>
            <w:r>
              <w:rPr>
                <w:sz w:val="16"/>
              </w:rPr>
              <w:t>FR-JML-005</w:t>
            </w:r>
          </w:p>
        </w:tc>
        <w:tc>
          <w:tcPr>
            <w:tcW w:type="dxa" w:w="5112"/>
          </w:tcPr>
          <w:p>
            <w:r>
              <w:rPr>
                <w:sz w:val="16"/>
              </w:rPr>
              <w:t>Provide configurable approval workflows for high-risk JML events (e.g., privileged role assignments).</w:t>
            </w:r>
          </w:p>
        </w:tc>
      </w:tr>
    </w:tbl>
    <w:p/>
    <w:p>
      <w:pPr>
        <w:pStyle w:val="Heading2"/>
      </w:pPr>
      <w:r>
        <w:t>3.2 Access Governance &amp; Certification</w:t>
      </w:r>
    </w:p>
    <w:tbl>
      <w:tblPr>
        <w:tblStyle w:val="TableGrid"/>
        <w:tblW w:type="auto" w:w="0"/>
        <w:tblLook w:firstColumn="1" w:firstRow="1" w:lastColumn="0" w:lastRow="0" w:noHBand="0" w:noVBand="1" w:val="04A0"/>
      </w:tblPr>
      <w:tblGrid>
        <w:gridCol w:w="5112"/>
        <w:gridCol w:w="5112"/>
      </w:tblGrid>
      <w:tr>
        <w:tc>
          <w:tcPr>
            <w:tcW w:type="dxa" w:w="5112"/>
            <w:shd w:fill="156082"/>
          </w:tcPr>
          <w:p>
            <w:r>
              <w:rPr>
                <w:b/>
                <w:color w:val="FFFFFF"/>
                <w:sz w:val="16"/>
              </w:rPr>
              <w:t>Req ID</w:t>
            </w:r>
          </w:p>
        </w:tc>
        <w:tc>
          <w:tcPr>
            <w:tcW w:type="dxa" w:w="5112"/>
            <w:shd w:fill="156082"/>
          </w:tcPr>
          <w:p>
            <w:r>
              <w:rPr>
                <w:b/>
                <w:color w:val="FFFFFF"/>
                <w:sz w:val="16"/>
              </w:rPr>
              <w:t>Requirement</w:t>
            </w:r>
          </w:p>
        </w:tc>
      </w:tr>
      <w:tr>
        <w:tc>
          <w:tcPr>
            <w:tcW w:type="dxa" w:w="5112"/>
          </w:tcPr>
          <w:p>
            <w:r>
              <w:rPr>
                <w:sz w:val="16"/>
              </w:rPr>
              <w:t>FR-CERT-001</w:t>
            </w:r>
          </w:p>
        </w:tc>
        <w:tc>
          <w:tcPr>
            <w:tcW w:type="dxa" w:w="5112"/>
          </w:tcPr>
          <w:p>
            <w:r>
              <w:rPr>
                <w:sz w:val="16"/>
              </w:rPr>
              <w:t>Support creation and scheduling of Access Certification campaigns (user, manager, or application owner campaigns).</w:t>
            </w:r>
          </w:p>
        </w:tc>
      </w:tr>
      <w:tr>
        <w:tc>
          <w:tcPr>
            <w:tcW w:type="dxa" w:w="5112"/>
          </w:tcPr>
          <w:p>
            <w:r>
              <w:rPr>
                <w:sz w:val="16"/>
              </w:rPr>
              <w:t>FR-CERT-002</w:t>
            </w:r>
          </w:p>
        </w:tc>
        <w:tc>
          <w:tcPr>
            <w:tcW w:type="dxa" w:w="5112"/>
          </w:tcPr>
          <w:p>
            <w:r>
              <w:rPr>
                <w:sz w:val="16"/>
              </w:rPr>
              <w:t>Present reviewers with accurate, contextual information including: current group memberships, last login activity, risk score (if available), and organizational context from HRIT Org SSOT.</w:t>
            </w:r>
          </w:p>
        </w:tc>
      </w:tr>
      <w:tr>
        <w:tc>
          <w:tcPr>
            <w:tcW w:type="dxa" w:w="5112"/>
          </w:tcPr>
          <w:p>
            <w:r>
              <w:rPr>
                <w:sz w:val="16"/>
              </w:rPr>
              <w:t>FR-CERT-003</w:t>
            </w:r>
          </w:p>
        </w:tc>
        <w:tc>
          <w:tcPr>
            <w:tcW w:type="dxa" w:w="5112"/>
          </w:tcPr>
          <w:p>
            <w:r>
              <w:rPr>
                <w:sz w:val="16"/>
              </w:rPr>
              <w:t>Allow bulk decisions (certify, revoke, transfer) with mandatory comments for revocations and full audit trail.</w:t>
            </w:r>
          </w:p>
        </w:tc>
      </w:tr>
      <w:tr>
        <w:tc>
          <w:tcPr>
            <w:tcW w:type="dxa" w:w="5112"/>
          </w:tcPr>
          <w:p>
            <w:r>
              <w:rPr>
                <w:sz w:val="16"/>
              </w:rPr>
              <w:t>FR-CERT-004</w:t>
            </w:r>
          </w:p>
        </w:tc>
        <w:tc>
          <w:tcPr>
            <w:tcW w:type="dxa" w:w="5112"/>
          </w:tcPr>
          <w:p>
            <w:r>
              <w:rPr>
                <w:sz w:val="16"/>
              </w:rPr>
              <w:t>Automatically trigger remediation workflows (e.g., remove from group, open ticket) upon revocation decisions.</w:t>
            </w:r>
          </w:p>
        </w:tc>
      </w:tr>
      <w:tr>
        <w:tc>
          <w:tcPr>
            <w:tcW w:type="dxa" w:w="5112"/>
          </w:tcPr>
          <w:p>
            <w:r>
              <w:rPr>
                <w:sz w:val="16"/>
              </w:rPr>
              <w:t>FR-CERT-005</w:t>
            </w:r>
          </w:p>
        </w:tc>
        <w:tc>
          <w:tcPr>
            <w:tcW w:type="dxa" w:w="5112"/>
          </w:tcPr>
          <w:p>
            <w:r>
              <w:rPr>
                <w:sz w:val="16"/>
              </w:rPr>
              <w:t>Generate evidence artifacts showing campaign completion rate, decision outcomes, and time-to-complete for KSI reporting.</w:t>
            </w:r>
          </w:p>
        </w:tc>
      </w:tr>
      <w:tr>
        <w:tc>
          <w:tcPr>
            <w:tcW w:type="dxa" w:w="5112"/>
          </w:tcPr>
          <w:p>
            <w:r>
              <w:rPr>
                <w:sz w:val="16"/>
              </w:rPr>
              <w:t>FR-CERT-006</w:t>
            </w:r>
          </w:p>
        </w:tc>
        <w:tc>
          <w:tcPr>
            <w:tcW w:type="dxa" w:w="5112"/>
          </w:tcPr>
          <w:p>
            <w:r>
              <w:rPr>
                <w:sz w:val="16"/>
              </w:rPr>
              <w:t>Support privileged access certification with elevated review requirements and segregation of duties checks.</w:t>
            </w:r>
          </w:p>
        </w:tc>
      </w:tr>
    </w:tbl>
    <w:p/>
    <w:p>
      <w:pPr>
        <w:pStyle w:val="Heading2"/>
      </w:pPr>
      <w:r>
        <w:t>3.3 Evidence Generation &amp; KSI Support</w:t>
      </w:r>
    </w:p>
    <w:p>
      <w:r>
        <w:rPr>
          <w:sz w:val="18"/>
        </w:rPr>
        <w:t>The kit must produce continuous, machine-readable evidence to support IAM-related controls and CR26 Key Security Indicators. Evidence must be exportable in OSCAL-compatible format.</w:t>
      </w:r>
    </w:p>
    <w:p>
      <w:r>
        <w:rPr>
          <w:b/>
        </w:rPr>
        <w:t xml:space="preserve">FR-EVD-001: </w:t>
      </w:r>
      <w:r>
        <w:rPr>
          <w:sz w:val="18"/>
        </w:rPr>
        <w:t>Continuously collect and store evidence of completed access reviews (campaign ID, reviewer, decisions, timestamps, scope).</w:t>
      </w:r>
    </w:p>
    <w:p>
      <w:r>
        <w:rPr>
          <w:b/>
        </w:rPr>
        <w:t xml:space="preserve">FR-EVD-002: </w:t>
      </w:r>
      <w:r>
        <w:rPr>
          <w:sz w:val="18"/>
        </w:rPr>
        <w:t>Provide evidence of Entra ID Conditional Access policy enforcement and coverage (e.g., % of users covered by MFA policies).</w:t>
      </w:r>
    </w:p>
    <w:p>
      <w:r>
        <w:rPr>
          <w:b/>
        </w:rPr>
        <w:t xml:space="preserve">FR-EVD-003: </w:t>
      </w:r>
      <w:r>
        <w:rPr>
          <w:sz w:val="18"/>
        </w:rPr>
        <w:t>Generate evidence of least privilege / group membership accuracy by comparing HRIT Org SSOT authoritative state vs. current Entra ID state.</w:t>
      </w:r>
    </w:p>
    <w:p>
      <w:r>
        <w:rPr>
          <w:b/>
        </w:rPr>
        <w:t xml:space="preserve">FR-EVD-004: </w:t>
      </w:r>
      <w:r>
        <w:rPr>
          <w:sz w:val="18"/>
        </w:rPr>
        <w:t>Log all JML events with before/after state, approver (if applicable), and timestamps for audit and KSI purposes.</w:t>
      </w:r>
    </w:p>
    <w:p>
      <w:r>
        <w:rPr>
          <w:b/>
        </w:rPr>
        <w:t xml:space="preserve">FR-EVD-005: </w:t>
      </w:r>
      <w:r>
        <w:rPr>
          <w:sz w:val="18"/>
        </w:rPr>
        <w:t>Support export of evidence packages via the existing uiao oscal bundle or native OSCAL JSON/XML emitter.</w:t>
      </w:r>
    </w:p>
    <w:p>
      <w:r>
        <w:rPr>
          <w:b/>
        </w:rPr>
        <w:t xml:space="preserve">FR-EVD-006: </w:t>
      </w:r>
      <w:r>
        <w:rPr>
          <w:sz w:val="18"/>
        </w:rPr>
        <w:t>Maintain immutable audit logs of all kit activities suitable for FedRAMP assessor review.</w:t>
      </w:r>
    </w:p>
    <w:p>
      <w:pPr>
        <w:pStyle w:val="Heading1"/>
      </w:pPr>
      <w:r>
        <w:rPr>
          <w:color w:val="156082"/>
        </w:rPr>
        <w:t>4. Integration Requirements</w:t>
      </w:r>
    </w:p>
    <w:tbl>
      <w:tblPr>
        <w:tblStyle w:val="TableGrid"/>
        <w:tblW w:type="auto" w:w="0"/>
        <w:tblLook w:firstColumn="1" w:firstRow="1" w:lastColumn="0" w:lastRow="0" w:noHBand="0" w:noVBand="1" w:val="04A0"/>
      </w:tblPr>
      <w:tblGrid>
        <w:gridCol w:w="3408"/>
        <w:gridCol w:w="3408"/>
        <w:gridCol w:w="3408"/>
      </w:tblGrid>
      <w:tr>
        <w:tc>
          <w:tcPr>
            <w:tcW w:type="dxa" w:w="3408"/>
            <w:shd w:fill="156082"/>
          </w:tcPr>
          <w:p>
            <w:r>
              <w:rPr>
                <w:b/>
                <w:color w:val="FFFFFF"/>
                <w:sz w:val="16"/>
              </w:rPr>
              <w:t>System / Component</w:t>
            </w:r>
          </w:p>
        </w:tc>
        <w:tc>
          <w:tcPr>
            <w:tcW w:type="dxa" w:w="3408"/>
            <w:shd w:fill="156082"/>
          </w:tcPr>
          <w:p>
            <w:r>
              <w:rPr>
                <w:b/>
                <w:color w:val="FFFFFF"/>
                <w:sz w:val="16"/>
              </w:rPr>
              <w:t>Data / Capability</w:t>
            </w:r>
          </w:p>
        </w:tc>
        <w:tc>
          <w:tcPr>
            <w:tcW w:type="dxa" w:w="3408"/>
            <w:shd w:fill="156082"/>
          </w:tcPr>
          <w:p>
            <w:r>
              <w:rPr>
                <w:b/>
                <w:color w:val="FFFFFF"/>
                <w:sz w:val="16"/>
              </w:rPr>
              <w:t>Direction</w:t>
            </w:r>
          </w:p>
        </w:tc>
      </w:tr>
      <w:tr>
        <w:tc>
          <w:tcPr>
            <w:tcW w:type="dxa" w:w="3408"/>
          </w:tcPr>
          <w:p>
            <w:r>
              <w:rPr>
                <w:sz w:val="16"/>
              </w:rPr>
              <w:t>Entra ID (Microsoft Graph API v1.0 / beta)</w:t>
            </w:r>
          </w:p>
        </w:tc>
        <w:tc>
          <w:tcPr>
            <w:tcW w:type="dxa" w:w="3408"/>
          </w:tcPr>
          <w:p>
            <w:r>
              <w:rPr>
                <w:sz w:val="16"/>
              </w:rPr>
              <w:t>Users, Groups, Conditional Access Policies, Sign-in Logs, Audit Logs</w:t>
            </w:r>
          </w:p>
        </w:tc>
        <w:tc>
          <w:tcPr>
            <w:tcW w:type="dxa" w:w="3408"/>
          </w:tcPr>
          <w:p>
            <w:r>
              <w:rPr>
                <w:sz w:val="16"/>
              </w:rPr>
              <w:t>Read + limited Write (for provisioning/deprovisioning)</w:t>
            </w:r>
          </w:p>
        </w:tc>
      </w:tr>
      <w:tr>
        <w:tc>
          <w:tcPr>
            <w:tcW w:type="dxa" w:w="3408"/>
          </w:tcPr>
          <w:p>
            <w:r>
              <w:rPr>
                <w:sz w:val="16"/>
              </w:rPr>
              <w:t>AAN HRIT Org SSOT (Vol I Book 04)</w:t>
            </w:r>
          </w:p>
        </w:tc>
        <w:tc>
          <w:tcPr>
            <w:tcW w:type="dxa" w:w="3408"/>
          </w:tcPr>
          <w:p>
            <w:r>
              <w:rPr>
                <w:sz w:val="16"/>
              </w:rPr>
              <w:t>Authoritative organizational structure, supervisory relationships, position data, employment status</w:t>
            </w:r>
          </w:p>
        </w:tc>
        <w:tc>
          <w:tcPr>
            <w:tcW w:type="dxa" w:w="3408"/>
          </w:tcPr>
          <w:p>
            <w:r>
              <w:rPr>
                <w:sz w:val="16"/>
              </w:rPr>
              <w:t>Read (primary source of truth)</w:t>
            </w:r>
          </w:p>
        </w:tc>
      </w:tr>
      <w:tr>
        <w:tc>
          <w:tcPr>
            <w:tcW w:type="dxa" w:w="3408"/>
          </w:tcPr>
          <w:p>
            <w:r>
              <w:rPr>
                <w:sz w:val="16"/>
              </w:rPr>
              <w:t>Existing AAN ServiceNow Day-2 Kit (Vol IX)</w:t>
            </w:r>
          </w:p>
        </w:tc>
        <w:tc>
          <w:tcPr>
            <w:tcW w:type="dxa" w:w="3408"/>
          </w:tcPr>
          <w:p>
            <w:r>
              <w:rPr>
                <w:sz w:val="16"/>
              </w:rPr>
              <w:t>Shared workflows, CMDB, incident/ticket integration, telephony context</w:t>
            </w:r>
          </w:p>
        </w:tc>
        <w:tc>
          <w:tcPr>
            <w:tcW w:type="dxa" w:w="3408"/>
          </w:tcPr>
          <w:p>
            <w:r>
              <w:rPr>
                <w:sz w:val="16"/>
              </w:rPr>
              <w:t>Bidirectional</w:t>
            </w:r>
          </w:p>
        </w:tc>
      </w:tr>
      <w:tr>
        <w:tc>
          <w:tcPr>
            <w:tcW w:type="dxa" w:w="3408"/>
          </w:tcPr>
          <w:p>
            <w:r>
              <w:rPr>
                <w:sz w:val="16"/>
              </w:rPr>
              <w:t>AAN DDI / Landing Zone Kits (Vol VIII)</w:t>
            </w:r>
          </w:p>
        </w:tc>
        <w:tc>
          <w:tcPr>
            <w:tcW w:type="dxa" w:w="3408"/>
          </w:tcPr>
          <w:p>
            <w:r>
              <w:rPr>
                <w:sz w:val="16"/>
              </w:rPr>
              <w:t>Network context for Zero Trust decisions where relevant</w:t>
            </w:r>
          </w:p>
        </w:tc>
        <w:tc>
          <w:tcPr>
            <w:tcW w:type="dxa" w:w="3408"/>
          </w:tcPr>
          <w:p>
            <w:r>
              <w:rPr>
                <w:sz w:val="16"/>
              </w:rPr>
              <w:t>Read</w:t>
            </w:r>
          </w:p>
        </w:tc>
      </w:tr>
      <w:tr>
        <w:tc>
          <w:tcPr>
            <w:tcW w:type="dxa" w:w="3408"/>
          </w:tcPr>
          <w:p>
            <w:r>
              <w:rPr>
                <w:sz w:val="16"/>
              </w:rPr>
              <w:t>uiao oscal bundle / OSCAL Emitter</w:t>
            </w:r>
          </w:p>
        </w:tc>
        <w:tc>
          <w:tcPr>
            <w:tcW w:type="dxa" w:w="3408"/>
          </w:tcPr>
          <w:p>
            <w:r>
              <w:rPr>
                <w:sz w:val="16"/>
              </w:rPr>
              <w:t>Evidence packaging for authorization packages and ConMon</w:t>
            </w:r>
          </w:p>
        </w:tc>
        <w:tc>
          <w:tcPr>
            <w:tcW w:type="dxa" w:w="3408"/>
          </w:tcPr>
          <w:p>
            <w:r>
              <w:rPr>
                <w:sz w:val="16"/>
              </w:rPr>
              <w:t>Export</w:t>
            </w:r>
          </w:p>
        </w:tc>
      </w:tr>
      <w:tr>
        <w:tc>
          <w:tcPr>
            <w:tcW w:type="dxa" w:w="3408"/>
          </w:tcPr>
          <w:p>
            <w:r>
              <w:rPr>
                <w:sz w:val="16"/>
              </w:rPr>
              <w:t>Azure AD / Entra Conditional Access</w:t>
            </w:r>
          </w:p>
        </w:tc>
        <w:tc>
          <w:tcPr>
            <w:tcW w:type="dxa" w:w="3408"/>
          </w:tcPr>
          <w:p>
            <w:r>
              <w:rPr>
                <w:sz w:val="16"/>
              </w:rPr>
              <w:t>Policy evaluation results and coverage</w:t>
            </w:r>
          </w:p>
        </w:tc>
        <w:tc>
          <w:tcPr>
            <w:tcW w:type="dxa" w:w="3408"/>
          </w:tcPr>
          <w:p>
            <w:r>
              <w:rPr>
                <w:sz w:val="16"/>
              </w:rPr>
              <w:t>Read</w:t>
            </w:r>
          </w:p>
        </w:tc>
      </w:tr>
    </w:tbl>
    <w:p/>
    <w:p>
      <w:pPr>
        <w:pStyle w:val="Heading1"/>
      </w:pPr>
      <w:r>
        <w:rPr>
          <w:color w:val="156082"/>
        </w:rPr>
        <w:t>5. Non-Functional Requirements</w:t>
      </w:r>
    </w:p>
    <w:p>
      <w:r>
        <w:rPr>
          <w:b/>
        </w:rPr>
        <w:t xml:space="preserve">Security &amp; Compliance: </w:t>
      </w:r>
      <w:r>
        <w:rPr>
          <w:sz w:val="18"/>
        </w:rPr>
        <w:t>Must run in ServiceNow Government Cloud or approved environment. All sensitive identity data must be handled according to FedRAMP Moderate controls. Full audit logging required.</w:t>
      </w:r>
    </w:p>
    <w:p>
      <w:r>
        <w:rPr>
          <w:b/>
        </w:rPr>
        <w:t xml:space="preserve">Performance: </w:t>
      </w:r>
      <w:r>
        <w:rPr>
          <w:sz w:val="18"/>
        </w:rPr>
        <w:t>JML events processed within 15 minutes of source event. Access review campaigns must support up to 10,000+ users without degradation.</w:t>
      </w:r>
    </w:p>
    <w:p>
      <w:r>
        <w:rPr>
          <w:b/>
        </w:rPr>
        <w:t xml:space="preserve">Availability: </w:t>
      </w:r>
      <w:r>
        <w:rPr>
          <w:sz w:val="18"/>
        </w:rPr>
        <w:t>99.5% uptime aligned with ServiceNow Government Cloud SLA.</w:t>
      </w:r>
    </w:p>
    <w:p>
      <w:r>
        <w:rPr>
          <w:b/>
        </w:rPr>
        <w:t xml:space="preserve">Scalability: </w:t>
      </w:r>
      <w:r>
        <w:rPr>
          <w:sz w:val="18"/>
        </w:rPr>
        <w:t>Designed to support SSA-scale identity population (tens of thousands of users).</w:t>
      </w:r>
    </w:p>
    <w:p>
      <w:r>
        <w:rPr>
          <w:b/>
        </w:rPr>
        <w:t xml:space="preserve">Usability: </w:t>
      </w:r>
      <w:r>
        <w:rPr>
          <w:sz w:val="18"/>
        </w:rPr>
        <w:t>Intuitive reviewer experience with clear context from HRIT Org SSOT. Minimal training required for access reviewers.</w:t>
      </w:r>
    </w:p>
    <w:p>
      <w:r>
        <w:rPr>
          <w:b/>
        </w:rPr>
        <w:t xml:space="preserve">Maintainability: </w:t>
      </w:r>
      <w:r>
        <w:rPr>
          <w:sz w:val="18"/>
        </w:rPr>
        <w:t>Follow AAN kit development standards, including use of the compliance spine and ATF testing requirements.</w:t>
      </w:r>
    </w:p>
    <w:p>
      <w:r>
        <w:rPr>
          <w:b/>
        </w:rPr>
        <w:t xml:space="preserve">Evidence Integrity: </w:t>
      </w:r>
      <w:r>
        <w:rPr>
          <w:sz w:val="18"/>
        </w:rPr>
        <w:t>Evidence records must be immutable once generated. Cryptographic hashing or equivalent recommended for high-value evidence.</w:t>
      </w:r>
    </w:p>
    <w:p>
      <w:pPr>
        <w:pStyle w:val="Heading1"/>
      </w:pPr>
      <w:r>
        <w:rPr>
          <w:color w:val="156082"/>
        </w:rPr>
        <w:t>6. User Roles &amp; Personas</w:t>
      </w:r>
    </w:p>
    <w:p>
      <w:r>
        <w:rPr>
          <w:b/>
        </w:rPr>
        <w:t xml:space="preserve">Identity Administrator (AAN): </w:t>
      </w:r>
      <w:r>
        <w:rPr>
          <w:sz w:val="18"/>
        </w:rPr>
        <w:t>Configures integrations, JML workflows, certification templates, and evidence settings.</w:t>
      </w:r>
    </w:p>
    <w:p>
      <w:r>
        <w:rPr>
          <w:b/>
        </w:rPr>
        <w:t xml:space="preserve">Access Reviewer (Manager / Application Owner): </w:t>
      </w:r>
      <w:r>
        <w:rPr>
          <w:sz w:val="18"/>
        </w:rPr>
        <w:t>Reviews and certifies/revokes access for their teams or applications. Primary user of certification campaigns.</w:t>
      </w:r>
    </w:p>
    <w:p>
      <w:r>
        <w:rPr>
          <w:b/>
        </w:rPr>
        <w:t xml:space="preserve">Security / Compliance Analyst: </w:t>
      </w:r>
      <w:r>
        <w:rPr>
          <w:sz w:val="18"/>
        </w:rPr>
        <w:t>Monitors identity posture dashboards, reviews evidence packages, and investigates anomalies.</w:t>
      </w:r>
    </w:p>
    <w:p>
      <w:r>
        <w:rPr>
          <w:b/>
        </w:rPr>
        <w:t xml:space="preserve">ServiceNow Administrator: </w:t>
      </w:r>
      <w:r>
        <w:rPr>
          <w:sz w:val="18"/>
        </w:rPr>
        <w:t>Manages app installation, updates, integrations, and permissions within the ServiceNow platform.</w:t>
      </w:r>
    </w:p>
    <w:p>
      <w:r>
        <w:rPr>
          <w:b/>
        </w:rPr>
        <w:t xml:space="preserve">Auditor / Assessor: </w:t>
      </w:r>
      <w:r>
        <w:rPr>
          <w:sz w:val="18"/>
        </w:rPr>
        <w:t>Reviews immutable evidence and audit logs during assessments (read-only access to evidence artifacts).</w:t>
      </w:r>
    </w:p>
    <w:p>
      <w:pPr>
        <w:pStyle w:val="Heading1"/>
      </w:pPr>
      <w:r>
        <w:rPr>
          <w:color w:val="156082"/>
        </w:rPr>
        <w:t>7. Success Metrics &amp; KPIs</w:t>
      </w:r>
    </w:p>
    <w:p>
      <w:pPr>
        <w:pStyle w:val="ListBullet"/>
      </w:pPr>
      <w:r>
        <w:rPr>
          <w:sz w:val="18"/>
        </w:rPr>
        <w:t>Reduction in manual identity governance effort (target: 60%+ for in-scope processes).</w:t>
      </w:r>
    </w:p>
    <w:p>
      <w:pPr>
        <w:pStyle w:val="ListBullet"/>
      </w:pPr>
      <w:r>
        <w:rPr>
          <w:sz w:val="18"/>
        </w:rPr>
        <w:t>% of users covered by automated JML workflows (target: &gt;95% within 6 months of go-live).</w:t>
      </w:r>
    </w:p>
    <w:p>
      <w:pPr>
        <w:pStyle w:val="ListBullet"/>
      </w:pPr>
      <w:r>
        <w:rPr>
          <w:sz w:val="18"/>
        </w:rPr>
        <w:t>Access review campaign completion rate and average time-to-complete.</w:t>
      </w:r>
    </w:p>
    <w:p>
      <w:pPr>
        <w:pStyle w:val="ListBullet"/>
      </w:pPr>
      <w:r>
        <w:rPr>
          <w:sz w:val="18"/>
        </w:rPr>
        <w:t>Number of KSI evidence artifacts automatically generated per month.</w:t>
      </w:r>
    </w:p>
    <w:p>
      <w:pPr>
        <w:pStyle w:val="ListBullet"/>
      </w:pPr>
      <w:r>
        <w:rPr>
          <w:sz w:val="18"/>
        </w:rPr>
        <w:t>Reduction in time to produce IAM-related evidence for ConMon / assessments.</w:t>
      </w:r>
    </w:p>
    <w:p>
      <w:pPr>
        <w:pStyle w:val="ListBullet"/>
      </w:pPr>
      <w:r>
        <w:rPr>
          <w:sz w:val="18"/>
        </w:rPr>
        <w:t>Accuracy of HRIT Org SSOT ↔ Entra ID synchronization (target: &gt;99.5% attribute match).</w:t>
      </w:r>
    </w:p>
    <w:p>
      <w:pPr>
        <w:pStyle w:val="ListBullet"/>
      </w:pPr>
      <w:r>
        <w:rPr>
          <w:sz w:val="18"/>
        </w:rPr>
        <w:t>Stakeholder satisfaction (reviewers and security team) via quarterly survey.</w:t>
      </w:r>
    </w:p>
    <w:p>
      <w:pPr>
        <w:pStyle w:val="Heading1"/>
      </w:pPr>
      <w:r>
        <w:rPr>
          <w:color w:val="156082"/>
        </w:rPr>
        <w:t>8. Dependencies &amp; Assumptions</w:t>
      </w:r>
    </w:p>
    <w:p>
      <w:pPr>
        <w:pStyle w:val="ListBullet"/>
      </w:pPr>
      <w:r>
        <w:rPr>
          <w:sz w:val="18"/>
        </w:rPr>
        <w:t>AAN Vol I Book 04 (HRIT Identity &amp; Org SSOT) is implemented and providing reliable data.</w:t>
      </w:r>
    </w:p>
    <w:p>
      <w:pPr>
        <w:pStyle w:val="ListBullet"/>
      </w:pPr>
      <w:r>
        <w:rPr>
          <w:sz w:val="18"/>
        </w:rPr>
        <w:t>Entra ID environment is modernized per Vol I Book 05 (or on a parallel path).</w:t>
      </w:r>
    </w:p>
    <w:p>
      <w:pPr>
        <w:pStyle w:val="ListBullet"/>
      </w:pPr>
      <w:r>
        <w:rPr>
          <w:sz w:val="18"/>
        </w:rPr>
        <w:t>Existing AAN ServiceNow Day-2 and DDI kits are deployed.</w:t>
      </w:r>
    </w:p>
    <w:p>
      <w:pPr>
        <w:pStyle w:val="ListBullet"/>
      </w:pPr>
      <w:r>
        <w:rPr>
          <w:sz w:val="18"/>
        </w:rPr>
        <w:t>ServiceNow Government Cloud instance is available and appropriately licensed.</w:t>
      </w:r>
    </w:p>
    <w:p>
      <w:pPr>
        <w:pStyle w:val="ListBullet"/>
      </w:pPr>
      <w:r>
        <w:rPr>
          <w:sz w:val="18"/>
        </w:rPr>
        <w:t>Microsoft Graph API access and necessary Entra ID permissions are granted.</w:t>
      </w:r>
    </w:p>
    <w:p>
      <w:pPr>
        <w:pStyle w:val="ListBullet"/>
      </w:pPr>
      <w:r>
        <w:rPr>
          <w:sz w:val="18"/>
        </w:rPr>
        <w:t>uiao oscal bundle or equivalent OSCAL tooling is available and maintained.</w:t>
      </w:r>
    </w:p>
    <w:p>
      <w:pPr>
        <w:pStyle w:val="Heading1"/>
      </w:pPr>
      <w:r>
        <w:rPr>
          <w:color w:val="156082"/>
        </w:rPr>
        <w:t>9. Out of Scope &amp; Future Considerations</w:t>
      </w:r>
    </w:p>
    <w:p>
      <w:r>
        <w:rPr>
          <w:i/>
        </w:rPr>
        <w:t>Future enhancements (Phase 3+) may include:</w:t>
      </w:r>
    </w:p>
    <w:p>
      <w:pPr>
        <w:pStyle w:val="ListBullet"/>
      </w:pPr>
      <w:r>
        <w:rPr>
          <w:sz w:val="18"/>
        </w:rPr>
        <w:t>AI-assisted access recommendations and anomaly detection.</w:t>
      </w:r>
    </w:p>
    <w:p>
      <w:pPr>
        <w:pStyle w:val="ListBullet"/>
      </w:pPr>
      <w:r>
        <w:rPr>
          <w:sz w:val="18"/>
        </w:rPr>
        <w:t>Just-in-Time (JIT) / Privileged Access Management workflows.</w:t>
      </w:r>
    </w:p>
    <w:p>
      <w:pPr>
        <w:pStyle w:val="ListBullet"/>
      </w:pPr>
      <w:r>
        <w:rPr>
          <w:sz w:val="18"/>
        </w:rPr>
        <w:t>Expanded support for non-Entra identity sources.</w:t>
      </w:r>
    </w:p>
    <w:p>
      <w:pPr>
        <w:pStyle w:val="ListBullet"/>
      </w:pPr>
      <w:r>
        <w:rPr>
          <w:sz w:val="18"/>
        </w:rPr>
        <w:t>Automated remediation playbooks with human-in-the-loop approval.</w:t>
      </w:r>
    </w:p>
    <w:p>
      <w:pPr>
        <w:pStyle w:val="ListBullet"/>
      </w:pPr>
      <w:r>
        <w:rPr>
          <w:sz w:val="18"/>
        </w:rPr>
        <w:t>Advanced analytics dashboard with risk scoring and trend analysis.</w:t>
      </w:r>
    </w:p>
    <w:p>
      <w:r>
        <w:rPr>
          <w:sz w:val="16"/>
        </w:rPr>
        <w:br/>
        <w:t>---</w:t>
        <w:br/>
      </w:r>
    </w:p>
    <w:p>
      <w:r>
        <w:rPr>
          <w:i/>
          <w:sz w:val="16"/>
        </w:rPr>
        <w:t>This is a draft requirements document aligned with the AAN Federal Series (July 2026). It is intended for review by CSI, OIS, and ServiceNow stakeholders. Final requirements will be refined through workshops and alignment with the CR26 Indicator Mapping effort.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