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6082"/>
          <w:sz w:val="32"/>
        </w:rPr>
        <w:t>SSA Federal Application-Aware Networking (FedAAN)</w:t>
      </w:r>
    </w:p>
    <w:p>
      <w:pPr>
        <w:jc w:val="center"/>
        <w:pBdr>
          <w:bottom w:val="single" w:sz="6" w:space="1" w:color="156082"/>
        </w:pBdr>
      </w:pPr>
      <w:r>
        <w:rPr>
          <w:color w:val="595959"/>
          <w:sz w:val="20"/>
        </w:rPr>
        <w:t>Executive At-a-Glance  |  One-Page Decision Summary  |  July 2026</w:t>
      </w:r>
    </w:p>
    <w:p>
      <w:r>
        <w:rPr>
          <w:b/>
          <w:sz w:val="20"/>
        </w:rPr>
        <w:t xml:space="preserve">Core Thesis: </w:t>
      </w:r>
      <w:r>
        <w:rPr>
          <w:sz w:val="18"/>
        </w:rPr>
        <w:t>SSA’s federal compliance debt is not a resource shortage — it is an architectural pattern mismatch. The current perimeter-based estate cannot satisfy Executive Order 14028, TIC 3.0, and FedRAMP 20x / CR26 requirements at any spend level. This series delivers the required substrate (authoritative naming, cryptographic identity, and HR-anchored organizational SSOT) plus modernization tracks to close controls with continuous, machine-readable evidence.</w:t>
      </w:r>
    </w:p>
    <w:tbl>
      <w:tblPr>
        <w:tblW w:type="auto" w:w="0"/>
        <w:jc w:val="center"/>
        <w:tblLayout w:type="fixed"/>
        <w:tblLook w:firstColumn="1" w:firstRow="1" w:lastColumn="0" w:lastRow="0" w:noHBand="0" w:noVBand="1" w:val="04A0"/>
      </w:tblPr>
      <w:tblGrid>
        <w:gridCol w:w="5256"/>
        <w:gridCol w:w="5256"/>
      </w:tblGrid>
      <w:tr>
        <w:tc>
          <w:tcPr>
            <w:tcW w:type="dxa" w:w="5184"/>
          </w:tcPr>
          <w:p>
            <w:r>
              <w:rPr>
                <w:b/>
                <w:color w:val="156082"/>
                <w:sz w:val="20"/>
              </w:rPr>
              <w:t>What This Delivers</w:t>
            </w:r>
          </w:p>
          <w:p>
            <w:pPr>
              <w:pStyle w:val="ListBullet"/>
            </w:pPr>
            <w:r>
              <w:rPr>
                <w:sz w:val="16"/>
              </w:rPr>
              <w:t>34 distinct NIST SP 800-53 Rev. 5 controls closed with automated, KSI-ready evidence</w:t>
            </w:r>
          </w:p>
          <w:p>
            <w:pPr>
              <w:pStyle w:val="ListBullet"/>
            </w:pPr>
            <w:r>
              <w:rPr>
                <w:sz w:val="16"/>
              </w:rPr>
              <w:t>29 KSI rules satisfied under internal decomposition for continuous ConMon</w:t>
            </w:r>
          </w:p>
          <w:p>
            <w:pPr>
              <w:pStyle w:val="ListBullet"/>
            </w:pPr>
            <w:r>
              <w:rPr>
                <w:sz w:val="16"/>
              </w:rPr>
              <w:t>Series-wide coverage of 146 distinct controls</w:t>
            </w:r>
          </w:p>
          <w:p>
            <w:pPr>
              <w:pStyle w:val="ListBullet"/>
            </w:pPr>
            <w:r>
              <w:rPr>
                <w:sz w:val="16"/>
              </w:rPr>
              <w:t>Enables inherited authorization reconciliation under new FedRAMP timelines</w:t>
            </w:r>
          </w:p>
        </w:tc>
        <w:tc>
          <w:tcPr>
            <w:tcW w:type="dxa" w:w="5184"/>
          </w:tcPr>
          <w:p>
            <w:r>
              <w:rPr>
                <w:b/>
                <w:color w:val="156082"/>
                <w:sz w:val="20"/>
              </w:rPr>
              <w:t>Illustrative 3-Year Value (Conservative)</w:t>
            </w:r>
          </w:p>
          <w:p>
            <w:r>
              <w:rPr>
                <w:b/>
                <w:color w:val="196F3D"/>
                <w:sz w:val="22"/>
              </w:rPr>
              <w:t>$10M – $25M+ total cost avoidance / value</w:t>
              <w:br/>
            </w:r>
          </w:p>
          <w:p>
            <w:r>
              <w:rPr>
                <w:sz w:val="16"/>
              </w:rPr>
              <w:t>(Midpoint ~$17M) with ongoing annual run-rate savings of $2M – $5.5M+ after initial investment. Based on avoided assessment/remediation costs, ConMon automation (60-80% effort reduction), operational efficiency, and breach risk reduction.</w:t>
            </w:r>
          </w:p>
        </w:tc>
      </w:tr>
    </w:tbl>
    <w:p/>
    <w:p>
      <w:r>
        <w:rPr>
          <w:b/>
          <w:color w:val="156082"/>
          <w:sz w:val="20"/>
        </w:rPr>
        <w:t>Binding Deadlines That Drive Urgency</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56082"/>
          </w:tcPr>
          <w:p>
            <w:r>
              <w:rPr>
                <w:b/>
                <w:color w:val="FFFFFF"/>
                <w:sz w:val="16"/>
              </w:rPr>
              <w:t>Date</w:t>
            </w:r>
          </w:p>
        </w:tc>
        <w:tc>
          <w:tcPr>
            <w:tcW w:type="dxa" w:w="3504"/>
            <w:shd w:fill="156082"/>
          </w:tcPr>
          <w:p>
            <w:r>
              <w:rPr>
                <w:b/>
                <w:color w:val="FFFFFF"/>
                <w:sz w:val="16"/>
              </w:rPr>
              <w:t>Event</w:t>
            </w:r>
          </w:p>
        </w:tc>
        <w:tc>
          <w:tcPr>
            <w:tcW w:type="dxa" w:w="3504"/>
            <w:shd w:fill="156082"/>
          </w:tcPr>
          <w:p>
            <w:r>
              <w:rPr>
                <w:b/>
                <w:color w:val="FFFFFF"/>
                <w:sz w:val="16"/>
              </w:rPr>
              <w:t>Why It Binds SSA</w:t>
            </w:r>
          </w:p>
        </w:tc>
      </w:tr>
      <w:tr>
        <w:tc>
          <w:tcPr>
            <w:tcW w:type="dxa" w:w="3504"/>
          </w:tcPr>
          <w:p>
            <w:r>
              <w:rPr>
                <w:sz w:val="16"/>
              </w:rPr>
              <w:t>Aug 31, 2026</w:t>
            </w:r>
          </w:p>
        </w:tc>
        <w:tc>
          <w:tcPr>
            <w:tcW w:type="dxa" w:w="3504"/>
          </w:tcPr>
          <w:p>
            <w:r>
              <w:rPr>
                <w:sz w:val="16"/>
              </w:rPr>
              <w:t>FedRAMP 20x Class B + C opens</w:t>
            </w:r>
          </w:p>
        </w:tc>
        <w:tc>
          <w:tcPr>
            <w:tcW w:type="dxa" w:w="3504"/>
          </w:tcPr>
          <w:p>
            <w:r>
              <w:rPr>
                <w:sz w:val="16"/>
              </w:rPr>
              <w:t>Window for inherited Moderate providers; substrate must exist to structure evidence cleanly</w:t>
            </w:r>
          </w:p>
        </w:tc>
      </w:tr>
      <w:tr>
        <w:tc>
          <w:tcPr>
            <w:tcW w:type="dxa" w:w="3504"/>
          </w:tcPr>
          <w:p>
            <w:r>
              <w:rPr>
                <w:sz w:val="16"/>
              </w:rPr>
              <w:t>Dec 7, 2026</w:t>
            </w:r>
          </w:p>
        </w:tc>
        <w:tc>
          <w:tcPr>
            <w:tcW w:type="dxa" w:w="3504"/>
          </w:tcPr>
          <w:p>
            <w:r>
              <w:rPr>
                <w:sz w:val="16"/>
              </w:rPr>
              <w:t>BOD 26-04 VDR/VER in force</w:t>
            </w:r>
          </w:p>
        </w:tc>
        <w:tc>
          <w:tcPr>
            <w:tcW w:type="dxa" w:w="3504"/>
          </w:tcPr>
          <w:p>
            <w:r>
              <w:rPr>
                <w:sz w:val="16"/>
              </w:rPr>
              <w:t>SBOM + vendor disclosure required; risk-based remediation timelines begin</w:t>
            </w:r>
          </w:p>
        </w:tc>
      </w:tr>
      <w:tr>
        <w:tc>
          <w:tcPr>
            <w:tcW w:type="dxa" w:w="3504"/>
          </w:tcPr>
          <w:p>
            <w:r>
              <w:rPr>
                <w:sz w:val="16"/>
              </w:rPr>
              <w:t>Jan 1, 2027</w:t>
            </w:r>
          </w:p>
        </w:tc>
        <w:tc>
          <w:tcPr>
            <w:tcW w:type="dxa" w:w="3504"/>
          </w:tcPr>
          <w:p>
            <w:r>
              <w:rPr>
                <w:sz w:val="16"/>
              </w:rPr>
              <w:t>CR26 mandatory</w:t>
            </w:r>
          </w:p>
        </w:tc>
        <w:tc>
          <w:tcPr>
            <w:tcW w:type="dxa" w:w="3504"/>
          </w:tcPr>
          <w:p>
            <w:r>
              <w:rPr>
                <w:sz w:val="16"/>
              </w:rPr>
              <w:t>All ConMon evidence must be machine-readable KSI format — periodic manual assembly will not suffice</w:t>
            </w:r>
          </w:p>
        </w:tc>
      </w:tr>
    </w:tbl>
    <w:p/>
    <w:p>
      <w:r>
        <w:rPr>
          <w:b/>
          <w:color w:val="156082"/>
          <w:sz w:val="20"/>
        </w:rPr>
        <w:t>Decisions Required from OIS / CIO (by Aug 31, 2026 window)</w:t>
      </w:r>
    </w:p>
    <w:p>
      <w:pPr>
        <w:pStyle w:val="ListNumber"/>
      </w:pPr>
      <w:r>
        <w:rPr>
          <w:sz w:val="16"/>
        </w:rPr>
        <w:t>Endorse (or redirect) the architecture doctrine and substrate approach.</w:t>
      </w:r>
    </w:p>
    <w:p>
      <w:pPr>
        <w:pStyle w:val="ListNumber"/>
      </w:pPr>
      <w:r>
        <w:rPr>
          <w:sz w:val="16"/>
        </w:rPr>
        <w:t>Direct the internal-rules → CR26 reconciliation and schedule the independent SCA.</w:t>
      </w:r>
    </w:p>
    <w:p>
      <w:pPr>
        <w:pStyle w:val="ListNumber"/>
      </w:pPr>
      <w:r>
        <w:rPr>
          <w:sz w:val="16"/>
        </w:rPr>
        <w:t>Decide the Volume VIII multi-cloud breadth (Azure primary; AWS/GCP/OCI/VMware exception).</w:t>
      </w:r>
    </w:p>
    <w:p>
      <w:pPr>
        <w:pStyle w:val="ListNumber"/>
      </w:pPr>
      <w:r>
        <w:rPr>
          <w:sz w:val="16"/>
        </w:rPr>
        <w:t>Accept or redirect the ServiceNow High-on-Moderate boundary treatment.</w:t>
      </w:r>
    </w:p>
    <w:p>
      <w:pPr>
        <w:pStyle w:val="ListNumber"/>
      </w:pPr>
      <w:r>
        <w:rPr>
          <w:sz w:val="16"/>
        </w:rPr>
        <w:t>Assign ownership and budget for the substrate implementation (naming, identity, org SSOT, evidence planes).</w:t>
      </w:r>
    </w:p>
    <w:p>
      <w:r>
        <w:rPr>
          <w:b/>
          <w:sz w:val="18"/>
        </w:rPr>
        <w:t xml:space="preserve">Cost of Inaction: </w:t>
      </w:r>
      <w:r>
        <w:rPr>
          <w:sz w:val="16"/>
        </w:rPr>
        <w:t>Inherited authorizations stop reconciling. Recurring POA&amp;M findings (CM-8, SC-8, SC-20/21) become permanent. Spend without the pattern change buys tools that measure gaps they cannot close. The Jan 1, 2027 mandate becomes unachievable on current trajectory.</w:t>
      </w:r>
    </w:p>
    <w:p>
      <w:r>
        <w:rPr>
          <w:b/>
          <w:color w:val="196F3D"/>
          <w:sz w:val="20"/>
        </w:rPr>
        <w:t xml:space="preserve">Bottom Line: </w:t>
      </w:r>
      <w:r>
        <w:rPr>
          <w:sz w:val="18"/>
        </w:rPr>
        <w:t>This is not optional modernization. It is the structural prerequisite for any viable Moderate authorization whose evidence survives the FedRAMP 20x transition. The investment pays for itself multiple times over in avoided compliance drag, operational efficiency, and reduced risk — while making the binding deadlines achievable.</w:t>
      </w:r>
    </w:p>
    <w:p>
      <w:pPr>
        <w:jc w:val="center"/>
      </w:pPr>
      <w:r>
        <w:rPr>
          <w:i/>
          <w:color w:val="808080"/>
          <w:sz w:val="14"/>
        </w:rPr>
        <w:t>Draft — Self-assessed. Pending OIS/CIO review and independent SCA. Full detail in Vol 0 Executive Summary and Control Crosswalk.</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