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pPr>
        <w:pStyle w:val="BodyText"/>
      </w:pPr>
      <w:r>
        <w:t xml:space="preserve">A-01 | Global Naming Convention | Approved |</w:t>
      </w:r>
    </w:p>
    <w:p>
      <w:pPr>
        <w:pStyle w:val="BodyText"/>
      </w:pPr>
      <w:r>
        <w:t xml:space="preserve">A-02 | Global IP Addressing Standard | Approved |</w:t>
      </w:r>
    </w:p>
    <w:p>
      <w:pPr>
        <w:pStyle w:val="BodyText"/>
      </w:pPr>
      <w:r>
        <w:t xml:space="preserve">A-03 | Global VLAN Assignment Standard | Approved |</w:t>
      </w:r>
    </w:p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