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9.png" ContentType="image/png"/>
  <Override PartName="/word/media/rId13.png" ContentType="image/png"/>
  <Override PartName="/word/media/rId73.png" ContentType="image/png"/>
  <Override PartName="/word/media/rId87.png" ContentType="image/png"/>
  <Override PartName="/word/media/rId19.png" ContentType="image/png"/>
  <Override PartName="/word/media/rId28.png" ContentType="image/png"/>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14:45 ET</w:t>
            </w:r>
          </w:p>
          <w:p/>
        </w:tc>
      </w:tr>
    </w:tbl>
    <w:bookmarkStart w:id="12" w:name="about-this-document"/>
    <w:p>
      <w:pPr>
        <w:pStyle w:val="Heading2"/>
      </w:pPr>
      <w:r>
        <w:t xml:space="preserve">About This Document</w:t>
      </w:r>
    </w:p>
    <w:p>
      <w:pPr>
        <w:pStyle w:val="FirstParagraph"/>
      </w:pPr>
      <w:r>
        <w:t xml:space="preserve">This series was developed by the</w:t>
      </w:r>
      <w:r>
        <w:t xml:space="preserve"> </w:t>
      </w:r>
      <w:r>
        <w:rPr>
          <w:b/>
          <w:bCs/>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
          <w:bCs/>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
          <w:bCs/>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
          <w:bCs/>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
          <w:bCs/>
        </w:rPr>
        <w:t xml:space="preserve">Expected revision process:</w:t>
      </w:r>
      <w:r>
        <w:t xml:space="preserve"> </w:t>
      </w:r>
      <w:r>
        <w:t xml:space="preserve">This roadmap will necessarily be modified as it is reviewed by:</w:t>
      </w:r>
    </w:p>
    <w:p>
      <w:pPr>
        <w:pStyle w:val="Compact"/>
        <w:numPr>
          <w:ilvl w:val="0"/>
          <w:numId w:val="1001"/>
        </w:numPr>
      </w:pPr>
      <w:r>
        <w:rPr>
          <w:b/>
          <w:bCs/>
        </w:rPr>
        <w:t xml:space="preserve">CIO Office</w:t>
      </w:r>
      <w:r>
        <w:t xml:space="preserve"> </w:t>
      </w:r>
      <w:r>
        <w:t xml:space="preserve">— strategic direction, enterprise architecture alignment, and prioritization</w:t>
      </w:r>
    </w:p>
    <w:p>
      <w:pPr>
        <w:pStyle w:val="Compact"/>
        <w:numPr>
          <w:ilvl w:val="0"/>
          <w:numId w:val="1001"/>
        </w:numPr>
      </w:pPr>
      <w:r>
        <w:rPr>
          <w:b/>
          <w:bCs/>
        </w:rPr>
        <w:t xml:space="preserve">Office of Information Security (OIS)</w:t>
      </w:r>
      <w:r>
        <w:t xml:space="preserve"> </w:t>
      </w:r>
      <w:r>
        <w:t xml:space="preserve">— security policy, control ownership, assessment methodology, and risk acceptance authority</w:t>
      </w:r>
    </w:p>
    <w:p>
      <w:pPr>
        <w:pStyle w:val="Compact"/>
        <w:numPr>
          <w:ilvl w:val="0"/>
          <w:numId w:val="1001"/>
        </w:numPr>
      </w:pPr>
      <w:r>
        <w:rPr>
          <w:b/>
          <w:bCs/>
        </w:rPr>
        <w:t xml:space="preserve">Organizational leaders</w:t>
      </w:r>
      <w:r>
        <w:t xml:space="preserve"> </w:t>
      </w:r>
      <w:r>
        <w:t xml:space="preserve">— operational feasibility, resource capacity, and accountability mapping across SSA’s organizational units</w:t>
      </w:r>
    </w:p>
    <w:p>
      <w:pPr>
        <w:pStyle w:val="Compact"/>
        <w:numPr>
          <w:ilvl w:val="0"/>
          <w:numId w:val="1001"/>
        </w:numPr>
      </w:pPr>
      <w:r>
        <w:rPr>
          <w:b/>
          <w:bCs/>
        </w:rPr>
        <w:t xml:space="preserve">Program offices</w:t>
      </w:r>
      <w:r>
        <w:t xml:space="preserve"> </w:t>
      </w:r>
      <w:r>
        <w:t xml:space="preserve">— system-specific applicability of the recommended controls and implementation sequencing</w:t>
      </w:r>
    </w:p>
    <w:p>
      <w:pPr>
        <w:pStyle w:val="FirstParagraph"/>
      </w:pPr>
      <w:r>
        <w:rPr>
          <w:b/>
          <w:bCs/>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
          <w:bCs/>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
          <w:bCs/>
        </w:rPr>
        <w:t xml:space="preserve">Books 01–04 — Substrate</w:t>
      </w:r>
      <w:r>
        <w:t xml:space="preserve"> </w:t>
      </w:r>
      <w:r>
        <w:t xml:space="preserve">(naming, identity, and trust foundations):</w:t>
      </w:r>
    </w:p>
    <w:p>
      <w:pPr>
        <w:pStyle w:val="Compact"/>
        <w:numPr>
          <w:ilvl w:val="0"/>
          <w:numId w:val="1002"/>
        </w:numPr>
      </w:pPr>
      <w:r>
        <w:rPr>
          <w:b/>
          <w:bCs/>
        </w:rPr>
        <w:t xml:space="preserve">Book 01</w:t>
      </w:r>
      <w:r>
        <w:t xml:space="preserve"> </w:t>
      </w:r>
      <w:r>
        <w:t xml:space="preserve">— DDI/IPAM naming-and-addressing plane — 16 NIST SP 800-53 Rev 5 controls</w:t>
      </w:r>
    </w:p>
    <w:p>
      <w:pPr>
        <w:pStyle w:val="Compact"/>
        <w:numPr>
          <w:ilvl w:val="0"/>
          <w:numId w:val="1002"/>
        </w:numPr>
      </w:pPr>
      <w:r>
        <w:rPr>
          <w:b/>
          <w:bCs/>
        </w:rPr>
        <w:t xml:space="preserve">Book 02</w:t>
      </w:r>
      <w:r>
        <w:t xml:space="preserve"> </w:t>
      </w:r>
      <w:r>
        <w:t xml:space="preserve">— Network Access Control (802.1X EAP-TLS, RADIUS, device identity at the port)</w:t>
      </w:r>
    </w:p>
    <w:p>
      <w:pPr>
        <w:pStyle w:val="Compact"/>
        <w:numPr>
          <w:ilvl w:val="0"/>
          <w:numId w:val="1002"/>
        </w:numPr>
      </w:pPr>
      <w:r>
        <w:rPr>
          <w:b/>
          <w:bCs/>
        </w:rPr>
        <w:t xml:space="preserve">Book 03</w:t>
      </w:r>
      <w:r>
        <w:t xml:space="preserve"> </w:t>
      </w:r>
      <w:r>
        <w:t xml:space="preserve">— Certificates &amp; Tokens — the cryptographic identity layer every session-less architecture depends on</w:t>
      </w:r>
    </w:p>
    <w:p>
      <w:pPr>
        <w:pStyle w:val="Compact"/>
        <w:numPr>
          <w:ilvl w:val="0"/>
          <w:numId w:val="1002"/>
        </w:numPr>
      </w:pPr>
      <w:r>
        <w:rPr>
          <w:b/>
          <w:bCs/>
        </w:rPr>
        <w:t xml:space="preserve">Book 04</w:t>
      </w:r>
      <w:r>
        <w:t xml:space="preserve"> </w:t>
      </w:r>
      <w:r>
        <w:t xml:space="preserve">— OPM HRIT Identity &amp; Org SSOT — the HR system of record whose worker records underpin every token, account, and access decision</w:t>
      </w:r>
    </w:p>
    <w:p>
      <w:pPr>
        <w:pStyle w:val="FirstParagraph"/>
      </w:pPr>
      <w:r>
        <w:rPr>
          <w:b/>
          <w:bCs/>
        </w:rPr>
        <w:t xml:space="preserve">Books 05–09 — Modernization Tracks</w:t>
      </w:r>
      <w:r>
        <w:t xml:space="preserve"> </w:t>
      </w:r>
      <w:r>
        <w:t xml:space="preserve">— closing</w:t>
      </w:r>
      <w:r>
        <w:t xml:space="preserve"> </w:t>
      </w:r>
      <w:r>
        <w:rPr>
          <w:b/>
          <w:bCs/>
        </w:rPr>
        <w:t xml:space="preserve">34 distinct NIST SP 800-53 Rev 5 controls</w:t>
      </w:r>
      <w:r>
        <w:t xml:space="preserve"> </w:t>
      </w:r>
      <w:r>
        <w:t xml:space="preserve">across the original six tracks:</w:t>
      </w:r>
    </w:p>
    <w:p>
      <w:pPr>
        <w:pStyle w:val="Compact"/>
        <w:numPr>
          <w:ilvl w:val="0"/>
          <w:numId w:val="1003"/>
        </w:numPr>
      </w:pPr>
      <w:r>
        <w:rPr>
          <w:b/>
          <w:bCs/>
        </w:rPr>
        <w:t xml:space="preserve">Book 05</w:t>
      </w:r>
      <w:r>
        <w:t xml:space="preserve"> </w:t>
      </w:r>
      <w:r>
        <w:t xml:space="preserve">— Network and Identity Modernization (Entra ID, ZTNA, Active Governance)</w:t>
      </w:r>
    </w:p>
    <w:p>
      <w:pPr>
        <w:pStyle w:val="Compact"/>
        <w:numPr>
          <w:ilvl w:val="0"/>
          <w:numId w:val="1003"/>
        </w:numPr>
      </w:pPr>
      <w:r>
        <w:rPr>
          <w:b/>
          <w:bCs/>
        </w:rPr>
        <w:t xml:space="preserve">Book 06</w:t>
      </w:r>
      <w:r>
        <w:t xml:space="preserve"> </w:t>
      </w:r>
      <w:r>
        <w:t xml:space="preserve">— Federal Telecommunications Modernization (SD-WAN, SASE)</w:t>
      </w:r>
    </w:p>
    <w:p>
      <w:pPr>
        <w:pStyle w:val="Compact"/>
        <w:numPr>
          <w:ilvl w:val="0"/>
          <w:numId w:val="1003"/>
        </w:numPr>
      </w:pPr>
      <w:r>
        <w:rPr>
          <w:b/>
          <w:bCs/>
        </w:rPr>
        <w:t xml:space="preserve">Books 07–08</w:t>
      </w:r>
      <w:r>
        <w:t xml:space="preserve"> </w:t>
      </w:r>
      <w:r>
        <w:t xml:space="preserve">— SQL Server Authentication Modernization and Implementation Guide</w:t>
      </w:r>
    </w:p>
    <w:p>
      <w:pPr>
        <w:pStyle w:val="Compact"/>
        <w:numPr>
          <w:ilvl w:val="0"/>
          <w:numId w:val="1003"/>
        </w:numPr>
      </w:pPr>
      <w:r>
        <w:rPr>
          <w:b/>
          <w:bCs/>
        </w:rPr>
        <w:t xml:space="preserve">Book 09</w:t>
      </w:r>
      <w:r>
        <w:t xml:space="preserve"> </w:t>
      </w:r>
      <w:r>
        <w:t xml:space="preserve">— Database Consolidation and Network Physics</w:t>
      </w:r>
    </w:p>
    <w:p>
      <w:pPr>
        <w:pStyle w:val="FirstParagraph"/>
      </w:pPr>
      <w:r>
        <w:rPr>
          <w:b/>
          <w:bCs/>
        </w:rPr>
        <w:t xml:space="preserve">Books 10–14 — Security Operations</w:t>
      </w:r>
      <w:r>
        <w:t xml:space="preserve"> </w:t>
      </w:r>
      <w:r>
        <w:t xml:space="preserve">— approximately</w:t>
      </w:r>
      <w:r>
        <w:t xml:space="preserve"> </w:t>
      </w:r>
      <w:r>
        <w:rPr>
          <w:b/>
          <w:bCs/>
        </w:rPr>
        <w:t xml:space="preserve">55 additional controls</w:t>
      </w:r>
      <w:r>
        <w:t xml:space="preserve"> </w:t>
      </w:r>
      <w:r>
        <w:t xml:space="preserve">across the AC, RA, MP, SC, AU, SI, IR, and CP families:</w:t>
      </w:r>
    </w:p>
    <w:p>
      <w:pPr>
        <w:pStyle w:val="Compact"/>
        <w:numPr>
          <w:ilvl w:val="0"/>
          <w:numId w:val="1004"/>
        </w:numPr>
      </w:pPr>
      <w:r>
        <w:rPr>
          <w:b/>
          <w:bCs/>
        </w:rPr>
        <w:t xml:space="preserve">Book 10</w:t>
      </w:r>
      <w:r>
        <w:t xml:space="preserve"> </w:t>
      </w:r>
      <w:r>
        <w:t xml:space="preserve">— Privileged Access Management</w:t>
      </w:r>
    </w:p>
    <w:p>
      <w:pPr>
        <w:pStyle w:val="Compact"/>
        <w:numPr>
          <w:ilvl w:val="0"/>
          <w:numId w:val="1004"/>
        </w:numPr>
      </w:pPr>
      <w:r>
        <w:rPr>
          <w:b/>
          <w:bCs/>
        </w:rPr>
        <w:t xml:space="preserve">Book 11</w:t>
      </w:r>
      <w:r>
        <w:t xml:space="preserve"> </w:t>
      </w:r>
      <w:r>
        <w:t xml:space="preserve">— Vulnerability Management</w:t>
      </w:r>
    </w:p>
    <w:p>
      <w:pPr>
        <w:pStyle w:val="Compact"/>
        <w:numPr>
          <w:ilvl w:val="0"/>
          <w:numId w:val="1004"/>
        </w:numPr>
      </w:pPr>
      <w:r>
        <w:rPr>
          <w:b/>
          <w:bCs/>
        </w:rPr>
        <w:t xml:space="preserve">Book 12</w:t>
      </w:r>
      <w:r>
        <w:t xml:space="preserve"> </w:t>
      </w:r>
      <w:r>
        <w:t xml:space="preserve">— Data Protection and Purview</w:t>
      </w:r>
    </w:p>
    <w:p>
      <w:pPr>
        <w:pStyle w:val="Compact"/>
        <w:numPr>
          <w:ilvl w:val="0"/>
          <w:numId w:val="1004"/>
        </w:numPr>
      </w:pPr>
      <w:r>
        <w:rPr>
          <w:b/>
          <w:bCs/>
        </w:rPr>
        <w:t xml:space="preserve">Book 13</w:t>
      </w:r>
      <w:r>
        <w:t xml:space="preserve"> </w:t>
      </w:r>
      <w:r>
        <w:t xml:space="preserve">— SIEM/XDR Detection Engineering</w:t>
      </w:r>
    </w:p>
    <w:p>
      <w:pPr>
        <w:pStyle w:val="Compact"/>
        <w:numPr>
          <w:ilvl w:val="0"/>
          <w:numId w:val="1004"/>
        </w:numPr>
      </w:pPr>
      <w:r>
        <w:rPr>
          <w:b/>
          <w:bCs/>
        </w:rPr>
        <w:t xml:space="preserve">Book 14</w:t>
      </w:r>
      <w:r>
        <w:t xml:space="preserve"> </w:t>
      </w:r>
      <w:r>
        <w:t xml:space="preserve">— Business Continuity</w:t>
      </w:r>
    </w:p>
    <w:p>
      <w:pPr>
        <w:pStyle w:val="FirstParagraph"/>
      </w:pPr>
      <w:r>
        <w:rPr>
          <w:b/>
          <w:bCs/>
        </w:rPr>
        <w:t xml:space="preserve">Books 15–17 — Risk and Program Governance</w:t>
      </w:r>
      <w:r>
        <w:t xml:space="preserve"> </w:t>
      </w:r>
      <w:r>
        <w:t xml:space="preserve">(SR, PM, and PT control families):</w:t>
      </w:r>
    </w:p>
    <w:p>
      <w:pPr>
        <w:pStyle w:val="Compact"/>
        <w:numPr>
          <w:ilvl w:val="0"/>
          <w:numId w:val="1005"/>
        </w:numPr>
      </w:pPr>
      <w:r>
        <w:rPr>
          <w:b/>
          <w:bCs/>
        </w:rPr>
        <w:t xml:space="preserve">Book 15</w:t>
      </w:r>
      <w:r>
        <w:t xml:space="preserve"> </w:t>
      </w:r>
      <w:r>
        <w:t xml:space="preserve">— Supply Chain Risk Management (SBOM/VDR/VEX pipeline)</w:t>
      </w:r>
    </w:p>
    <w:p>
      <w:pPr>
        <w:pStyle w:val="Compact"/>
        <w:numPr>
          <w:ilvl w:val="0"/>
          <w:numId w:val="1005"/>
        </w:numPr>
      </w:pPr>
      <w:r>
        <w:rPr>
          <w:b/>
          <w:bCs/>
        </w:rPr>
        <w:t xml:space="preserve">Book 16</w:t>
      </w:r>
      <w:r>
        <w:t xml:space="preserve"> </w:t>
      </w:r>
      <w:r>
        <w:t xml:space="preserve">— Program Management and Governance (POA&amp;M/SCRM/ISPP)</w:t>
      </w:r>
    </w:p>
    <w:p>
      <w:pPr>
        <w:pStyle w:val="Compact"/>
        <w:numPr>
          <w:ilvl w:val="0"/>
          <w:numId w:val="1005"/>
        </w:numPr>
      </w:pPr>
      <w:r>
        <w:rPr>
          <w:b/>
          <w:bCs/>
        </w:rPr>
        <w:t xml:space="preserve">Book 17</w:t>
      </w:r>
      <w:r>
        <w:t xml:space="preserve"> </w:t>
      </w:r>
      <w:r>
        <w:t xml:space="preserve">— PII Processing and Transparency (PT family templates, Purview enforcement)</w:t>
      </w:r>
    </w:p>
    <w:p>
      <w:pPr>
        <w:pStyle w:val="FirstParagraph"/>
      </w:pPr>
      <w:r>
        <w:rPr>
          <w:b/>
          <w:bCs/>
        </w:rPr>
        <w:t xml:space="preserve">Book 18 — Training and Awareness</w:t>
      </w:r>
      <w:r>
        <w:t xml:space="preserve"> </w:t>
      </w:r>
      <w:r>
        <w:t xml:space="preserve">— AT family cybersecurity training program — activates KSI-022 (KSI-CED-RAT), making all 29 KSI rules in the series’ ADR-111 rule set evaluable at high confidence.</w:t>
      </w:r>
    </w:p>
    <w:p>
      <w:pPr>
        <w:pStyle w:val="BodyText"/>
      </w:pPr>
      <w:r>
        <w:rPr>
          <w:b/>
          <w:bCs/>
        </w:rPr>
        <w:t xml:space="preserve">Book 19 — Authorization Package and ConMon</w:t>
      </w:r>
      <w:r>
        <w:t xml:space="preserve"> </w:t>
      </w:r>
      <w:r>
        <w:t xml:space="preserve">— OSCAL AP+AR+POA&amp;M bundle (29/29 rules self-assessed, pending independent security control assessment (SCA)), continuous monitoring program, and BOD 26-04 VDR/VER submission — closing CA-2, CA-5, CA-6, CA-7, RA-3, and SA-15.</w:t>
      </w:r>
    </w:p>
    <w:p>
      <w:r>
        <w:pict>
          <v:rect style="width:0;height:1.5pt" o:hralign="center" o:hrstd="t" o:hr="t"/>
        </w:pict>
      </w:r>
    </w:p>
    <w:p>
      <w:pPr>
        <w:pStyle w:val="FirstParagraph"/>
      </w:pPr>
      <w:r>
        <w:rPr>
          <w:b/>
          <w:bCs/>
        </w:rPr>
        <w:t xml:space="preserve">Together, the nineteen books constitute the complete evidence-generation and authorization-package layer for the agency’s RMF authorization, with continuous-monitoring evidence structured in the FedRAMP 20x KSI idiom.</w:t>
      </w:r>
      <w:r>
        <w:t xml:space="preserve"> </w:t>
      </w:r>
      <w:r>
        <w:t xml:space="preserve">Each book maps its implementations directly to the NIST SP 800-53 Rev 5 controls it closes, and Book 19 assembles those mappings into a machine-readable OSCAL authorization package ready for independent SCA. The FedRAMP cloud services SSA consumes (M365 GCC, AWS GovCloud, DDI SaaS) are inherited as leveraged authorizations; SSA itself does not submit to the FedRAMP PMO.</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KSI rules in the series’ ADR-111 rule set.</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an agency Moderate authorization whose evidence survives the FedRAMP 20x transition. CR26 is mandatory for the cloud service offerings SSA inherits effective January 1, 2027; SSA’s obligation is to ensure inherited services are on the 20x path and to structure its own ConMon evidence on the same KSI schema so inheritance stays clean.</w:t>
      </w:r>
    </w:p>
    <w:p>
      <w:r>
        <w:pict>
          <v:rect style="width:0;height:1.5pt" o:hralign="center" o:hrstd="t" o:hr="t"/>
        </w:pict>
      </w:r>
    </w:p>
    <w:bookmarkEnd w:id="12"/>
    <w:bookmarkStart w:id="16"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4" name="Picture"/>
            <a:graphic>
              <a:graphicData uri="http://schemas.openxmlformats.org/drawingml/2006/picture">
                <pic:pic>
                  <pic:nvPicPr>
                    <pic:cNvPr descr="figs/es-fig-01-series-overview.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OPM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Agency RMF authorization package (ConMon evidence modeled on the FedRAMP 20x KSI schema) · OSCAL AP+AR+POA&amp;M bundle · BOD 26-04 VDR/VER submission · CA-7 ConMon program</w:t>
            </w:r>
          </w:p>
        </w:tc>
        <w:tc>
          <w:tcPr/>
          <w:p>
            <w:pPr>
              <w:pStyle w:val="Compact"/>
            </w:pPr>
            <w:r>
              <w:t xml:space="preserve">CA-2/5/6/7 · RA-3 · SA-15</w:t>
            </w:r>
          </w:p>
        </w:tc>
      </w:tr>
    </w:tbl>
    <w:bookmarkEnd w:id="16"/>
    <w:bookmarkStart w:id="17"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t xml:space="preserve">Jul 6, 2026</w:t>
            </w:r>
          </w:p>
        </w:tc>
        <w:tc>
          <w:tcPr/>
          <w:p>
            <w:pPr>
              <w:pStyle w:val="Compact"/>
            </w:pPr>
            <w:r>
              <w:t xml:space="preserve">20x Marketplace listings open</w:t>
            </w:r>
          </w:p>
        </w:tc>
        <w:tc>
          <w:tcPr/>
          <w:p>
            <w:pPr>
              <w:pStyle w:val="Compact"/>
            </w:pPr>
            <w:r>
              <w:t xml:space="preserve">CSPs may enter the initial implementation stage</w:t>
            </w:r>
          </w:p>
        </w:tc>
      </w:tr>
      <w:tr>
        <w:tc>
          <w:tcPr/>
          <w:p>
            <w:pPr>
              <w:pStyle w:val="Compact"/>
            </w:pPr>
            <w:r>
              <w:t xml:space="preserve">Jul 28, 2026</w:t>
            </w:r>
          </w:p>
        </w:tc>
        <w:tc>
          <w:tcPr/>
          <w:p>
            <w:pPr>
              <w:pStyle w:val="Compact"/>
            </w:pPr>
            <w:r>
              <w:t xml:space="preserve">FedRAMP Ready goes legacy</w:t>
            </w:r>
          </w:p>
        </w:tc>
        <w:tc>
          <w:tcPr/>
          <w:p>
            <w:pPr>
              <w:pStyle w:val="Compact"/>
            </w:pPr>
            <w:r>
              <w:t xml:space="preserve">No new Ready submissions accepted</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t xml:space="preserve">Aug 10, 2026</w:t>
            </w:r>
          </w:p>
        </w:tc>
        <w:tc>
          <w:tcPr/>
          <w:p>
            <w:pPr>
              <w:pStyle w:val="Compact"/>
            </w:pPr>
            <w:r>
              <w:t xml:space="preserve">Temporary Rev5 Program Certification opens</w:t>
            </w:r>
          </w:p>
        </w:tc>
        <w:tc>
          <w:tcPr/>
          <w:p>
            <w:pPr>
              <w:pStyle w:val="Compact"/>
            </w:pPr>
            <w:r>
              <w:t xml:space="preserve">Class B/C Ready-conversion and lost-sponsor paths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Class C (Moderate) CSO certifications open — the pipeline SSA’s inherited providers enter</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bookmarkEnd w:id="17"/>
    <w:bookmarkStart w:id="18" w:name="the-broader-federal-clock"/>
    <w:p>
      <w:pPr>
        <w:pStyle w:val="Heading2"/>
      </w:pPr>
      <w:r>
        <w:t xml:space="preserve">The Broader Federal Clock</w:t>
      </w:r>
    </w:p>
    <w:p>
      <w:pPr>
        <w:pStyle w:val="FirstParagraph"/>
      </w:pPr>
      <w:r>
        <w:t xml:space="preserve">FedRAMP 20x is the nearest deadline family, not the only one. The dates below</w:t>
      </w:r>
      <w:r>
        <w:t xml:space="preserve"> </w:t>
      </w:r>
      <w:r>
        <w:t xml:space="preserve">are the other federal mandates whose clocks run against the same NIST control</w:t>
      </w:r>
      <w:r>
        <w:t xml:space="preserve"> </w:t>
      </w:r>
      <w:r>
        <w:t xml:space="preserve">families this series closes. The authoritative, fully-sourced timeline —</w:t>
      </w:r>
      <w:r>
        <w:t xml:space="preserve"> </w:t>
      </w:r>
      <w:r>
        <w:t xml:space="preserve">including the elapsed baseline (M-21-31 logging, M-21-07 IPv6, M-22-09 Zero</w:t>
      </w:r>
      <w:r>
        <w:t xml:space="preserve"> </w:t>
      </w:r>
      <w:r>
        <w:t xml:space="preserve">Trust, BOD 25-01 SCuBA) — is maintained in the companion document</w:t>
      </w:r>
      <w:r>
        <w:t xml:space="preserve"> </w:t>
      </w:r>
      <w:r>
        <w:rPr>
          <w:i/>
          <w:iCs/>
        </w:rPr>
        <w:t xml:space="preserve">Federal AAN / ConMon Compliance Gap Roadmap</w:t>
      </w:r>
      <w:r>
        <w:t xml:space="preserve">, which is the series’ single</w:t>
      </w:r>
      <w:r>
        <w:t xml:space="preserve"> </w:t>
      </w:r>
      <w:r>
        <w:t xml:space="preserve">source of truth for federal dates.</w:t>
      </w:r>
    </w:p>
    <w:p>
      <w:pPr>
        <w:pStyle w:val="TableCaption"/>
      </w:pPr>
      <w:r>
        <w:t xml:space="preserve">The broader federal clock — mandates beyond FedRAMP 20x</w:t>
      </w:r>
    </w:p>
    <w:tbl>
      <w:tblPr>
        <w:tblStyle w:val="Table"/>
        <w:tblW w:type="pct" w:w="5000"/>
        <w:tblLayout w:type="fixed"/>
        <w:tblLook w:firstRow="1" w:lastRow="0" w:firstColumn="0" w:lastColumn="0" w:noHBand="0" w:noVBand="0" w:val="0020"/>
        <w:tblCaption w:val="The broader federal clock — mandates beyond FedRAMP 20x"/>
      </w:tblPr>
      <w:tblGrid>
        <w:gridCol w:w="1357"/>
        <w:gridCol w:w="2036"/>
        <w:gridCol w:w="4525"/>
      </w:tblGrid>
      <w:tr>
        <w:trPr>
          <w:tblHeader w:val="on"/>
        </w:trPr>
        <w:tc>
          <w:tcPr/>
          <w:p>
            <w:pPr>
              <w:pStyle w:val="Compact"/>
            </w:pPr>
            <w:r>
              <w:t xml:space="preserve">Date</w:t>
            </w:r>
          </w:p>
        </w:tc>
        <w:tc>
          <w:tcPr/>
          <w:p>
            <w:pPr>
              <w:pStyle w:val="Compact"/>
            </w:pPr>
            <w:r>
              <w:t xml:space="preserve">Mandate</w:t>
            </w:r>
          </w:p>
        </w:tc>
        <w:tc>
          <w:tcPr/>
          <w:p>
            <w:pPr>
              <w:pStyle w:val="Compact"/>
            </w:pPr>
            <w:r>
              <w:t xml:space="preserve">What it means here</w:t>
            </w:r>
          </w:p>
        </w:tc>
      </w:tr>
      <w:tr>
        <w:tc>
          <w:tcPr/>
          <w:p>
            <w:pPr>
              <w:pStyle w:val="Compact"/>
            </w:pPr>
            <w:r>
              <w:rPr>
                <w:b/>
                <w:bCs/>
              </w:rPr>
              <w:t xml:space="preserve">Aug 7, 2026</w:t>
            </w:r>
          </w:p>
        </w:tc>
        <w:tc>
          <w:tcPr/>
          <w:p>
            <w:pPr>
              <w:pStyle w:val="Compact"/>
            </w:pPr>
            <w:r>
              <w:t xml:space="preserve">BOD 26-04 agency policies due</w:t>
            </w:r>
          </w:p>
        </w:tc>
        <w:tc>
          <w:tcPr/>
          <w:p>
            <w:pPr>
              <w:pStyle w:val="Compact"/>
            </w:pPr>
            <w:r>
              <w:t xml:space="preserve">Vulnerability-management policy must support risk-based remediation (Part 11)</w:t>
            </w:r>
          </w:p>
        </w:tc>
      </w:tr>
      <w:tr>
        <w:tc>
          <w:tcPr/>
          <w:p>
            <w:pPr>
              <w:pStyle w:val="Compact"/>
            </w:pPr>
            <w:r>
              <w:rPr>
                <w:b/>
                <w:bCs/>
              </w:rPr>
              <w:t xml:space="preserve">Sep 21, 2026</w:t>
            </w:r>
          </w:p>
        </w:tc>
        <w:tc>
          <w:tcPr/>
          <w:p>
            <w:pPr>
              <w:pStyle w:val="Compact"/>
            </w:pPr>
            <w:r>
              <w:t xml:space="preserve">FIPS 140-2 certificates → NIST Historical List</w:t>
            </w:r>
          </w:p>
        </w:tc>
        <w:tc>
          <w:tcPr/>
          <w:p>
            <w:pPr>
              <w:pStyle w:val="Compact"/>
            </w:pPr>
            <w:r>
              <w:t xml:space="preserve">No new procurement reliance on 140-2-only modules; verify FIPS 140-3 tracking (SC-13 — Parts 3, 12)</w:t>
            </w:r>
          </w:p>
        </w:tc>
      </w:tr>
      <w:tr>
        <w:tc>
          <w:tcPr/>
          <w:p>
            <w:pPr>
              <w:pStyle w:val="Compact"/>
            </w:pPr>
            <w:r>
              <w:rPr>
                <w:b/>
                <w:bCs/>
              </w:rPr>
              <w:t xml:space="preserve">Dec 7, 2026</w:t>
            </w:r>
          </w:p>
        </w:tc>
        <w:tc>
          <w:tcPr/>
          <w:p>
            <w:pPr>
              <w:pStyle w:val="Compact"/>
            </w:pPr>
            <w:r>
              <w:t xml:space="preserve">BOD 26-04 remediation timelines in force</w:t>
            </w:r>
          </w:p>
        </w:tc>
        <w:tc>
          <w:tcPr/>
          <w:p>
            <w:pPr>
              <w:pStyle w:val="Compact"/>
            </w:pPr>
            <w:r>
              <w:t xml:space="preserve">Four-variable risk model live: 3-day KEV+exposed tier through deferral (Part 11)</w:t>
            </w:r>
          </w:p>
        </w:tc>
      </w:tr>
      <w:tr>
        <w:tc>
          <w:tcPr/>
          <w:p>
            <w:pPr>
              <w:pStyle w:val="Compact"/>
            </w:pPr>
            <w:r>
              <w:t xml:space="preserve">Jan 1, 2027</w:t>
            </w:r>
          </w:p>
        </w:tc>
        <w:tc>
          <w:tcPr/>
          <w:p>
            <w:pPr>
              <w:pStyle w:val="Compact"/>
            </w:pPr>
            <w:r>
              <w:t xml:space="preserve">CNSA 2.0 acquisition gate (NSS-scoped)</w:t>
            </w:r>
          </w:p>
        </w:tc>
        <w:tc>
          <w:tcPr/>
          <w:p>
            <w:pPr>
              <w:pStyle w:val="Compact"/>
            </w:pPr>
            <w:r>
              <w:t xml:space="preserve">ML-KEM-1024 + ML-DSA-87 for new NSS acquisitions; civilian PQC trajectory follows via M-23-02</w:t>
            </w:r>
          </w:p>
        </w:tc>
      </w:tr>
      <w:tr>
        <w:tc>
          <w:tcPr/>
          <w:p>
            <w:pPr>
              <w:pStyle w:val="Compact"/>
            </w:pPr>
            <w:r>
              <w:t xml:space="preserve">~Aug 2027</w:t>
            </w:r>
          </w:p>
        </w:tc>
        <w:tc>
          <w:tcPr/>
          <w:p>
            <w:pPr>
              <w:pStyle w:val="Compact"/>
            </w:pPr>
            <w:r>
              <w:t xml:space="preserve">Next NIST SP 800-53 scheduled release</w:t>
            </w:r>
          </w:p>
        </w:tc>
        <w:tc>
          <w:tcPr/>
          <w:p>
            <w:pPr>
              <w:pStyle w:val="Compact"/>
            </w:pPr>
            <w:r>
              <w:t xml:space="preserve">2-year cadence from Release 5.2.0 (Aug 27, 2025, which added SA-15(13), SA-24, SI-2(7) — not yet mapped in Parts 11/15; tracked in the roadmap)</w:t>
            </w:r>
          </w:p>
        </w:tc>
      </w:tr>
      <w:tr>
        <w:tc>
          <w:tcPr/>
          <w:p>
            <w:pPr>
              <w:pStyle w:val="Compact"/>
            </w:pPr>
            <w:r>
              <w:t xml:space="preserve">2030 / 2035</w:t>
            </w:r>
          </w:p>
        </w:tc>
        <w:tc>
          <w:tcPr/>
          <w:p>
            <w:pPr>
              <w:pStyle w:val="Compact"/>
            </w:pPr>
            <w:r>
              <w:t xml:space="preserve">Quantum-vulnerable crypto deprecated / prohibited</w:t>
            </w:r>
          </w:p>
        </w:tc>
        <w:tc>
          <w:tcPr/>
          <w:p>
            <w:pPr>
              <w:pStyle w:val="Compact"/>
            </w:pPr>
            <w:r>
              <w:t xml:space="preserve">M-23-02 annual crypto inventories run through the 2035 migration horizon (Parts 3, 12)</w:t>
            </w:r>
          </w:p>
        </w:tc>
      </w:tr>
    </w:tbl>
    <w:p>
      <w:r>
        <w:pict>
          <v:rect style="width:0;height:1.5pt" o:hralign="center" o:hrstd="t" o:hr="t"/>
        </w:pict>
      </w:r>
    </w:p>
    <w:bookmarkEnd w:id="18"/>
    <w:bookmarkStart w:id="22"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CaptionedFigure"/>
      </w:pPr>
      <w:r>
        <w:drawing>
          <wp:inline>
            <wp:extent cx="5334000" cy="3000375"/>
            <wp:effectExtent b="0" l="0" r="0" t="0"/>
            <wp:docPr descr="The Six Functional Planes — functions, not organizations" title="" id="20" name="Picture"/>
            <a:graphic>
              <a:graphicData uri="http://schemas.openxmlformats.org/drawingml/2006/picture">
                <pic:pic>
                  <pic:nvPicPr>
                    <pic:cNvPr descr="figs/es-fig-05-functional-planes.png" id="21" name="Picture"/>
                    <pic:cNvPicPr>
                      <a:picLocks noChangeArrowheads="1" noChangeAspect="1"/>
                    </pic:cNvPicPr>
                  </pic:nvPicPr>
                  <pic:blipFill>
                    <a:blip r:embed="rId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Six Functional Planes — functions, not organizations</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2"/>
    <w:bookmarkStart w:id="31"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
          <w:bCs/>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independent assessor before using these claims as the basis for authorization decisions.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Mechanism, Not Product — Read the Necessity Claims Correctly</w:t>
            </w:r>
          </w:p>
        </w:tc>
      </w:tr>
      <w:tr>
        <w:trPr>
          <w:cantSplit/>
        </w:trPr>
        <w:tc>
          <w:tcPr>
            <w:tcMar>
              <w:top w:w="108" w:type="dxa"/>
              <w:bottom w:w="108" w:type="dxa"/>
            </w:tcMar>
          </w:tcPr>
          <w:p>
            <w:pPr>
              <w:pStyle w:val="BodyText"/>
            </w:pPr>
            <w:pPr>
              <w:spacing w:before="16"/>
            </w:pPr>
            <w:r>
              <w:t xml:space="preserve">“No alternate closure path”</w:t>
            </w:r>
            <w:r>
              <w:t xml:space="preserve"> </w:t>
            </w:r>
            <w:r>
              <w:t xml:space="preserve">is a claim about</w:t>
            </w:r>
            <w:r>
              <w:t xml:space="preserve"> </w:t>
            </w:r>
            <w:r>
              <w:rPr>
                <w:b/>
                <w:bCs/>
              </w:rPr>
              <w:t xml:space="preserve">mechanism classes</w:t>
            </w:r>
            <w:r>
              <w:t xml:space="preserve">, never</w:t>
            </w:r>
            <w:r>
              <w:t xml:space="preserve"> </w:t>
            </w:r>
            <w:r>
              <w:t xml:space="preserve">about vendors.</w:t>
            </w:r>
            <w:r>
              <w:t xml:space="preserve"> </w:t>
            </w:r>
            <w:r>
              <w:t xml:space="preserve">“Only port-based authentication closes IA-3”</w:t>
            </w:r>
            <w:r>
              <w:t xml:space="preserve"> </w:t>
            </w:r>
            <w:r>
              <w:t xml:space="preserve">names a protocol</w:t>
            </w:r>
            <w:r>
              <w:t xml:space="preserve"> </w:t>
            </w:r>
            <w:r>
              <w:t xml:space="preserve">behavior; it does not name a product. Every product named in this series</w:t>
            </w:r>
            <w:r>
              <w:t xml:space="preserve"> </w:t>
            </w:r>
            <w:r>
              <w:t xml:space="preserve">(InfoBlox, NPS, Cisco Catalyst SD-WAN, Entra ID, Oracle HCM Cloud, Sentinel)</w:t>
            </w:r>
            <w:r>
              <w:t xml:space="preserve"> </w:t>
            </w:r>
            <w:r>
              <w:t xml:space="preserve">is a</w:t>
            </w:r>
            <w:r>
              <w:t xml:space="preserve"> </w:t>
            </w:r>
            <w:r>
              <w:rPr>
                <w:b/>
                <w:bCs/>
              </w:rPr>
              <w:t xml:space="preserve">deployed example of its mechanism</w:t>
            </w:r>
            <w:r>
              <w:t xml:space="preserve">, and for every layer there are</w:t>
            </w:r>
            <w:r>
              <w:t xml:space="preserve"> </w:t>
            </w:r>
            <w:r>
              <w:t xml:space="preserve">FedRAMP-authorized alternatives that satisfy the same mechanism — the</w:t>
            </w:r>
            <w:r>
              <w:t xml:space="preserve"> </w:t>
            </w:r>
            <w:r>
              <w:t xml:space="preserve">alternatives matrix in the companion</w:t>
            </w:r>
            <w:r>
              <w:t xml:space="preserve"> </w:t>
            </w:r>
            <w:r>
              <w:rPr>
                <w:i/>
                <w:iCs/>
              </w:rPr>
              <w:t xml:space="preserve">Federal AAN / ConMon Compliance Gap</w:t>
            </w:r>
            <w:r>
              <w:rPr>
                <w:i/>
                <w:iCs/>
              </w:rPr>
              <w:t xml:space="preserve"> </w:t>
            </w:r>
            <w:r>
              <w:rPr>
                <w:i/>
                <w:iCs/>
              </w:rPr>
              <w:t xml:space="preserve">Roadmap</w:t>
            </w:r>
            <w:r>
              <w:t xml:space="preserve"> </w:t>
            </w:r>
            <w:r>
              <w:t xml:space="preserve">enumerates them per layer.</w:t>
            </w:r>
          </w:p>
          <w:p>
            <w:pPr>
              <w:pStyle w:val="BodyText"/>
            </w:pPr>
            <w:pPr>
              <w:spacing w:after="16"/>
            </w:pPr>
            <w:r>
              <w:t xml:space="preserve">The program doctrine that follows:</w:t>
            </w:r>
            <w:r>
              <w:t xml:space="preserve"> </w:t>
            </w:r>
            <w:r>
              <w:rPr>
                <w:b/>
                <w:bCs/>
              </w:rPr>
              <w:t xml:space="preserve">multiple compliant paths exist before</w:t>
            </w:r>
            <w:r>
              <w:rPr>
                <w:b/>
                <w:bCs/>
              </w:rPr>
              <w:t xml:space="preserve"> </w:t>
            </w:r>
            <w:r>
              <w:rPr>
                <w:b/>
                <w:bCs/>
              </w:rPr>
              <w:t xml:space="preserve">the agency chooses; exactly one exists after.</w:t>
            </w:r>
            <w:r>
              <w:t xml:space="preserve"> </w:t>
            </w:r>
            <w:r>
              <w:t xml:space="preserve">The agency must select one</w:t>
            </w:r>
            <w:r>
              <w:t xml:space="preserve"> </w:t>
            </w:r>
            <w:r>
              <w:t xml:space="preserve">implementation path per layer, and per governance the selected path becomes</w:t>
            </w:r>
            <w:r>
              <w:t xml:space="preserve"> </w:t>
            </w:r>
            <w:r>
              <w:t xml:space="preserve">mandatory once chosen — because split implementations of a truth plane</w:t>
            </w:r>
            <w:r>
              <w:t xml:space="preserve"> </w:t>
            </w:r>
            <w:r>
              <w:t xml:space="preserve">recreate the fragmented-truth problem this series exists to end.</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important.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aptionedFigure"/>
            </w:pPr>
            <w:r>
              <w:drawing>
                <wp:inline>
                  <wp:extent cx="5334000" cy="3000375"/>
                  <wp:effectExtent b="0" l="0" r="0" t="0"/>
                  <wp:docPr descr="DIA Is a Pipe — the governance stack satisfies the controls, the pipe solves latency" title="" id="29" name="Picture"/>
                  <a:graphic>
                    <a:graphicData uri="http://schemas.openxmlformats.org/drawingml/2006/picture">
                      <pic:pic>
                        <pic:nvPicPr>
                          <pic:cNvPr descr="figs/es-fig-06-dia-three-step.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DIA Is a Pipe — the governance stack satisfies the controls, the pipe solves latency</w:t>
            </w:r>
          </w:p>
          <w:p>
            <w:pPr>
              <w:pStyle w:val="Compact"/>
              <w:numPr>
                <w:ilvl w:val="0"/>
                <w:numId w:val="1006"/>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6"/>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6"/>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31"/>
    <w:bookmarkStart w:id="32"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32"/>
    <w:bookmarkStart w:id="47"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33"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7"/>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7"/>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7"/>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7"/>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33"/>
    <w:bookmarkStart w:id="37"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CaptionedFigure"/>
      </w:pPr>
      <w:r>
        <w:drawing>
          <wp:inline>
            <wp:extent cx="5334000" cy="3000375"/>
            <wp:effectExtent b="0" l="0" r="0" t="0"/>
            <wp:docPr descr="Architecture Before Assessment — six phases; assessment tools arrive at Phase 5" title="" id="35" name="Picture"/>
            <a:graphic>
              <a:graphicData uri="http://schemas.openxmlformats.org/drawingml/2006/picture">
                <pic:pic>
                  <pic:nvPicPr>
                    <pic:cNvPr descr="figs/es-fig-07-architecture-before-assessment.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Architecture Before Assessment — six phases; assessment tools arrive at Phase 5</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7"/>
    <w:bookmarkStart w:id="41"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Status</w:t>
            </w:r>
          </w:p>
        </w:tc>
      </w:tr>
      <w:tr>
        <w:trPr>
          <w:cantSplit/>
        </w:trPr>
        <w:tc>
          <w:tcPr>
            <w:tcMar>
              <w:top w:w="108" w:type="dxa"/>
              <w:bottom w:w="108" w:type="dxa"/>
            </w:tcMar>
          </w:tcPr>
          <w:p>
            <w:pPr>
              <w:pStyle w:val="BodyText"/>
            </w:pPr>
            <w:pPr>
              <w:spacing w:before="16" w:after="16"/>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security control assessment (SCA).</w:t>
            </w:r>
          </w:p>
          <w:p/>
        </w:tc>
      </w:tr>
    </w:tbl>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8"/>
        </w:numPr>
      </w:pPr>
      <w:r>
        <w:rPr>
          <w:b/>
          <w:bCs/>
        </w:rPr>
        <w:t xml:space="preserve">Network layer</w:t>
      </w:r>
      <w:r>
        <w:t xml:space="preserve"> </w:t>
      </w:r>
      <w:r>
        <w:t xml:space="preserve">— DDI, DNS, DHCP, IPAM, DNSSEC, RPZ (InfoBlox)</w:t>
      </w:r>
    </w:p>
    <w:p>
      <w:pPr>
        <w:pStyle w:val="Compact"/>
        <w:numPr>
          <w:ilvl w:val="0"/>
          <w:numId w:val="1008"/>
        </w:numPr>
      </w:pPr>
      <w:r>
        <w:rPr>
          <w:b/>
          <w:bCs/>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
          <w:iCs/>
        </w:rPr>
        <w:t xml:space="preserve">agency selection pending</w:t>
      </w:r>
      <w:r>
        <w:t xml:space="preserve">)</w:t>
      </w:r>
    </w:p>
    <w:p>
      <w:pPr>
        <w:pStyle w:val="Compact"/>
        <w:numPr>
          <w:ilvl w:val="0"/>
          <w:numId w:val="1008"/>
        </w:numPr>
      </w:pPr>
      <w:r>
        <w:rPr>
          <w:b/>
          <w:bCs/>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
          <w:iCs/>
        </w:rPr>
        <w:t xml:space="preserve">agency selection pending</w:t>
      </w:r>
      <w:r>
        <w:t xml:space="preserve">)</w:t>
      </w:r>
    </w:p>
    <w:p>
      <w:pPr>
        <w:pStyle w:val="Compact"/>
        <w:numPr>
          <w:ilvl w:val="0"/>
          <w:numId w:val="1008"/>
        </w:numPr>
      </w:pPr>
      <w:r>
        <w:rPr>
          <w:b/>
          <w:bCs/>
        </w:rPr>
        <w:t xml:space="preserve">Identity layer</w:t>
      </w:r>
      <w:r>
        <w:t xml:space="preserve"> </w:t>
      </w:r>
      <w:r>
        <w:t xml:space="preserve">— Entra ID, Conditional Access, Arc Managed Identity, NTLM elimination</w:t>
      </w:r>
    </w:p>
    <w:p>
      <w:pPr>
        <w:pStyle w:val="Compact"/>
        <w:numPr>
          <w:ilvl w:val="0"/>
          <w:numId w:val="1008"/>
        </w:numPr>
      </w:pPr>
      <w:r>
        <w:rPr>
          <w:b/>
          <w:bCs/>
        </w:rPr>
        <w:t xml:space="preserve">Data layer</w:t>
      </w:r>
      <w:r>
        <w:t xml:space="preserve"> </w:t>
      </w:r>
      <w:r>
        <w:t xml:space="preserve">— SQL Server, TDE, consistency classes, replication physics</w:t>
      </w:r>
    </w:p>
    <w:p>
      <w:pPr>
        <w:pStyle w:val="Compact"/>
        <w:numPr>
          <w:ilvl w:val="0"/>
          <w:numId w:val="1008"/>
        </w:numPr>
      </w:pPr>
      <w:r>
        <w:rPr>
          <w:b/>
          <w:bCs/>
        </w:rPr>
        <w:t xml:space="preserve">Operations layer</w:t>
      </w:r>
      <w:r>
        <w:t xml:space="preserve"> </w:t>
      </w:r>
      <w:r>
        <w:t xml:space="preserve">— Sentinel, Defender XDR, KQL, Logic App playbooks</w:t>
      </w:r>
    </w:p>
    <w:p>
      <w:pPr>
        <w:pStyle w:val="Compact"/>
        <w:numPr>
          <w:ilvl w:val="0"/>
          <w:numId w:val="1008"/>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41"/>
    <w:bookmarkStart w:id="42"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9"/>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9"/>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9"/>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9"/>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42"/>
    <w:bookmarkStart w:id="46"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aptionedFigure"/>
      </w:pPr>
      <w:r>
        <w:drawing>
          <wp:inline>
            <wp:extent cx="5334000" cy="3000375"/>
            <wp:effectExtent b="0" l="0" r="0" t="0"/>
            <wp:docPr descr="The Coverage Arithmetic — 10 of 29 KSI rules attestable by conformance tooling alone" title="" id="44" name="Picture"/>
            <a:graphic>
              <a:graphicData uri="http://schemas.openxmlformats.org/drawingml/2006/picture">
                <pic:pic>
                  <pic:nvPicPr>
                    <pic:cNvPr descr="figs/es-fig-08-coverage-arithmetic.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Coverage Arithmetic — 10 of 29 KSI rules attestable by conformance tooling alone</w:t>
      </w:r>
    </w:p>
    <w:p>
      <w:pPr>
        <w:pStyle w:val="Compact"/>
        <w:numPr>
          <w:ilvl w:val="0"/>
          <w:numId w:val="1010"/>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10"/>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46"/>
    <w:bookmarkEnd w:id="47"/>
    <w:bookmarkStart w:id="48" w:name="the-ksi-closure-necessity-matrix"/>
    <w:p>
      <w:pPr>
        <w:pStyle w:val="Heading1"/>
      </w:pPr>
      <w:r>
        <w:t xml:space="preserve">5. The KSI Closure Necessity Matrix</w:t>
      </w:r>
    </w:p>
    <w:p>
      <w:pPr>
        <w:pStyle w:val="FirstParagraph"/>
      </w:pPr>
      <w:r>
        <w:t xml:space="preserve">The authoritative closure-necessity view for all 29 KSI rules in the series’</w:t>
      </w:r>
      <w:r>
        <w:t xml:space="preserve"> </w:t>
      </w:r>
      <w:r>
        <w:t xml:space="preserve">ADR-111 rule set. Each row states what closes the rule set, whether conformance</w:t>
      </w:r>
      <w:r>
        <w:t xml:space="preserve"> </w:t>
      </w:r>
      <w:r>
        <w:t xml:space="preserve">tooling alone can attest it, and which evidence slot and series part carry it.</w:t>
      </w:r>
      <w:r>
        <w:t xml:space="preserve"> </w:t>
      </w:r>
      <w:r>
        <w:t xml:space="preserve">Book 19 documents the evidence procedures; this matrix is the citable summary.</w:t>
      </w:r>
      <w:r>
        <w:t xml:space="preserve"> </w:t>
      </w:r>
      <w:r>
        <w:t xml:space="preserve">All verdicts are self-assessed pending independent security control assessment</w:t>
      </w:r>
      <w:r>
        <w:t xml:space="preserve"> </w:t>
      </w:r>
      <w:r>
        <w:t xml:space="preserve">(SCA).</w:t>
      </w:r>
    </w:p>
    <w:p>
      <w:pPr>
        <w:pStyle w:val="BlockText"/>
      </w:pPr>
      <w:r>
        <w:rPr>
          <w:b/>
          <w:bCs/>
        </w:rPr>
        <w:t xml:space="preserve">KSI-count reconciliation (open item).</w:t>
      </w:r>
      <w:r>
        <w:t xml:space="preserve"> </w:t>
      </w:r>
      <w:r>
        <w:t xml:space="preserve">The 29 rules in this matrix are the</w:t>
      </w:r>
      <w:r>
        <w:t xml:space="preserve"> </w:t>
      </w:r>
      <w:r>
        <w:t xml:space="preserve">ADR-111 rule decomposition, not the published CR26 Moderate KSI catalog</w:t>
      </w:r>
      <w:r>
        <w:t xml:space="preserve"> </w:t>
      </w:r>
      <w:r>
        <w:t xml:space="preserve">(~56–63 indicators across the same 10 theme codes, depending on counting</w:t>
      </w:r>
      <w:r>
        <w:t xml:space="preserve"> </w:t>
      </w:r>
      <w:r>
        <w:t xml:space="preserve">method). Before any coverage claim is carried into an authorization decision,</w:t>
      </w:r>
      <w:r>
        <w:t xml:space="preserve"> </w:t>
      </w:r>
      <w:r>
        <w:t xml:space="preserve">the 29-rule set must be diffed rule-ID-by-rule-ID against the finalized CR26</w:t>
      </w:r>
      <w:r>
        <w:t xml:space="preserve"> </w:t>
      </w:r>
      <w:r>
        <w:t xml:space="preserve">Moderate list (June 25, 2026) and the mapping stated explicitly. Until that</w:t>
      </w:r>
      <w:r>
        <w:t xml:space="preserve"> </w:t>
      </w:r>
      <w:r>
        <w:t xml:space="preserve">reconciliation is documented,</w:t>
      </w:r>
      <w:r>
        <w:t xml:space="preserve"> </w:t>
      </w:r>
      <w:r>
        <w:t xml:space="preserve">“29/29 satisfied”</w:t>
      </w:r>
      <w:r>
        <w:t xml:space="preserve"> </w:t>
      </w:r>
      <w:r>
        <w:t xml:space="preserve">is a claim about the internal</w:t>
      </w:r>
      <w:r>
        <w:t xml:space="preserve"> </w:t>
      </w:r>
      <w:r>
        <w:t xml:space="preserve">rule set — not about the full CR26 indicator set.</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48"/>
    <w:bookmarkStart w:id="51"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51"/>
    <w:bookmarkStart w:id="54" w:name="X6f9a64b586cbcc7969c4f245976846e0504a959"/>
    <w:p>
      <w:pPr>
        <w:pStyle w:val="Heading1"/>
      </w:pPr>
      <w:r>
        <w:t xml:space="preserve">7. Part 1 — Landing Zone DDI: InfoBlox DDI Closes 16 NIST Controls</w:t>
      </w:r>
    </w:p>
    <w:bookmarkStart w:id="52"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52"/>
    <w:bookmarkStart w:id="53"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(Path A: inherited CSO / Path B: agency-carried)</w:t>
            </w:r>
          </w:p>
        </w:tc>
        <w:tc>
          <w:tcPr/>
          <w:p>
            <w:pPr>
              <w:pStyle w:val="Compact"/>
            </w:pPr>
            <w:r>
              <w:t xml:space="preserve">DDI architecture described informally or not at all in SSP</w:t>
            </w:r>
          </w:p>
        </w:tc>
        <w:tc>
          <w:tcPr/>
          <w:p>
            <w:pPr>
              <w:pStyle w:val="Compact"/>
            </w:pPr>
            <w:r>
              <w:t xml:space="preserve">Unified DDI architecture documented in SSP; under Path A the InfoBlox CSO is cited as an inherited control for the DDI layer, under Path B (the closer fit for SSA’s topology per Book 01) the DDI layer is documented as an agency-operated component with natively generated evidence</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generates all DDI evidence natively as machine-readable JSON — the evidence format the FedRAMP 20x KSI schema expects — with no additional tooling. Mechanism-class peers with full REST APIs (e.g., BlueCat) can satisfy the same evidence contract; the ConMon roadmap’s alternatives matrix documents the substitution consequences.</w:t>
      </w:r>
    </w:p>
    <w:p>
      <w:r>
        <w:pict>
          <v:rect style="width:0;height:1.5pt" o:hralign="center" o:hrstd="t" o:hr="t"/>
        </w:pict>
      </w:r>
    </w:p>
    <w:bookmarkEnd w:id="53"/>
    <w:bookmarkEnd w:id="54"/>
    <w:bookmarkStart w:id="56" w:name="Xbcc0181b0bedc83b159769420775f7f4bd5b5ee"/>
    <w:p>
      <w:pPr>
        <w:pStyle w:val="Heading1"/>
      </w:pPr>
      <w:r>
        <w:t xml:space="preserve">8. Part 2 — Network Access Control: 802.1X Closes the Device Identity Gap</w:t>
      </w:r>
    </w:p>
    <w:bookmarkStart w:id="55"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with five interlocking mechanisms:</w:t>
      </w:r>
    </w:p>
    <w:p>
      <w:pPr>
        <w:pStyle w:val="Compact"/>
        <w:numPr>
          <w:ilvl w:val="0"/>
          <w:numId w:val="1011"/>
        </w:numPr>
      </w:pPr>
      <w:r>
        <w:rPr>
          <w:b/>
          <w:bCs/>
        </w:rPr>
        <w:t xml:space="preserve">802.1X EAP-TLS</w:t>
      </w:r>
      <w:r>
        <w:t xml:space="preserve"> </w:t>
      </w:r>
      <w:r>
        <w:t xml:space="preserve">— port authentication with TPM-backed machine certificates issued via Intune SCEP</w:t>
      </w:r>
    </w:p>
    <w:p>
      <w:pPr>
        <w:pStyle w:val="Compact"/>
        <w:numPr>
          <w:ilvl w:val="0"/>
          <w:numId w:val="1011"/>
        </w:numPr>
      </w:pPr>
      <w:r>
        <w:rPr>
          <w:b/>
          <w:bCs/>
        </w:rPr>
        <w:t xml:space="preserve">RADIUS with Change of Authorization (CoA)</w:t>
      </w:r>
      <w:r>
        <w:t xml:space="preserve"> </w:t>
      </w:r>
      <w:r>
        <w:t xml:space="preserve">— real-time policy enforcement; non-compliant devices moved to the remediation VLAN without requiring re-authentication</w:t>
      </w:r>
    </w:p>
    <w:p>
      <w:pPr>
        <w:pStyle w:val="Compact"/>
        <w:numPr>
          <w:ilvl w:val="0"/>
          <w:numId w:val="1011"/>
        </w:numPr>
      </w:pPr>
      <w:r>
        <w:rPr>
          <w:b/>
          <w:bCs/>
        </w:rPr>
        <w:t xml:space="preserve">NAC policy tiers</w:t>
      </w:r>
      <w:r>
        <w:t xml:space="preserve"> </w:t>
      </w:r>
      <w:r>
        <w:t xml:space="preserve">— production, remediation, quarantine, guest, and IoT lanes with distinct access rights</w:t>
      </w:r>
    </w:p>
    <w:p>
      <w:pPr>
        <w:pStyle w:val="Compact"/>
        <w:numPr>
          <w:ilvl w:val="0"/>
          <w:numId w:val="1011"/>
        </w:numPr>
      </w:pPr>
      <w:r>
        <w:rPr>
          <w:b/>
          <w:bCs/>
        </w:rPr>
        <w:t xml:space="preserve">DHCP fingerprinting</w:t>
      </w:r>
      <w:r>
        <w:t xml:space="preserve"> </w:t>
      </w:r>
      <w:r>
        <w:t xml:space="preserve">— device classification feeding IPAM as the authoritative device inventory</w:t>
      </w:r>
    </w:p>
    <w:p>
      <w:pPr>
        <w:pStyle w:val="Compact"/>
        <w:numPr>
          <w:ilvl w:val="0"/>
          <w:numId w:val="1011"/>
        </w:numPr>
      </w:pPr>
      <w:r>
        <w:rPr>
          <w:b/>
          <w:bCs/>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55"/>
    <w:bookmarkEnd w:id="56"/>
    <w:bookmarkStart w:id="58" w:name="X405ac1b7341efa237459fac366bded0a1afb81b"/>
    <w:p>
      <w:pPr>
        <w:pStyle w:val="Heading1"/>
      </w:pPr>
      <w:r>
        <w:t xml:space="preserve">9. Part 3 — Certificates &amp; Tokens: Cryptographic Identity</w:t>
      </w:r>
    </w:p>
    <w:bookmarkStart w:id="57"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pStyle w:val="Compact"/>
        <w:numPr>
          <w:ilvl w:val="0"/>
          <w:numId w:val="1012"/>
        </w:numPr>
      </w:pPr>
      <w:r>
        <w:rPr>
          <w:b/>
          <w:bCs/>
        </w:rPr>
        <w:t xml:space="preserve">PKI as a naming-plane function</w:t>
      </w:r>
      <w:r>
        <w:t xml:space="preserve"> </w:t>
      </w:r>
      <w:r>
        <w:t xml:space="preserve">— certificate issuance, revocation, CAA, and ACME DNS-01 live in the same substrate as Part 1’s DDI</w:t>
      </w:r>
    </w:p>
    <w:p>
      <w:pPr>
        <w:pStyle w:val="Compact"/>
        <w:numPr>
          <w:ilvl w:val="0"/>
          <w:numId w:val="1012"/>
        </w:numPr>
      </w:pPr>
      <w:r>
        <w:rPr>
          <w:b/>
          <w:bCs/>
        </w:rPr>
        <w:t xml:space="preserve">Certificate lifecycle automation</w:t>
      </w:r>
      <w:r>
        <w:t xml:space="preserve"> </w:t>
      </w:r>
      <w:r>
        <w:t xml:space="preserve">— short-lived certificates with automated ACME renewal; expiry linked to IP host records</w:t>
      </w:r>
    </w:p>
    <w:p>
      <w:pPr>
        <w:pStyle w:val="Compact"/>
        <w:numPr>
          <w:ilvl w:val="0"/>
          <w:numId w:val="1012"/>
        </w:numPr>
      </w:pPr>
      <w:r>
        <w:rPr>
          <w:b/>
          <w:bCs/>
        </w:rPr>
        <w:t xml:space="preserve">Token-based identity</w:t>
      </w:r>
      <w:r>
        <w:t xml:space="preserve"> </w:t>
      </w:r>
      <w:r>
        <w:t xml:space="preserve">— OAuth 2.0/OIDC, certificate-based authentication (CBA), and phishing-resistant MFA per BOD 25-01</w:t>
      </w:r>
    </w:p>
    <w:p>
      <w:pPr>
        <w:pStyle w:val="Compact"/>
        <w:numPr>
          <w:ilvl w:val="0"/>
          <w:numId w:val="1012"/>
        </w:numPr>
      </w:pPr>
      <w:r>
        <w:rPr>
          <w:b/>
          <w:bCs/>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57"/>
    <w:bookmarkEnd w:id="58"/>
    <w:bookmarkStart w:id="60" w:name="Xc99982daf1675290c6dee7e65da8f2f47fccda2"/>
    <w:p>
      <w:pPr>
        <w:pStyle w:val="Heading1"/>
      </w:pPr>
      <w:r>
        <w:t xml:space="preserve">10. Part 4 — OPM HRIT and the Identity &amp; Organizational SSOT</w:t>
      </w:r>
    </w:p>
    <w:bookmarkStart w:id="59"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pStyle w:val="Compact"/>
        <w:numPr>
          <w:ilvl w:val="0"/>
          <w:numId w:val="1013"/>
        </w:numPr>
      </w:pPr>
      <w:r>
        <w:rPr>
          <w:b/>
          <w:bCs/>
        </w:rPr>
        <w:t xml:space="preserve">Joiner/mover/leaver lifecycle</w:t>
      </w:r>
      <w:r>
        <w:t xml:space="preserve"> </w:t>
      </w:r>
      <w:r>
        <w:t xml:space="preserve">— HR events drive same-day account creation, role change, and deprovisioning into Entra ID via SCIM</w:t>
      </w:r>
    </w:p>
    <w:p>
      <w:pPr>
        <w:pStyle w:val="Compact"/>
        <w:numPr>
          <w:ilvl w:val="0"/>
          <w:numId w:val="1013"/>
        </w:numPr>
      </w:pPr>
      <w:r>
        <w:rPr>
          <w:b/>
          <w:bCs/>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pStyle w:val="Compact"/>
        <w:numPr>
          <w:ilvl w:val="0"/>
          <w:numId w:val="1013"/>
        </w:numPr>
      </w:pPr>
      <w:r>
        <w:rPr>
          <w:b/>
          <w:bCs/>
        </w:rPr>
        <w:t xml:space="preserve">Identifier management</w:t>
      </w:r>
      <w:r>
        <w:t xml:space="preserve"> </w:t>
      </w:r>
      <w:r>
        <w:t xml:space="preserve">— canonical identifiers anchored to the HR record flow through all downstream systems</w:t>
      </w:r>
    </w:p>
    <w:p>
      <w:pPr>
        <w:pStyle w:val="Compact"/>
        <w:numPr>
          <w:ilvl w:val="0"/>
          <w:numId w:val="1013"/>
        </w:numPr>
      </w:pPr>
      <w:r>
        <w:rPr>
          <w:b/>
          <w:bCs/>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59"/>
    <w:bookmarkEnd w:id="60"/>
    <w:bookmarkStart w:id="63" w:name="X10b5b70168cf61c697e46bca4109e68839cb391"/>
    <w:p>
      <w:pPr>
        <w:pStyle w:val="Heading1"/>
      </w:pPr>
      <w:r>
        <w:t xml:space="preserve">11. Part 5 — Network and Identity Modernization: Entra ID + ZTNA + Active Governance Closes 12 NIST Controls</w:t>
      </w:r>
    </w:p>
    <w:p>
      <w:pPr>
        <w:pStyle w:val="BlockText"/>
      </w:pPr>
      <w:r>
        <w:rPr>
          <w:b/>
          <w:bCs/>
        </w:rPr>
        <w:t xml:space="preserve">“Active Governance”</w:t>
      </w:r>
      <w:r>
        <w:rPr>
          <w:b/>
          <w:bCs/>
        </w:rPr>
        <w:t xml:space="preserve"> </w:t>
      </w:r>
      <w:r>
        <w:rPr>
          <w:b/>
          <w:bCs/>
        </w:rPr>
        <w:t xml:space="preserve">is an architectural pattern, not a product.</w:t>
      </w:r>
      <w:r>
        <w:t xml:space="preserve"> </w:t>
      </w:r>
      <w:r>
        <w:t xml:space="preserve">Wherever it appears in this document’s technology columns, it names a control-plane role: continuously observe actual state, compare it to desired state, and emit machine-readable reconciliation records. Any conformance/reconciliation engine that satisfies that contract fills the role; no product selection is implied.</w:t>
      </w:r>
    </w:p>
    <w:bookmarkStart w:id="61"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14"/>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14"/>
        </w:numPr>
      </w:pPr>
      <w:r>
        <w:rPr>
          <w:b/>
          <w:bCs/>
        </w:rPr>
        <w:t xml:space="preserve">Deploy application-aware networking</w:t>
      </w:r>
      <w:r>
        <w:t xml:space="preserve"> </w:t>
      </w:r>
      <w:r>
        <w:t xml:space="preserve">— enforce policy at the application layer, not the IP/port layer</w:t>
      </w:r>
    </w:p>
    <w:p>
      <w:pPr>
        <w:pStyle w:val="Compact"/>
        <w:numPr>
          <w:ilvl w:val="0"/>
          <w:numId w:val="1014"/>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14"/>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61"/>
    <w:bookmarkStart w:id="62"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OPM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OPM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OPM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62"/>
    <w:bookmarkEnd w:id="63"/>
    <w:bookmarkStart w:id="66" w:name="X2d88030fe1371762303048ee6244da6478ed0f7"/>
    <w:p>
      <w:pPr>
        <w:pStyle w:val="Heading1"/>
      </w:pPr>
      <w:r>
        <w:t xml:space="preserve">12. Part 6 — Telecommunications Modernization: SD-WAN + SASE Closes 7 NIST Controls</w:t>
      </w:r>
    </w:p>
    <w:bookmarkStart w:id="64"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64"/>
    <w:bookmarkStart w:id="65"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65"/>
    <w:bookmarkEnd w:id="66"/>
    <w:bookmarkStart w:id="70" w:name="Xd4e84a07e291e418566bcb97aa439fd3597f127"/>
    <w:p>
      <w:pPr>
        <w:pStyle w:val="Heading1"/>
      </w:pPr>
      <w:r>
        <w:t xml:space="preserve">13. Parts 7–9 — SQL Server and Database Architecture</w:t>
      </w:r>
    </w:p>
    <w:bookmarkStart w:id="67"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67"/>
    <w:bookmarkStart w:id="68"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68"/>
    <w:bookmarkStart w:id="69"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69"/>
    <w:bookmarkEnd w:id="70"/>
    <w:bookmarkStart w:id="72"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71"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71"/>
    <w:bookmarkEnd w:id="72"/>
    <w:bookmarkStart w:id="79"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74" name="Picture"/>
            <a:graphic>
              <a:graphicData uri="http://schemas.openxmlformats.org/drawingml/2006/picture">
                <pic:pic>
                  <pic:nvPicPr>
                    <pic:cNvPr descr="figs/es-fig-02-control-closure-chart.png" id="75" name="Picture"/>
                    <pic:cNvPicPr>
                      <a:picLocks noChangeArrowheads="1" noChangeAspect="1"/>
                    </pic:cNvPicPr>
                  </pic:nvPicPr>
                  <pic:blipFill>
                    <a:blip r:embed="rId73"/>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76"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OPM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OPM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76"/>
    <w:bookmarkStart w:id="77"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77"/>
    <w:bookmarkStart w:id="78"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15"/>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15"/>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15"/>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15"/>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16"/>
        </w:numPr>
      </w:pPr>
      <w:r>
        <w:rPr>
          <w:b/>
          <w:bCs/>
        </w:rPr>
        <w:t xml:space="preserve">InfoBlox WAPI</w:t>
      </w:r>
      <w:r>
        <w:t xml:space="preserve"> </w:t>
      </w:r>
      <w:r>
        <w:t xml:space="preserve">exports all DDI evidence as structured JSON</w:t>
      </w:r>
    </w:p>
    <w:p>
      <w:pPr>
        <w:pStyle w:val="Compact"/>
        <w:numPr>
          <w:ilvl w:val="0"/>
          <w:numId w:val="1016"/>
        </w:numPr>
      </w:pPr>
      <w:r>
        <w:rPr>
          <w:b/>
          <w:bCs/>
        </w:rPr>
        <w:t xml:space="preserve">SASE stack</w:t>
      </w:r>
      <w:r>
        <w:t xml:space="preserve"> </w:t>
      </w:r>
      <w:r>
        <w:t xml:space="preserve">exports per-session telemetry in structured log format</w:t>
      </w:r>
    </w:p>
    <w:p>
      <w:pPr>
        <w:pStyle w:val="Compact"/>
        <w:numPr>
          <w:ilvl w:val="0"/>
          <w:numId w:val="1016"/>
        </w:numPr>
      </w:pPr>
      <w:r>
        <w:rPr>
          <w:b/>
          <w:bCs/>
        </w:rPr>
        <w:t xml:space="preserve">Active Governance control plane</w:t>
      </w:r>
      <w:r>
        <w:t xml:space="preserve"> </w:t>
      </w:r>
      <w:r>
        <w:t xml:space="preserve">generates desired-vs-actual JSON records as its primary output</w:t>
      </w:r>
    </w:p>
    <w:p>
      <w:pPr>
        <w:pStyle w:val="Compact"/>
        <w:numPr>
          <w:ilvl w:val="0"/>
          <w:numId w:val="1016"/>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16"/>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78"/>
    <w:bookmarkEnd w:id="79"/>
    <w:bookmarkStart w:id="85"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80"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80"/>
    <w:bookmarkStart w:id="81"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81"/>
    <w:bookmarkStart w:id="82"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82"/>
    <w:bookmarkStart w:id="83"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83"/>
    <w:bookmarkStart w:id="84"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84"/>
    <w:bookmarkEnd w:id="85"/>
    <w:bookmarkStart w:id="86"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86"/>
    <w:bookmarkStart w:id="92"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88" name="Picture"/>
            <a:graphic>
              <a:graphicData uri="http://schemas.openxmlformats.org/drawingml/2006/picture">
                <pic:pic>
                  <pic:nvPicPr>
                    <pic:cNvPr descr="figs/es-fig-04-sequencing-roadmap.png" id="89" name="Picture"/>
                    <pic:cNvPicPr>
                      <a:picLocks noChangeArrowheads="1" noChangeAspect="1"/>
                    </pic:cNvPicPr>
                  </pic:nvPicPr>
                  <pic:blipFill>
                    <a:blip r:embed="rId87"/>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OPM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on January 1, 2027 for the certified cloud service offerings SSA inherits. New Rev 5 certifications cease June 11, 2027. An agency whose inherited services transition to machine-readable KSI evidence while its own ConMon evidence stays manual will face inheritance friction at renewal — which is why this series structures agency evidence on the same KSI schema. All tracks must be in active implementation — not in planning — by Q4 2026.</w:t>
      </w:r>
    </w:p>
    <w:p>
      <w:r>
        <w:pict>
          <v:rect style="width:0;height:1.5pt" o:hralign="center" o:hrstd="t" o:hr="t"/>
        </w:pict>
      </w:r>
    </w:p>
    <w:bookmarkStart w:id="90" w:name="phased-delivery-roadmap"/>
    <w:p>
      <w:pPr>
        <w:pStyle w:val="Heading2"/>
      </w:pPr>
      <w:r>
        <w:t xml:space="preserve">18.1 Phased Delivery Roadmap</w:t>
      </w:r>
    </w:p>
    <w:p>
      <w:pPr>
        <w:pStyle w:val="FirstParagraph"/>
      </w:pPr>
      <w:r>
        <w:t xml:space="preserve">The roadmap tracks two things that must not be conflated:</w:t>
      </w:r>
      <w:r>
        <w:t xml:space="preserve"> </w:t>
      </w:r>
      <w:r>
        <w:rPr>
          <w:b/>
          <w:bCs/>
        </w:rPr>
        <w:t xml:space="preserve">authoring</w:t>
      </w:r>
      <w:r>
        <w:t xml:space="preserve"> </w:t>
      </w:r>
      <w:r>
        <w:t xml:space="preserve">(the</w:t>
      </w:r>
      <w:r>
        <w:t xml:space="preserve"> </w:t>
      </w:r>
      <w:r>
        <w:t xml:space="preserve">books, templates, and evidence pipeline — complete as of July 2026) and</w:t>
      </w:r>
      <w:r>
        <w:t xml:space="preserve"> </w:t>
      </w:r>
      <w:r>
        <w:rPr>
          <w:b/>
          <w:bCs/>
        </w:rPr>
        <w:t xml:space="preserve">implementation</w:t>
      </w:r>
      <w:r>
        <w:t xml:space="preserve"> </w:t>
      </w:r>
      <w:r>
        <w:t xml:space="preserve">(deployment against the estate — not started; draft pending</w:t>
      </w:r>
      <w:r>
        <w:t xml:space="preserve"> </w:t>
      </w:r>
      <w:r>
        <w:t xml:space="preserve">OIS review). Phase dates below are implementation milestones;</w:t>
      </w:r>
      <w:r>
        <w:t xml:space="preserve"> </w:t>
      </w:r>
      <w:r>
        <w:t xml:space="preserve">“Authored”</w:t>
      </w:r>
      <w:r>
        <w:t xml:space="preserve"> </w:t>
      </w:r>
      <w:r>
        <w:t xml:space="preserve">means</w:t>
      </w:r>
      <w:r>
        <w:t xml:space="preserve"> </w:t>
      </w:r>
      <w:r>
        <w:t xml:space="preserve">the deliverable documents and tooling exist, not that the milestone has been</w:t>
      </w:r>
      <w:r>
        <w:t xml:space="preserve"> </w:t>
      </w:r>
      <w:r>
        <w:t xml:space="preserve">executed.</w:t>
      </w:r>
    </w:p>
    <w:p>
      <w:pPr>
        <w:pStyle w:val="TableCaption"/>
      </w:pPr>
      <w:r>
        <w:t xml:space="preserve">Phased Delivery Roadmap — Phase 0 through Phase 6 (authoring vs. implementation)</w:t>
      </w:r>
    </w:p>
    <w:tbl>
      <w:tblPr>
        <w:tblStyle w:val="Table"/>
        <w:tblW w:type="pct" w:w="5000"/>
        <w:tblLayout w:type="fixed"/>
        <w:tblLook w:firstRow="1" w:lastRow="0" w:firstColumn="0" w:lastColumn="0" w:noHBand="0" w:noVBand="0" w:val="0020"/>
        <w:tblCaption w:val="Phased Delivery Roadmap — Phase 0 through Phase 6 (authoring vs. implementation)"/>
      </w:tblPr>
      <w:tblGrid>
        <w:gridCol w:w="955"/>
        <w:gridCol w:w="1365"/>
        <w:gridCol w:w="1502"/>
        <w:gridCol w:w="2184"/>
        <w:gridCol w:w="1911"/>
      </w:tblGrid>
      <w:tr>
        <w:trPr>
          <w:tblHeader w:val="on"/>
        </w:trPr>
        <w:tc>
          <w:tcPr/>
          <w:p>
            <w:pPr>
              <w:pStyle w:val="Compact"/>
            </w:pPr>
            <w:r>
              <w:t xml:space="preserve">Phase</w:t>
            </w:r>
          </w:p>
        </w:tc>
        <w:tc>
          <w:tcPr/>
          <w:p>
            <w:pPr>
              <w:pStyle w:val="Compact"/>
            </w:pPr>
            <w:r>
              <w:t xml:space="preserve">Timeline</w:t>
            </w:r>
          </w:p>
        </w:tc>
        <w:tc>
          <w:tcPr/>
          <w:p>
            <w:pPr>
              <w:pStyle w:val="Compact"/>
            </w:pPr>
            <w:r>
              <w:t xml:space="preserve">Authoring</w:t>
            </w:r>
          </w:p>
        </w:tc>
        <w:tc>
          <w:tcPr/>
          <w:p>
            <w:pPr>
              <w:pStyle w:val="Compact"/>
            </w:pPr>
            <w:r>
              <w:t xml:space="preserve">Implementation</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 Not started</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 Not started</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 Not started</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 Not started</w:t>
            </w:r>
          </w:p>
        </w:tc>
        <w:tc>
          <w:tcPr/>
          <w:p>
            <w:pPr>
              <w:pStyle w:val="Compact"/>
            </w:pPr>
            <w:r>
              <w:t xml:space="preserve">Part 17 PT/PII templates; Part 18 AT training program; KSI-022 → active; all 29 ADR-111 KSI rules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 Not started</w:t>
            </w:r>
          </w:p>
        </w:tc>
        <w:tc>
          <w:tcPr/>
          <w:p>
            <w:pPr>
              <w:pStyle w:val="Compact"/>
            </w:pPr>
            <w:r>
              <w:t xml:space="preserve">BOD 26-04 VDR/VER submission (due Dec 7); Authorization package assembled for the SSA AO; OSCAL AP+AR+POAM bundle (29/29 self-assessed, pending independent SCA)</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 Not started</w:t>
            </w:r>
          </w:p>
        </w:tc>
        <w:tc>
          <w:tcPr/>
          <w:p>
            <w:pPr>
              <w:pStyle w:val="Compact"/>
            </w:pPr>
            <w:r>
              <w:t xml:space="preserve">CR26 mandatory for inherited CSOs;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Complete</w:t>
            </w:r>
          </w:p>
        </w:tc>
        <w:tc>
          <w:tcPr/>
          <w:p>
            <w:pPr>
              <w:pStyle w:val="Compact"/>
            </w:pPr>
            <w:r>
              <w:t xml:space="preserve">⬜ Not started</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90"/>
    <w:bookmarkStart w:id="91"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uiao oscal bundle</w:t>
            </w:r>
            <w:r>
              <w:t xml:space="preserve"> </w:t>
            </w:r>
            <w:r>
              <w:t xml:space="preserve">Python emitter — OSCAL document version pinned in Book 19 §2.1 (currently 1.0.4); verify FedRAMP’s current machine-readable schema target before each authorization-cycle freeze</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91"/>
    <w:bookmarkEnd w:id="92"/>
    <w:bookmarkStart w:id="112"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93">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94">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95">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96">
              <w:r>
                <w:rPr>
                  <w:rStyle w:val="Hyperlink"/>
                </w:rPr>
                <w:t xml:space="preserve">Book 04 — OPM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97">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98">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99">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100">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101">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102">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103">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104">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105">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106">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107">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108">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109">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110">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111">
              <w:r>
                <w:rPr>
                  <w:rStyle w:val="Hyperlink"/>
                </w:rPr>
                <w:t xml:space="preserve">Book 19 — Authorization Package and ConMon</w:t>
              </w:r>
            </w:hyperlink>
          </w:p>
        </w:tc>
        <w:tc>
          <w:tcPr/>
          <w:p>
            <w:pPr>
              <w:pStyle w:val="Compact"/>
            </w:pPr>
            <w:r>
              <w:t xml:space="preserve">Part 19: authorization package structure, OSCAL AP+AR+POA&amp;M bundle (29/29 self-assessed, pending independent SCA), CA-7 ConMon program, BOD 26-04 VDR/VER submission, AO authorization checklist, authorization-decision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93" Target="Book_01_FedAAN_SSA_Landing_Zone_IPAM_FedRAMP.qmd" TargetMode="External" /><Relationship Type="http://schemas.openxmlformats.org/officeDocument/2006/relationships/hyperlink" Id="rId94" Target="Book_02_FedAAN_Network_Access_Control_802_1X.qmd" TargetMode="External" /><Relationship Type="http://schemas.openxmlformats.org/officeDocument/2006/relationships/hyperlink" Id="rId95" Target="Book_03_FedAAN_Certificates_Tokens_Cryptographic_Identity.qmd" TargetMode="External" /><Relationship Type="http://schemas.openxmlformats.org/officeDocument/2006/relationships/hyperlink" Id="rId96" Target="Book_04_FedAAN_OPM%20HRIT_Identity_Org_SSOT.qmd" TargetMode="External" /><Relationship Type="http://schemas.openxmlformats.org/officeDocument/2006/relationships/hyperlink" Id="rId97" Target="Book_05_FedAAN_Network_Modernization.qmd" TargetMode="External" /><Relationship Type="http://schemas.openxmlformats.org/officeDocument/2006/relationships/hyperlink" Id="rId98" Target="Book_06_FedAAN_Federal_Telecommunications_Modernization.qmd" TargetMode="External" /><Relationship Type="http://schemas.openxmlformats.org/officeDocument/2006/relationships/hyperlink" Id="rId99" Target="Book_07_FedAAN_SQL_Server_Authentication_Modernization.qmd" TargetMode="External" /><Relationship Type="http://schemas.openxmlformats.org/officeDocument/2006/relationships/hyperlink" Id="rId100" Target="Book_08_FedAAN_SQL_Server_Implementation_Guide.qmd" TargetMode="External" /><Relationship Type="http://schemas.openxmlformats.org/officeDocument/2006/relationships/hyperlink" Id="rId101" Target="Book_09_FedAAN_Database_Consolidation_Network_Physics.qmd" TargetMode="External" /><Relationship Type="http://schemas.openxmlformats.org/officeDocument/2006/relationships/hyperlink" Id="rId102" Target="Book_10_FedAAN_Privileged_Access_Management.qmd" TargetMode="External" /><Relationship Type="http://schemas.openxmlformats.org/officeDocument/2006/relationships/hyperlink" Id="rId103" Target="Book_11_FedAAN_Vulnerability_Management.qmd" TargetMode="External" /><Relationship Type="http://schemas.openxmlformats.org/officeDocument/2006/relationships/hyperlink" Id="rId104" Target="Book_12_FedAAN_Data_Protection_Purview.qmd" TargetMode="External" /><Relationship Type="http://schemas.openxmlformats.org/officeDocument/2006/relationships/hyperlink" Id="rId105" Target="Book_13_FedAAN_SIEM_XDR_Detection.qmd" TargetMode="External" /><Relationship Type="http://schemas.openxmlformats.org/officeDocument/2006/relationships/hyperlink" Id="rId106" Target="Book_14_FedAAN_Business_Continuity.qmd" TargetMode="External" /><Relationship Type="http://schemas.openxmlformats.org/officeDocument/2006/relationships/hyperlink" Id="rId107" Target="Book_15_FedAAN_Supply_Chain_Risk_Management.qmd" TargetMode="External" /><Relationship Type="http://schemas.openxmlformats.org/officeDocument/2006/relationships/hyperlink" Id="rId108" Target="Book_16_FedAAN_Program_Management_Governance.qmd" TargetMode="External" /><Relationship Type="http://schemas.openxmlformats.org/officeDocument/2006/relationships/hyperlink" Id="rId109" Target="Book_17_FedAAN_PII_Processing_Transparency.qmd" TargetMode="External" /><Relationship Type="http://schemas.openxmlformats.org/officeDocument/2006/relationships/hyperlink" Id="rId110" Target="Book_18_FedAAN_Cybersecurity_Training_Awareness.qmd" TargetMode="External" /><Relationship Type="http://schemas.openxmlformats.org/officeDocument/2006/relationships/hyperlink" Id="rId111"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3" Target="Book_01_FedAAN_SSA_Landing_Zone_IPAM_FedRAMP.qmd" TargetMode="External" /><Relationship Type="http://schemas.openxmlformats.org/officeDocument/2006/relationships/hyperlink" Id="rId94" Target="Book_02_FedAAN_Network_Access_Control_802_1X.qmd" TargetMode="External" /><Relationship Type="http://schemas.openxmlformats.org/officeDocument/2006/relationships/hyperlink" Id="rId95" Target="Book_03_FedAAN_Certificates_Tokens_Cryptographic_Identity.qmd" TargetMode="External" /><Relationship Type="http://schemas.openxmlformats.org/officeDocument/2006/relationships/hyperlink" Id="rId96" Target="Book_04_FedAAN_OPM%20HRIT_Identity_Org_SSOT.qmd" TargetMode="External" /><Relationship Type="http://schemas.openxmlformats.org/officeDocument/2006/relationships/hyperlink" Id="rId97" Target="Book_05_FedAAN_Network_Modernization.qmd" TargetMode="External" /><Relationship Type="http://schemas.openxmlformats.org/officeDocument/2006/relationships/hyperlink" Id="rId98" Target="Book_06_FedAAN_Federal_Telecommunications_Modernization.qmd" TargetMode="External" /><Relationship Type="http://schemas.openxmlformats.org/officeDocument/2006/relationships/hyperlink" Id="rId99" Target="Book_07_FedAAN_SQL_Server_Authentication_Modernization.qmd" TargetMode="External" /><Relationship Type="http://schemas.openxmlformats.org/officeDocument/2006/relationships/hyperlink" Id="rId100" Target="Book_08_FedAAN_SQL_Server_Implementation_Guide.qmd" TargetMode="External" /><Relationship Type="http://schemas.openxmlformats.org/officeDocument/2006/relationships/hyperlink" Id="rId101" Target="Book_09_FedAAN_Database_Consolidation_Network_Physics.qmd" TargetMode="External" /><Relationship Type="http://schemas.openxmlformats.org/officeDocument/2006/relationships/hyperlink" Id="rId102" Target="Book_10_FedAAN_Privileged_Access_Management.qmd" TargetMode="External" /><Relationship Type="http://schemas.openxmlformats.org/officeDocument/2006/relationships/hyperlink" Id="rId103" Target="Book_11_FedAAN_Vulnerability_Management.qmd" TargetMode="External" /><Relationship Type="http://schemas.openxmlformats.org/officeDocument/2006/relationships/hyperlink" Id="rId104" Target="Book_12_FedAAN_Data_Protection_Purview.qmd" TargetMode="External" /><Relationship Type="http://schemas.openxmlformats.org/officeDocument/2006/relationships/hyperlink" Id="rId105" Target="Book_13_FedAAN_SIEM_XDR_Detection.qmd" TargetMode="External" /><Relationship Type="http://schemas.openxmlformats.org/officeDocument/2006/relationships/hyperlink" Id="rId106" Target="Book_14_FedAAN_Business_Continuity.qmd" TargetMode="External" /><Relationship Type="http://schemas.openxmlformats.org/officeDocument/2006/relationships/hyperlink" Id="rId107" Target="Book_15_FedAAN_Supply_Chain_Risk_Management.qmd" TargetMode="External" /><Relationship Type="http://schemas.openxmlformats.org/officeDocument/2006/relationships/hyperlink" Id="rId108" Target="Book_16_FedAAN_Program_Management_Governance.qmd" TargetMode="External" /><Relationship Type="http://schemas.openxmlformats.org/officeDocument/2006/relationships/hyperlink" Id="rId109" Target="Book_17_FedAAN_PII_Processing_Transparency.qmd" TargetMode="External" /><Relationship Type="http://schemas.openxmlformats.org/officeDocument/2006/relationships/hyperlink" Id="rId110" Target="Book_18_FedAAN_Cybersecurity_Training_Awareness.qmd" TargetMode="External" /><Relationship Type="http://schemas.openxmlformats.org/officeDocument/2006/relationships/hyperlink" Id="rId111"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2026-07-09T14:23:13Z</dcterms:created>
  <dcterms:modified xsi:type="dcterms:W3CDTF">2026-07-09T14:23:13Z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