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75.png" ContentType="image/png"/>
  <Override PartName="/word/media/rId38.png" ContentType="image/png"/>
  <Override PartName="/word/media/rId9.png" ContentType="image/png"/>
  <Override PartName="/word/media/rId27.png" ContentType="image/png"/>
  <Override PartName="/word/media/rId35.png" ContentType="image/png"/>
  <Override PartName="/word/media/rId57.png" ContentType="image/png"/>
  <Override PartName="/word/media/rId63.png" ContentType="image/png"/>
  <Override PartName="/word/media/rId134.png" ContentType="image/png"/>
  <Override PartName="/word/media/rId79.png" ContentType="image/png"/>
  <Override PartName="/word/media/rId70.png" ContentType="image/png"/>
  <Override PartName="/word/media/rId32.png" ContentType="image/png"/>
  <Override PartName="/word/media/rId87.png" ContentType="image/png"/>
  <Override PartName="/word/media/rId19.png" ContentType="image/png"/>
  <Override PartName="/word/media/rId123.png" ContentType="image/png"/>
  <Override PartName="/word/media/rId24.png" ContentType="image/png"/>
  <Override PartName="/word/media/rId60.png" ContentType="image/png"/>
  <Override PartName="/word/media/rId154.png" ContentType="image/png"/>
  <Override PartName="/word/media/rId131.png" ContentType="image/png"/>
  <Override PartName="/word/media/rId102.svg" ContentType="image/svg+xml"/>
  <Override PartName="/word/media/rId107.svg" ContentType="image/svg+xml"/>
  <Override PartName="/word/media/rId115.png" ContentType="image/png"/>
  <Override PartName="/word/media/rId46.png" ContentType="image/png"/>
  <Override PartName="/word/media/rId52.png" ContentType="image/png"/>
  <Override PartName="/word/media/rId12.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09:14 ET</w:t>
            </w:r>
          </w:p>
          <w:p/>
        </w:tc>
      </w:tr>
    </w:tbl>
    <w:p>
      <w:r>
        <w:pict>
          <v:rect style="width:0;height:1.5pt" o:hralign="center" o:hrstd="t" o:hr="t"/>
        </w:pict>
      </w:r>
    </w:p>
    <w:bookmarkStart w:id="15"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Unified DDI</w:t>
      </w:r>
      <w:r>
        <w:t xml:space="preserve"> </w:t>
      </w:r>
      <w:r>
        <w:t xml:space="preserve">— an authoritative DNS/DHCP/IPAM plane with DNSSEC and RPZ — solves all four problems from a single control plane.</w:t>
      </w:r>
      <w:r>
        <w:t xml:space="preserve"> </w:t>
      </w:r>
      <w:r>
        <w:rPr>
          <w:b/>
          <w:bCs/>
        </w:rPr>
        <w:t xml:space="preserve">InfoBlox DDI</w:t>
      </w:r>
      <w:r>
        <w:t xml:space="preserve"> </w:t>
      </w:r>
      <w:r>
        <w:t xml:space="preserve">is the deployed example this document evaluates for SSA’s estate. Under Path A (cloud-managed, below) the control plane is InfoBlox’s FedRAMP-authorized offering, listed on the Marketplace as</w:t>
      </w:r>
      <w:r>
        <w:t xml:space="preserve"> </w:t>
      </w:r>
      <w:r>
        <w:rPr>
          <w:b/>
          <w:bCs/>
        </w:rPr>
        <w:t xml:space="preserve">Infoblox Government Cloud</w:t>
      </w:r>
      <w:r>
        <w:t xml:space="preserve"> </w:t>
      </w:r>
      <w:r>
        <w:t xml:space="preserve">(CSO FR2017257053, hosted on AWS GovCloud — verify current scope and authorization date on the FedRAMP Marketplace); under Path B (agency-operated, the better fit for SSA’s topology) the agency carries the component in its own boundary and no inheritance applies.</w:t>
      </w:r>
    </w:p>
    <w:p>
      <w:pPr>
        <w:pStyle w:val="BlockText"/>
      </w:pPr>
      <w:r>
        <w:rPr>
          <w:b/>
          <w:bCs/>
        </w:rPr>
        <w:t xml:space="preserve">Mechanism, not product.</w:t>
      </w:r>
      <w:r>
        <w:t xml:space="preserve"> </w:t>
      </w:r>
      <w:r>
        <w:t xml:space="preserve">Per series doctrine (Book 00), closure necessity names mechanism classes, never products. The mechanism argued for throughout this document is unified DDI; InfoBlox is the deployed example chosen for SSA’s current estate,</w:t>
      </w:r>
      <w:r>
        <w:t xml:space="preserve"> </w:t>
      </w:r>
      <w:r>
        <w:rPr>
          <w:b/>
          <w:bCs/>
        </w:rPr>
        <w:t xml:space="preserve">BlueCat Integrity</w:t>
      </w:r>
      <w:r>
        <w:t xml:space="preserve"> </w:t>
      </w:r>
      <w:r>
        <w:t xml:space="preserve">is the principal mechanism-class peer, and the ConMon roadmap’s alternatives matrix documents what changes on substitution. Every closure claim below is a claim about the mechanism class.</w:t>
      </w:r>
    </w:p>
    <w:p>
      <w:pPr>
        <w:pStyle w:val="FirstParagraph"/>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Under Path A, SSA inherits the DDI-layer controls rather than re-proving them; under Path B the same controls are agency-carried, with the evidence generated natively by the platform.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InfoBlox’s own FedRAMP-authorized service (Infoblox Government Cloud)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(Infoblox Government Cloud, CSO FR2017257053 — verify current scope and authorization date on the FedRAMP Marketplace).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pPr>
        <w:pStyle w:val="CaptionedFigure"/>
      </w:pPr>
      <w:r>
        <w:drawing>
          <wp:inline>
            <wp:extent cx="5334000" cy="3000375"/>
            <wp:effectExtent b="0" l="0" r="0" t="0"/>
            <wp:docPr descr="Deployment Paths — Path A (BloxOne DDI, cloud-managed) vs. Path B (NIOS Grid, agency-operated)" title="" id="13" name="Picture"/>
            <a:graphic>
              <a:graphicData uri="http://schemas.openxmlformats.org/drawingml/2006/picture">
                <pic:pic>
                  <pic:nvPicPr>
                    <pic:cNvPr descr="figs/lz-fig-21-deployment-paths.png" id="14" name="Picture"/>
                    <pic:cNvPicPr>
                      <a:picLocks noChangeArrowheads="1" noChangeAspect="1"/>
                    </pic:cNvPicPr>
                  </pic:nvPicPr>
                  <pic:blipFill>
                    <a:blip r:embed="rId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Deployment Paths — Path A (BloxOne DDI, cloud-managed) vs. Path B (NIOS Grid, agency-operated)</w:t>
      </w:r>
    </w:p>
    <w:p>
      <w:r>
        <w:pict>
          <v:rect style="width:0;height:1.5pt" o:hralign="center" o:hrstd="t" o:hr="t"/>
        </w:pict>
      </w:r>
    </w:p>
    <w:bookmarkEnd w:id="15"/>
    <w:bookmarkStart w:id="31"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20" name="Picture"/>
            <a:graphic>
              <a:graphicData uri="http://schemas.openxmlformats.org/drawingml/2006/picture">
                <pic:pic>
                  <pic:nvPicPr>
                    <pic:cNvPr descr="figs/lz-fig-10-fedramp-20x.png" id="21" name="Picture"/>
                    <pic:cNvPicPr>
                      <a:picLocks noChangeArrowheads="1" noChangeAspect="1"/>
                    </pic:cNvPicPr>
                  </pic:nvPicPr>
                  <pic:blipFill>
                    <a:blip r:embed="rId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important.png" id="2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30"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5" name="Picture"/>
            <a:graphic>
              <a:graphicData uri="http://schemas.openxmlformats.org/drawingml/2006/picture">
                <pic:pic>
                  <pic:nvPicPr>
                    <pic:cNvPr descr="figs/lz-fig-12-four-env.png" id="26" name="Picture"/>
                    <pic:cNvPicPr>
                      <a:picLocks noChangeArrowheads="1" noChangeAspect="1"/>
                    </pic:cNvPicPr>
                  </pic:nvPicPr>
                  <pic:blipFill>
                    <a:blip r:embed="rId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8" name="Picture"/>
            <a:graphic>
              <a:graphicData uri="http://schemas.openxmlformats.org/drawingml/2006/picture">
                <pic:pic>
                  <pic:nvPicPr>
                    <pic:cNvPr descr="figs/lz-fig-01-control-hub.png" id="29" name="Picture"/>
                    <pic:cNvPicPr>
                      <a:picLocks noChangeArrowheads="1" noChangeAspect="1"/>
                    </pic:cNvPicPr>
                  </pic:nvPicPr>
                  <pic:blipFill>
                    <a:blip r:embed="rId27"/>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30"/>
    <w:bookmarkEnd w:id="31"/>
    <w:bookmarkStart w:id="45"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3" name="Picture"/>
            <a:graphic>
              <a:graphicData uri="http://schemas.openxmlformats.org/drawingml/2006/picture">
                <pic:pic>
                  <pic:nvPicPr>
                    <pic:cNvPr descr="figs/lz-fig-08-dns-journey.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6" name="Picture"/>
            <a:graphic>
              <a:graphicData uri="http://schemas.openxmlformats.org/drawingml/2006/picture">
                <pic:pic>
                  <pic:nvPicPr>
                    <pic:cNvPr descr="figs/lz-fig-02-sdn-dhcp.png" id="37" name="Picture"/>
                    <pic:cNvPicPr>
                      <a:picLocks noChangeArrowheads="1" noChangeAspect="1"/>
                    </pic:cNvPicPr>
                  </pic:nvPicPr>
                  <pic:blipFill>
                    <a:blip r:embed="rId3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41"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41"/>
    <w:bookmarkStart w:id="42"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42"/>
    <w:bookmarkStart w:id="43"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3"/>
    <w:bookmarkStart w:id="44"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4"/>
    <w:bookmarkEnd w:id="45"/>
    <w:bookmarkStart w:id="85"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7" name="Picture"/>
            <a:graphic>
              <a:graphicData uri="http://schemas.openxmlformats.org/drawingml/2006/picture">
                <pic:pic>
                  <pic:nvPicPr>
                    <pic:cNvPr descr="figs/lz-fig-19-legacy-modern-ipam.png" id="48" name="Picture"/>
                    <pic:cNvPicPr>
                      <a:picLocks noChangeArrowheads="1" noChangeAspect="1"/>
                    </pic:cNvPicPr>
                  </pic:nvPicPr>
                  <pic:blipFill>
                    <a:blip r:embed="rId46"/>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9"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9"/>
    <w:bookmarkStart w:id="55"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important.png" id="5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3" name="Picture"/>
            <a:graphic>
              <a:graphicData uri="http://schemas.openxmlformats.org/drawingml/2006/picture">
                <pic:pic>
                  <pic:nvPicPr>
                    <pic:cNvPr descr="figs/lz-fig-20-ipam-delegation.png" id="54"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5"/>
    <w:bookmarkStart w:id="56"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6"/>
    <w:bookmarkStart w:id="69"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8" name="Picture"/>
            <a:graphic>
              <a:graphicData uri="http://schemas.openxmlformats.org/drawingml/2006/picture">
                <pic:pic>
                  <pic:nvPicPr>
                    <pic:cNvPr descr="figs/lz-fig-03-ms-partnership.png" id="59" name="Picture"/>
                    <pic:cNvPicPr>
                      <a:picLocks noChangeArrowheads="1" noChangeAspect="1"/>
                    </pic:cNvPicPr>
                  </pic:nvPicPr>
                  <pic:blipFill>
                    <a:blip r:embed="rId5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The Path A cloud-managed offering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8"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61" name="Picture"/>
            <a:graphic>
              <a:graphicData uri="http://schemas.openxmlformats.org/drawingml/2006/picture">
                <pic:pic>
                  <pic:nvPicPr>
                    <pic:cNvPr descr="figs/lz-fig-13-boundary-gap.png" id="62" name="Picture"/>
                    <pic:cNvPicPr>
                      <a:picLocks noChangeArrowheads="1" noChangeAspect="1"/>
                    </pic:cNvPicPr>
                  </pic:nvPicPr>
                  <pic:blipFill>
                    <a:blip r:embed="rId6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4" name="Picture"/>
            <a:graphic>
              <a:graphicData uri="http://schemas.openxmlformats.org/drawingml/2006/picture">
                <pic:pic>
                  <pic:nvPicPr>
                    <pic:cNvPr descr="figs/lz-fig-04-m365-pipeline.png" id="65" name="Picture"/>
                    <pic:cNvPicPr>
                      <a:picLocks noChangeArrowheads="1" noChangeAspect="1"/>
                    </pic:cNvPicPr>
                  </pic:nvPicPr>
                  <pic:blipFill>
                    <a:blip r:embed="rId63"/>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warning.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8"/>
    <w:bookmarkEnd w:id="69"/>
    <w:bookmarkStart w:id="78"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Infoblox Government Cloud Hosted on AWS, LZA DNS Alignment" title="" id="71" name="Picture"/>
            <a:graphic>
              <a:graphicData uri="http://schemas.openxmlformats.org/drawingml/2006/picture">
                <pic:pic>
                  <pic:nvPicPr>
                    <pic:cNvPr descr="figs/lz-fig-07-aws-lza.png" id="72" name="Picture"/>
                    <pic:cNvPicPr>
                      <a:picLocks noChangeArrowheads="1" noChangeAspect="1"/>
                    </pic:cNvPicPr>
                  </pic:nvPicPr>
                  <pic:blipFill>
                    <a:blip r:embed="rId7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Infoblox Government Cloud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(Infoblox Government Cloud, CSO FR2017257053 — verify current scope and date on the FedRAMP Marketplace)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 (Path A only):</w:t>
            </w:r>
            <w:r>
              <w:t xml:space="preserve"> </w:t>
            </w:r>
            <w:r>
              <w:t xml:space="preserve">When SSA uses the cloud-managed control plane, it is hosted on AWS GovCloud infrastructure with its own FedRAMP High authorization. SSA inherits both the InfoBlox CSO (FR2017257053) and the AWS GovCloud infrastructure authorization — layered FedRAMP coverage. Under Path B neither inheritance applies; the agency carries the component.</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 (Path A):</w:t>
      </w:r>
      <w:r>
        <w:t xml:space="preserve"> </w:t>
      </w:r>
      <w:r>
        <w:t xml:space="preserve">the cloud-managed offering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8"/>
    <w:bookmarkStart w:id="84"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80" name="Picture"/>
            <a:graphic>
              <a:graphicData uri="http://schemas.openxmlformats.org/drawingml/2006/picture">
                <pic:pic>
                  <pic:nvPicPr>
                    <pic:cNvPr descr="figs/lz-fig-06-opm-hrit.png" id="81" name="Picture"/>
                    <pic:cNvPicPr>
                      <a:picLocks noChangeArrowheads="1" noChangeAspect="1"/>
                    </pic:cNvPicPr>
                  </pic:nvPicPr>
                  <pic:blipFill>
                    <a:blip r:embed="rId79"/>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important.png" id="8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4"/>
    <w:bookmarkEnd w:id="85"/>
    <w:bookmarkStart w:id="97"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6">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8" name="Picture"/>
            <a:graphic>
              <a:graphicData uri="http://schemas.openxmlformats.org/drawingml/2006/picture">
                <pic:pic>
                  <pic:nvPicPr>
                    <pic:cNvPr descr="figs/lz-fig-09-cert-lifecycle.png" id="89" name="Picture"/>
                    <pic:cNvPicPr>
                      <a:picLocks noChangeArrowheads="1" noChangeAspect="1"/>
                    </pic:cNvPicPr>
                  </pic:nvPicPr>
                  <pic:blipFill>
                    <a:blip r:embed="rId8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90"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90"/>
    <w:bookmarkStart w:id="96"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5">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5">
              <w:r>
                <w:rPr>
                  <w:rStyle w:val="Hyperlink"/>
                </w:rPr>
                <w:t xml:space="preserve">Book 02</w:t>
              </w:r>
            </w:hyperlink>
            <w:r>
              <w:t xml:space="preserve"> </w:t>
            </w:r>
            <w:r>
              <w:t xml:space="preserve">(NAC/802.1X) and</w:t>
            </w:r>
            <w:r>
              <w:t xml:space="preserve"> </w:t>
            </w:r>
            <w:hyperlink r:id="rId86">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6"/>
    <w:bookmarkEnd w:id="97"/>
    <w:bookmarkStart w:id="114"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101"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CaptionedFigure"/>
      </w:pPr>
      <w:r>
        <w:drawing>
          <wp:inline>
            <wp:extent cx="5334000" cy="3000375"/>
            <wp:effectExtent b="0" l="0" r="0" t="0"/>
            <wp:docPr descr="Split-Brain DNS — Same Query, Different Answers, and Why Process Discipline Can’t Fix It" title="" id="99" name="Picture"/>
            <a:graphic>
              <a:graphicData uri="http://schemas.openxmlformats.org/drawingml/2006/picture">
                <pic:pic>
                  <pic:nvPicPr>
                    <pic:cNvPr descr="figs/lz-fig-22-split-brain-dns.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Split-Brain DNS — Same Query, Different Answers, and Why Process Discipline Can’t Fix It</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101"/>
    <w:bookmarkStart w:id="105"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103" name="Picture"/>
            <a:graphic>
              <a:graphicData uri="http://schemas.openxmlformats.org/drawingml/2006/picture">
                <pic:pic>
                  <pic:nvPicPr>
                    <pic:cNvPr descr="figs/lz-fig-16-subdomain-hierarchy.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105"/>
    <w:bookmarkStart w:id="106"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6"/>
    <w:bookmarkStart w:id="110"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8" name="Picture"/>
            <a:graphic>
              <a:graphicData uri="http://schemas.openxmlformats.org/drawingml/2006/picture">
                <pic:pic>
                  <pic:nvPicPr>
                    <pic:cNvPr descr="figs/lz-fig-17-split-horizon.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10"/>
    <w:bookmarkStart w:id="111"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11"/>
    <w:bookmarkStart w:id="112"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12"/>
    <w:bookmarkStart w:id="113"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13"/>
    <w:bookmarkEnd w:id="114"/>
    <w:bookmarkStart w:id="119"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6" name="Picture"/>
            <a:graphic>
              <a:graphicData uri="http://schemas.openxmlformats.org/drawingml/2006/picture">
                <pic:pic>
                  <pic:nvPicPr>
                    <pic:cNvPr descr="figs/lz-fig-18-dns-traffic-steering.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8">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9"/>
    <w:bookmarkStart w:id="122"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important.png" id="121"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22"/>
    <w:bookmarkStart w:id="130"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24" name="Picture"/>
            <a:graphic>
              <a:graphicData uri="http://schemas.openxmlformats.org/drawingml/2006/picture">
                <pic:pic>
                  <pic:nvPicPr>
                    <pic:cNvPr descr="figs/lz-fig-11-zt-staircase.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6"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6"/>
    <w:bookmarkStart w:id="127"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7"/>
    <w:bookmarkStart w:id="128"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8"/>
    <w:bookmarkStart w:id="129"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9"/>
    <w:bookmarkEnd w:id="130"/>
    <w:bookmarkStart w:id="139"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32" name="Picture"/>
            <a:graphic>
              <a:graphicData uri="http://schemas.openxmlformats.org/drawingml/2006/picture">
                <pic:pic>
                  <pic:nvPicPr>
                    <pic:cNvPr descr="figs/lz-fig-15-rpz-gate.png" id="133" name="Picture"/>
                    <pic:cNvPicPr>
                      <a:picLocks noChangeArrowheads="1" noChangeAspect="1"/>
                    </pic:cNvPicPr>
                  </pic:nvPicPr>
                  <pic:blipFill>
                    <a:blip r:embed="rId1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35" name="Picture"/>
            <a:graphic>
              <a:graphicData uri="http://schemas.openxmlformats.org/drawingml/2006/picture">
                <pic:pic>
                  <pic:nvPicPr>
                    <pic:cNvPr descr="figs/lz-fig-05-boundary.png" id="136" name="Picture"/>
                    <pic:cNvPicPr>
                      <a:picLocks noChangeArrowheads="1" noChangeAspect="1"/>
                    </pic:cNvPicPr>
                  </pic:nvPicPr>
                  <pic:blipFill>
                    <a:blip r:embed="rId13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important.png" id="1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5">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9"/>
    <w:bookmarkStart w:id="144" w:name="sec-fedramp"/>
    <w:p>
      <w:pPr>
        <w:pStyle w:val="Heading2"/>
      </w:pPr>
      <w:r>
        <w:t xml:space="preserve">10 FedRAMP Moderate and FedRAMP 20x Controls</w:t>
      </w:r>
    </w:p>
    <w:bookmarkStart w:id="140"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40"/>
    <w:bookmarkStart w:id="143"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tip.png" id="14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43"/>
    <w:bookmarkEnd w:id="144"/>
    <w:bookmarkStart w:id="145"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45"/>
    <w:bookmarkStart w:id="152" w:name="sec-cmdb"/>
    <w:p>
      <w:pPr>
        <w:pStyle w:val="Heading2"/>
      </w:pPr>
      <w:r>
        <w:t xml:space="preserve">12 System Component Inventory — IPAM, CMDB, and the CM-8 Gap</w:t>
      </w:r>
    </w:p>
    <w:bookmarkStart w:id="148"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warning.png" id="1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8"/>
    <w:bookmarkStart w:id="149"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9"/>
    <w:bookmarkStart w:id="150"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50"/>
    <w:bookmarkStart w:id="151"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51"/>
    <w:bookmarkEnd w:id="152"/>
    <w:bookmarkStart w:id="153"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53"/>
    <w:bookmarkStart w:id="164"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55" name="Picture"/>
            <a:graphic>
              <a:graphicData uri="http://schemas.openxmlformats.org/drawingml/2006/picture">
                <pic:pic>
                  <pic:nvPicPr>
                    <pic:cNvPr descr="figs/lz-fig-14-roadmap.png" id="156" name="Picture"/>
                    <pic:cNvPicPr>
                      <a:picLocks noChangeArrowheads="1" noChangeAspect="1"/>
                    </pic:cNvPicPr>
                  </pic:nvPicPr>
                  <pic:blipFill>
                    <a:blip r:embed="rId154"/>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7" w:name="X6998601d02e0784d9756e9b3df61efe56f843a2"/>
    <w:p>
      <w:pPr>
        <w:pStyle w:val="Heading3"/>
      </w:pPr>
      <w:r>
        <w:t xml:space="preserve">Phase 0 — Procurement and Architecture (Month 1)</w:t>
      </w:r>
    </w:p>
    <w:p>
      <w:pPr>
        <w:pStyle w:val="Compact"/>
        <w:numPr>
          <w:ilvl w:val="0"/>
          <w:numId w:val="1017"/>
        </w:numPr>
      </w:pPr>
      <w:r>
        <w:t xml:space="preserve">Path A: procure the InfoBlox cloud-managed offering (Infoblox Government Cloud) via</w:t>
      </w:r>
      <w:r>
        <w:t xml:space="preserve"> </w:t>
      </w:r>
      <w:r>
        <w:rPr>
          <w:b/>
          <w:bCs/>
        </w:rPr>
        <w:t xml:space="preserve">AWS GovCloud Marketplace</w:t>
      </w:r>
      <w:r>
        <w:t xml:space="preserve"> </w:t>
      </w:r>
      <w:r>
        <w:t xml:space="preserve">against existing EA (no new IDIQ); Path B: procure NIOS via GSA Schedule GS-35F or agency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7"/>
    <w:bookmarkStart w:id="158"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5">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8"/>
    <w:bookmarkStart w:id="159"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9"/>
    <w:bookmarkStart w:id="160"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60"/>
    <w:bookmarkStart w:id="161"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61"/>
    <w:bookmarkStart w:id="162"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62"/>
    <w:bookmarkStart w:id="163"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documentation in SSP; reference CSO FR2017257053 for DDI-layer control inheritance (Path A only — Path B documents NIOS as an agency-operated component)</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63"/>
    <w:bookmarkEnd w:id="164"/>
    <w:bookmarkStart w:id="177"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Government Cloud — FedRAMP Marketplace listing (CSO FR2017257053)</w:t>
            </w:r>
          </w:p>
        </w:tc>
        <w:tc>
          <w:tcPr/>
          <w:p>
            <w:pPr>
              <w:pStyle w:val="Compact"/>
            </w:pPr>
            <w:hyperlink r:id="rId165">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6">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7">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8">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9">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70">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71">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72">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73">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74">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75">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6">
              <w:r>
                <w:rPr>
                  <w:rStyle w:val="Hyperlink"/>
                </w:rPr>
                <w:t xml:space="preserve">learn.microsoft.com/en-us/azure/azure-vmware/configure-dhcp-azure-vmware-solution</w:t>
              </w:r>
            </w:hyperlink>
          </w:p>
        </w:tc>
      </w:tr>
    </w:tbl>
    <w:p>
      <w:r>
        <w:pict>
          <v:rect style="width:0;height:1.5pt" o:hralign="center" o:hrstd="t" o:hr="t"/>
        </w:pic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75" Target="media/rId75.png" /><Relationship Type="http://schemas.openxmlformats.org/officeDocument/2006/relationships/image" Id="rId38" Target="media/rId38.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3" Target="media/rId63.png" /><Relationship Type="http://schemas.openxmlformats.org/officeDocument/2006/relationships/image" Id="rId134" Target="media/rId134.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32" Target="media/rId32.png" /><Relationship Type="http://schemas.openxmlformats.org/officeDocument/2006/relationships/image" Id="rId87" Target="media/rId87.png" /><Relationship Type="http://schemas.openxmlformats.org/officeDocument/2006/relationships/image" Id="rId19" Target="media/rId19.png" /><Relationship Type="http://schemas.openxmlformats.org/officeDocument/2006/relationships/image" Id="rId123" Target="media/rId123.png" /><Relationship Type="http://schemas.openxmlformats.org/officeDocument/2006/relationships/image" Id="rId24" Target="media/rId24.png" /><Relationship Type="http://schemas.openxmlformats.org/officeDocument/2006/relationships/image" Id="rId60" Target="media/rId60.png" /><Relationship Type="http://schemas.openxmlformats.org/officeDocument/2006/relationships/image" Id="rId154" Target="media/rId154.png" /><Relationship Type="http://schemas.openxmlformats.org/officeDocument/2006/relationships/image" Id="rId131" Target="media/rId131.png" /><Relationship Type="http://schemas.openxmlformats.org/officeDocument/2006/relationships/image" Id="rId102" Target="media/rId102.svg" /><Relationship Type="http://schemas.openxmlformats.org/officeDocument/2006/relationships/image" Id="rId107" Target="media/rId107.svg" /><Relationship Type="http://schemas.openxmlformats.org/officeDocument/2006/relationships/image" Id="rId115" Target="media/rId115.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12" Target="media/rId12.png" /><Relationship Type="http://schemas.openxmlformats.org/officeDocument/2006/relationships/image" Id="rId98" Target="media/rId98.png" /><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5" Target="Book_02_FedAAN_Network_Access_Control_802_1X.qmd" TargetMode="External" /><Relationship Type="http://schemas.openxmlformats.org/officeDocument/2006/relationships/hyperlink" Id="rId86" Target="Book_03_FedAAN_Certificates_Tokens_Cryptographic_Identity.qmd" TargetMode="External" /><Relationship Type="http://schemas.openxmlformats.org/officeDocument/2006/relationships/hyperlink" Id="rId118" Target="Book_05_FedAAN_Network_Modernization.qmd" TargetMode="External" /><Relationship Type="http://schemas.openxmlformats.org/officeDocument/2006/relationships/hyperlink" Id="rId172" Target="https://aws.amazon.com/blogs/publicsector/preventive-controls-for-fedramp-20x-using-scps-and-guardrails-to-enforce-ksis/" TargetMode="External" /><Relationship Type="http://schemas.openxmlformats.org/officeDocument/2006/relationships/hyperlink" Id="rId166" Target="https://blogs.vmware.com/cloud-foundation/2026/05/15/vcf-networking-9-1-seamless-ddi-integration-with-infoblox/" TargetMode="External" /><Relationship Type="http://schemas.openxmlformats.org/officeDocument/2006/relationships/hyperlink" Id="rId169" Target="https://docs.aws.amazon.com/vpc/latest/ipam/what-it-is-ipam.html" TargetMode="External" /><Relationship Type="http://schemas.openxmlformats.org/officeDocument/2006/relationships/hyperlink" Id="rId173" Target="https://docs.infoblox.com/space/nios90/280266962" TargetMode="External" /><Relationship Type="http://schemas.openxmlformats.org/officeDocument/2006/relationships/hyperlink" Id="rId168" Target="https://docs.microsoft.com/en-us/microsoft-365/enterprise/microsoft-365-ip-web-service" TargetMode="External" /><Relationship Type="http://schemas.openxmlformats.org/officeDocument/2006/relationships/hyperlink" Id="rId174" Target="https://github.com/awslabs/landing-zone-accelerator-on-aws" TargetMode="External" /><Relationship Type="http://schemas.openxmlformats.org/officeDocument/2006/relationships/hyperlink" Id="rId176" Target="https://learn.microsoft.com/en-us/azure/azure-vmware/configure-dhcp-azure-vmware-solution" TargetMode="External" /><Relationship Type="http://schemas.openxmlformats.org/officeDocument/2006/relationships/hyperlink" Id="rId170" Target="https://learn.microsoft.com/en-us/azure/virtual-network-manager/concept-ip-address-management" TargetMode="External" /><Relationship Type="http://schemas.openxmlformats.org/officeDocument/2006/relationships/hyperlink" Id="rId167" Target="https://techdocs.broadcom.com/us/en/vmware-cis/vcf/vcf-9-0-and-later/9-1/advanced-network-management/ip-address-management-ipam/integrate-nsx-with-infoblox.html" TargetMode="External" /><Relationship Type="http://schemas.openxmlformats.org/officeDocument/2006/relationships/hyperlink" Id="rId171" Target="https://www.cisa.gov/sites/default/files/2023-04/zero_trust_maturity_model_v2_508.pdf" TargetMode="External" /><Relationship Type="http://schemas.openxmlformats.org/officeDocument/2006/relationships/hyperlink" Id="rId165" Target="https://www.fedramp.gov/marketplace/products/FR2017257053/" TargetMode="External" /><Relationship Type="http://schemas.openxmlformats.org/officeDocument/2006/relationships/hyperlink" Id="rId175"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2026-07-09T14:23:16Z</dcterms:created>
  <dcterms:modified xsi:type="dcterms:W3CDTF">2026-07-09T14:23:16Z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