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5.png" ContentType="image/png"/>
  <Override PartName="/word/media/rId42.png" ContentType="image/png"/>
  <Override PartName="/word/media/rId50.png" ContentType="image/png"/>
  <Override PartName="/word/media/rId57.png" ContentType="image/png"/>
  <Override PartName="/word/media/rId70.png" ContentType="image/png"/>
  <Override PartName="/word/media/rId90.png" ContentType="image/png"/>
  <Override PartName="/word/media/rId99.png" ContentType="image/png"/>
  <Override PartName="/word/media/rId31.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10:17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8"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8"/>
    <w:bookmarkStart w:id="30" w:name="the-device-identity-gap"/>
    <w:p>
      <w:pPr>
        <w:pStyle w:val="Heading1"/>
      </w:pPr>
      <w:r>
        <w:t xml:space="preserve">2. The Device Identity Gap</w:t>
      </w:r>
    </w:p>
    <w:bookmarkStart w:id="19"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9"/>
    <w:bookmarkStart w:id="24"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tbl>
      <w:tblPr>
        <w:tblStyle w:val="Table"/>
        <w:tblW w:type="pct" w:w="5000"/>
        <w:tblLayout w:type="fixed"/>
        <w:tblLook w:firstRow="0" w:lastRow="0" w:firstColumn="0" w:lastColumn="0" w:noHBand="0" w:noVBand="0" w:val="0000"/>
      </w:tblPr>
      <w:tblGrid>
        <w:gridCol w:w="7920"/>
      </w:tblGrid>
      <w:tr>
        <w:tc>
          <w:tcPr/>
          <w:bookmarkStart w:id="23" w:name="fig-nac10"/>
          <w:p>
            <w:pPr>
              <w:pStyle w:val="Compact"/>
              <w:jc w:val="center"/>
            </w:pPr>
            <w:r>
              <w:drawing>
                <wp:inline>
                  <wp:extent cx="5334000" cy="3000375"/>
                  <wp:effectExtent b="0" l="0" r="0" t="0"/>
                  <wp:docPr descr="" title="" id="21" name="Picture"/>
                  <a:graphic>
                    <a:graphicData uri="http://schemas.openxmlformats.org/drawingml/2006/picture">
                      <pic:pic>
                        <pic:nvPicPr>
                          <pic:cNvPr descr="figs/nac-fig-10-physical-access-reality.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federal physical access reality — five exposure classes where a facility badge is the only gate</w:t>
            </w:r>
          </w:p>
          <w:bookmarkEnd w:id="23"/>
        </w:tc>
      </w:tr>
    </w:tbl>
    <w:bookmarkEnd w:id="24"/>
    <w:bookmarkStart w:id="29"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8" w:name="fig-nac01"/>
          <w:p>
            <w:pPr>
              <w:pStyle w:val="Compact"/>
              <w:jc w:val="center"/>
            </w:pPr>
            <w:r>
              <w:drawing>
                <wp:inline>
                  <wp:extent cx="5334000" cy="3000375"/>
                  <wp:effectExtent b="0" l="0" r="0" t="0"/>
                  <wp:docPr descr="" title="" id="26" name="Picture"/>
                  <a:graphic>
                    <a:graphicData uri="http://schemas.openxmlformats.org/drawingml/2006/picture">
                      <pic:pic>
                        <pic:nvPicPr>
                          <pic:cNvPr descr="figs/nac-fig-01-before-after.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Before and after NAC deployment showing unauthenticated port access versus 802.1X authenticated admission flow</w:t>
            </w:r>
          </w:p>
          <w:bookmarkEnd w:id="28"/>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9"/>
    <w:bookmarkEnd w:id="30"/>
    <w:bookmarkStart w:id="35"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tbl>
      <w:tblPr>
        <w:tblStyle w:val="Table"/>
        <w:tblW w:type="pct" w:w="5000"/>
        <w:tblLayout w:type="fixed"/>
        <w:tblLook w:firstRow="0" w:lastRow="0" w:firstColumn="0" w:lastColumn="0" w:noHBand="0" w:noVBand="0" w:val="0000"/>
      </w:tblPr>
      <w:tblGrid>
        <w:gridCol w:w="7920"/>
      </w:tblGrid>
      <w:tr>
        <w:tc>
          <w:tcPr/>
          <w:bookmarkStart w:id="34" w:name="fig-nac08"/>
          <w:p>
            <w:pPr>
              <w:pStyle w:val="Compact"/>
              <w:jc w:val="center"/>
            </w:pPr>
            <w:r>
              <w:drawing>
                <wp:inline>
                  <wp:extent cx="5334000" cy="3000375"/>
                  <wp:effectExtent b="0" l="0" r="0" t="0"/>
                  <wp:docPr descr="" title="" id="32" name="Picture"/>
                  <a:graphic>
                    <a:graphicData uri="http://schemas.openxmlformats.org/drawingml/2006/picture">
                      <pic:pic>
                        <pic:nvPicPr>
                          <pic:cNvPr descr="figs/nac-fig-08-voice-vlan-precedent.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voice VLAN precedent — identity by assertion (DHCP option 60) versus identity by proof (802.1X EAP-TLS)</w:t>
            </w:r>
          </w:p>
          <w:bookmarkEnd w:id="34"/>
        </w:tc>
      </w:tr>
    </w:tbl>
    <w:bookmarkEnd w:id="35"/>
    <w:bookmarkStart w:id="48" w:name="X82c6a9b21860f42551bf826059803119df8d347"/>
    <w:p>
      <w:pPr>
        <w:pStyle w:val="Heading1"/>
      </w:pPr>
      <w:r>
        <w:t xml:space="preserve">4. NAC Architecture — RADIUS, 802.1X, and EAP-TLS</w:t>
      </w:r>
    </w:p>
    <w:bookmarkStart w:id="40"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tbl>
      <w:tblPr>
        <w:tblStyle w:val="Table"/>
        <w:tblW w:type="pct" w:w="5000"/>
        <w:tblLayout w:type="fixed"/>
        <w:tblLook w:firstRow="0" w:lastRow="0" w:firstColumn="0" w:lastColumn="0" w:noHBand="0" w:noVBand="0" w:val="0000"/>
      </w:tblPr>
      <w:tblGrid>
        <w:gridCol w:w="7920"/>
      </w:tblGrid>
      <w:tr>
        <w:tc>
          <w:tcPr/>
          <w:bookmarkStart w:id="39" w:name="fig-nac09"/>
          <w:p>
            <w:pPr>
              <w:pStyle w:val="Compact"/>
              <w:jc w:val="center"/>
            </w:pPr>
            <w:r>
              <w:drawing>
                <wp:inline>
                  <wp:extent cx="5334000" cy="3000375"/>
                  <wp:effectExtent b="0" l="0" r="0" t="0"/>
                  <wp:docPr descr="" title="" id="37" name="Picture"/>
                  <a:graphic>
                    <a:graphicData uri="http://schemas.openxmlformats.org/drawingml/2006/picture">
                      <pic:pic>
                        <pic:nvPicPr>
                          <pic:cNvPr descr="figs/nac-fig-09-authentication-stack.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802.1X authentication stack — supplicant, authenticator, authentication server</w:t>
            </w:r>
          </w:p>
          <w:bookmarkEnd w:id="39"/>
        </w:tc>
      </w:tr>
    </w:tbl>
    <w:bookmarkEnd w:id="40"/>
    <w:bookmarkStart w:id="41"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41"/>
    <w:bookmarkStart w:id="46"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RADIUS platform choice is governance decision</w:t>
      </w:r>
      <w:r>
        <w:t xml:space="preserve"> </w:t>
      </w:r>
      <w:r>
        <w:rPr>
          <w:b/>
          <w:bCs/>
        </w:rPr>
        <w:t xml:space="preserve">D3 (NPS vs. Cisco ISE vs. Aruba ClearPass)</w:t>
      </w:r>
      <w:r>
        <w:t xml:space="preserve"> </w:t>
      </w:r>
      <w:r>
        <w:t xml:space="preserve">— and D3 is</w:t>
      </w:r>
      <w:r>
        <w:t xml:space="preserve"> </w:t>
      </w:r>
      <w:r>
        <w:rPr>
          <w:b/>
          <w:bCs/>
        </w:rPr>
        <w:t xml:space="preserve">gated by the Entra-migration timeline (Part 5), not by preference</w:t>
      </w:r>
      <w:r>
        <w:t xml:space="preserve">. The deciding criterion is Entra-native device authorization:</w:t>
      </w:r>
    </w:p>
    <w:p>
      <w:pPr>
        <w:pStyle w:val="Compact"/>
        <w:numPr>
          <w:ilvl w:val="0"/>
          <w:numId w:val="1003"/>
        </w:numPr>
      </w:pPr>
      <w:r>
        <w:rPr>
          <w:b/>
          <w:bCs/>
        </w:rPr>
        <w:t xml:space="preserve">Microsoft Network Policy Server (NPS)</w:t>
      </w:r>
      <w:r>
        <w:t xml:space="preserve"> </w:t>
      </w:r>
      <w:r>
        <w:t xml:space="preserve">on Windows Server 2025 is viable for the</w:t>
      </w:r>
      <w:r>
        <w:t xml:space="preserve"> </w:t>
      </w:r>
      <w:r>
        <w:rPr>
          <w:b/>
          <w:bCs/>
        </w:rPr>
        <w:t xml:space="preserve">hybrid-joined phase only</w:t>
      </w:r>
      <w:r>
        <w:t xml:space="preserve">. NPS authorizes a device by resolving its Active Directory computer object; it has no supported path for authorizing cloud-native Entra-joined devices — Microsoft provides no cloud NPS equivalent, and the community workaround (dummy AD computer objects) is unsustainable at fleet scale. NPS works against today’s estate precisely because the estate is hybrid-joined and AD objects still exist.</w:t>
      </w:r>
      <w:r>
        <w:t xml:space="preserve"> </w:t>
      </w:r>
      <w:r>
        <w:rPr>
          <w:b/>
          <w:bCs/>
        </w:rPr>
        <w:t xml:space="preserve">Its viability degrades in direct proportion to Part 5’s AD-to-Entra migration progress.</w:t>
      </w:r>
    </w:p>
    <w:p>
      <w:pPr>
        <w:pStyle w:val="Compact"/>
        <w:numPr>
          <w:ilvl w:val="0"/>
          <w:numId w:val="1003"/>
        </w:numPr>
      </w:pP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 the dominant federal alternatives — both terminate EAP-TLS and authorize against the Entra ID / Intune device inventory without requiring an AD computer object. Either closes the Entra-native gap.</w:t>
      </w:r>
    </w:p>
    <w:p>
      <w:pPr>
        <w:pStyle w:val="FirstParagraph"/>
      </w:pPr>
      <w:r>
        <w:t xml:space="preserve">The sequencing requirement, stated plainly:</w:t>
      </w:r>
      <w:r>
        <w:t xml:space="preserve"> </w:t>
      </w:r>
      <w:r>
        <w:rPr>
          <w:b/>
          <w:bCs/>
        </w:rPr>
        <w:t xml:space="preserve">D3 must select a platform that authorizes Entra-native devices before Part 5’s cloud-native cutover retires the AD objects NPS depends on.</w:t>
      </w:r>
      <w:r>
        <w:t xml:space="preserve"> </w:t>
      </w:r>
      <w:r>
        <w:t xml:space="preserve">An agency may deploy NPS now for the hybrid phase — the NPS configuration in this document is written for that phase — but the D3 decision record must carry the migration trigger rather than treat NPS as the end state.</w:t>
      </w:r>
    </w:p>
    <w:p>
      <w:pPr>
        <w:pStyle w:val="BodyText"/>
      </w:pPr>
      <w:r>
        <w:t xml:space="preserve">Cloud-issued device certificates are provisioned via</w:t>
      </w:r>
      <w:r>
        <w:t xml:space="preserve"> </w:t>
      </w:r>
      <w:r>
        <w:rPr>
          <w:b/>
          <w:bCs/>
        </w:rPr>
        <w:t xml:space="preserve">Microsoft Cloud PKI</w:t>
      </w:r>
      <w:r>
        <w:t xml:space="preserve"> </w:t>
      </w:r>
      <w:r>
        <w:t xml:space="preserve">(an Intune add-on, licensed via Intune Suite or standalone)</w:t>
      </w:r>
      <w:r>
        <w:t xml:space="preserve"> </w:t>
      </w:r>
      <w:r>
        <w:rPr>
          <w:b/>
          <w:bCs/>
        </w:rPr>
        <w:t xml:space="preserve">or Intune SCEP against the agency’s AD CS</w:t>
      </w:r>
      <w:r>
        <w:t xml:space="preserve"> </w:t>
      </w:r>
      <w:r>
        <w:t xml:space="preserve">— the certificate infrastructure section below covers both paths.</w:t>
      </w:r>
    </w:p>
    <w:tbl>
      <w:tblPr>
        <w:tblStyle w:val="Table"/>
        <w:tblW w:type="pct" w:w="5000"/>
        <w:tblLayout w:type="fixed"/>
        <w:tblLook w:firstRow="0" w:lastRow="0" w:firstColumn="0" w:lastColumn="0" w:noHBand="0" w:noVBand="0" w:val="0000"/>
      </w:tblPr>
      <w:tblGrid>
        <w:gridCol w:w="7920"/>
      </w:tblGrid>
      <w:tr>
        <w:tc>
          <w:tcPr/>
          <w:bookmarkStart w:id="45" w:name="fig-nac02"/>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2-radius-architecture.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server architecture showing NPS in high-availability configuration with primary and secondary servers, RADIUS proxy groups for wired and wireless authenticators, and integration with Microsoft Cloud PKI and the Intune Compliance API</w:t>
            </w:r>
          </w:p>
          <w:bookmarkEnd w:id="45"/>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4"/>
        </w:numPr>
      </w:pPr>
      <w:r>
        <w:t xml:space="preserve">Deploy two NPS servers in the same region.</w:t>
      </w:r>
    </w:p>
    <w:p>
      <w:pPr>
        <w:pStyle w:val="Compact"/>
        <w:numPr>
          <w:ilvl w:val="0"/>
          <w:numId w:val="1004"/>
        </w:numPr>
      </w:pPr>
      <w:r>
        <w:t xml:space="preserve">Configure all RADIUS clients (switches, WAPs) with both servers, primary and secondary, with a 3-second failover timeout.</w:t>
      </w:r>
    </w:p>
    <w:p>
      <w:pPr>
        <w:pStyle w:val="Compact"/>
        <w:numPr>
          <w:ilvl w:val="0"/>
          <w:numId w:val="1004"/>
        </w:numPr>
      </w:pPr>
      <w:r>
        <w:t xml:space="preserve">Use a shared NPS configuration export/import script (or Group Policy) to keep policy synchronized.</w:t>
      </w:r>
    </w:p>
    <w:p>
      <w:pPr>
        <w:pStyle w:val="Compact"/>
        <w:numPr>
          <w:ilvl w:val="0"/>
          <w:numId w:val="1004"/>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5"/>
        </w:numPr>
      </w:pPr>
      <w:r>
        <w:t xml:space="preserve">Generate secrets with 32+ characters of cryptographic randomness.</w:t>
      </w:r>
    </w:p>
    <w:p>
      <w:pPr>
        <w:pStyle w:val="Compact"/>
        <w:numPr>
          <w:ilvl w:val="0"/>
          <w:numId w:val="1005"/>
        </w:numPr>
      </w:pPr>
      <w:r>
        <w:t xml:space="preserve">Store secrets in Azure Key Vault and rotate on a 180-day schedule.</w:t>
      </w:r>
    </w:p>
    <w:p>
      <w:pPr>
        <w:pStyle w:val="Compact"/>
        <w:numPr>
          <w:ilvl w:val="0"/>
          <w:numId w:val="1005"/>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46"/>
    <w:bookmarkStart w:id="47"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47"/>
    <w:bookmarkEnd w:id="48"/>
    <w:bookmarkStart w:id="56" w:name="X2294e353f63bbf43a569a1eeee897fe8ad8488c"/>
    <w:p>
      <w:pPr>
        <w:pStyle w:val="Heading1"/>
      </w:pPr>
      <w:r>
        <w:t xml:space="preserve">5. Certificate Infrastructure and Device Enrollment</w:t>
      </w:r>
    </w:p>
    <w:bookmarkStart w:id="49"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Microsoft Cloud PKI Root CA — or agency AD CS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Both issuance paths terminate in the same intermediate:</w:t>
      </w:r>
      <w:r>
        <w:t xml:space="preserve"> </w:t>
      </w:r>
      <w:r>
        <w:rPr>
          <w:b/>
          <w:bCs/>
        </w:rPr>
        <w:t xml:space="preserve">Microsoft Cloud PKI</w:t>
      </w:r>
      <w:r>
        <w:t xml:space="preserve"> </w:t>
      </w:r>
      <w:r>
        <w:t xml:space="preserve">(the Intune add-on for cloud-issued certificates) can host the issuing CA directly, or the agency’s existing</w:t>
      </w:r>
      <w:r>
        <w:t xml:space="preserve"> </w:t>
      </w:r>
      <w:r>
        <w:rPr>
          <w:b/>
          <w:bCs/>
        </w:rPr>
        <w:t xml:space="preserve">AD CS</w:t>
      </w:r>
      <w:r>
        <w:t xml:space="preserve"> </w:t>
      </w:r>
      <w:r>
        <w:t xml:space="preserve">issues via the Intune SCEP connector (NDES). The choice is a PKI-operations decision; the RADIUS trust configuration and the EAP-TLS exchange are identical under either.</w:t>
      </w:r>
    </w:p>
    <w:p>
      <w:pPr>
        <w:pStyle w:val="BodyText"/>
      </w:pPr>
      <w:r>
        <w:t xml:space="preserve">The RADIUS server (NPS) is configured to trust the SSA Device Identity CA. Any device that presents a certificate signed by this CA and passes the revocation check is recognized as a managed SSA device.</w:t>
      </w:r>
    </w:p>
    <w:bookmarkEnd w:id="49"/>
    <w:bookmarkStart w:id="54"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6"/>
        </w:numPr>
      </w:pPr>
      <w:r>
        <w:t xml:space="preserve">Device completes Intune enrollment (Autopilot or manual MDM enrollment).</w:t>
      </w:r>
    </w:p>
    <w:p>
      <w:pPr>
        <w:pStyle w:val="Compact"/>
        <w:numPr>
          <w:ilvl w:val="0"/>
          <w:numId w:val="1006"/>
        </w:numPr>
      </w:pPr>
      <w:r>
        <w:t xml:space="preserve">Intune pushes the SCEP certificate profile to the device.</w:t>
      </w:r>
    </w:p>
    <w:p>
      <w:pPr>
        <w:pStyle w:val="Compact"/>
        <w:numPr>
          <w:ilvl w:val="0"/>
          <w:numId w:val="1006"/>
        </w:numPr>
      </w:pPr>
      <w:r>
        <w:t xml:space="preserve">The device generates a key pair locally (private key never leaves the device — stored in TPM where available).</w:t>
      </w:r>
    </w:p>
    <w:p>
      <w:pPr>
        <w:pStyle w:val="Compact"/>
        <w:numPr>
          <w:ilvl w:val="0"/>
          <w:numId w:val="1006"/>
        </w:numPr>
      </w:pPr>
      <w:r>
        <w:t xml:space="preserve">The device sends a SCEP certificate request to the Intune SCEP connector (NDES server or cloud SCEP).</w:t>
      </w:r>
    </w:p>
    <w:p>
      <w:pPr>
        <w:pStyle w:val="Compact"/>
        <w:numPr>
          <w:ilvl w:val="0"/>
          <w:numId w:val="1006"/>
        </w:numPr>
      </w:pPr>
      <w:r>
        <w:t xml:space="preserve">The SCEP connector forwards the request to the issuing CA after validating the Intune enrollment token.</w:t>
      </w:r>
    </w:p>
    <w:p>
      <w:pPr>
        <w:pStyle w:val="Compact"/>
        <w:numPr>
          <w:ilvl w:val="0"/>
          <w:numId w:val="1006"/>
        </w:numPr>
      </w:pPr>
      <w:r>
        <w:t xml:space="preserve">The CA issues the certificate and returns it to the device via SCEP.</w:t>
      </w:r>
    </w:p>
    <w:p>
      <w:pPr>
        <w:pStyle w:val="Compact"/>
        <w:numPr>
          <w:ilvl w:val="0"/>
          <w:numId w:val="1006"/>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53" w:name="fig-nac03"/>
          <w:p>
            <w:pPr>
              <w:pStyle w:val="Compact"/>
              <w:jc w:val="center"/>
            </w:pPr>
            <w:r>
              <w:drawing>
                <wp:inline>
                  <wp:extent cx="5334000" cy="3000375"/>
                  <wp:effectExtent b="0" l="0" r="0" t="0"/>
                  <wp:docPr descr="" title="" id="51" name="Picture"/>
                  <a:graphic>
                    <a:graphicData uri="http://schemas.openxmlformats.org/drawingml/2006/picture">
                      <pic:pic>
                        <pic:nvPicPr>
                          <pic:cNvPr descr="figs/nac-fig-03-cert-enrollment.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Certificate enrollment flow from device Intune enrollment through SCEP to machine certificate installation in the computer store</w:t>
            </w:r>
          </w:p>
          <w:bookmarkEnd w:id="53"/>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54"/>
    <w:bookmarkStart w:id="55"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7"/>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7"/>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55"/>
    <w:bookmarkEnd w:id="56"/>
    <w:bookmarkStart w:id="68" w:name="nac-policy-tier-structure"/>
    <w:p>
      <w:pPr>
        <w:pStyle w:val="Heading1"/>
      </w:pPr>
      <w:r>
        <w:t xml:space="preserve">6. NAC Policy Tier Structure</w:t>
      </w:r>
    </w:p>
    <w:bookmarkStart w:id="61"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60" w:name="fig-nac04"/>
          <w:p>
            <w:pPr>
              <w:pStyle w:val="Compact"/>
              <w:jc w:val="center"/>
            </w:pPr>
            <w:r>
              <w:drawing>
                <wp:inline>
                  <wp:extent cx="5334000" cy="3000375"/>
                  <wp:effectExtent b="0" l="0" r="0" t="0"/>
                  <wp:docPr descr="" title="" id="58" name="Picture"/>
                  <a:graphic>
                    <a:graphicData uri="http://schemas.openxmlformats.org/drawingml/2006/picture">
                      <pic:pic>
                        <pic:nvPicPr>
                          <pic:cNvPr descr="figs/nac-fig-04-policy-tiers.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NAC policy tier diagram showing three VLANs and the policy path from 802.1X authentication through RADIUS compliance check to VLAN assignment</w:t>
            </w:r>
          </w:p>
          <w:bookmarkEnd w:id="60"/>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61"/>
    <w:bookmarkStart w:id="62"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8"/>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8"/>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9"/>
        </w:numPr>
      </w:pPr>
      <w:r>
        <w:t xml:space="preserve">OS patch level: current within 30 days</w:t>
      </w:r>
    </w:p>
    <w:p>
      <w:pPr>
        <w:pStyle w:val="Compact"/>
        <w:numPr>
          <w:ilvl w:val="0"/>
          <w:numId w:val="1009"/>
        </w:numPr>
      </w:pPr>
      <w:r>
        <w:t xml:space="preserve">BitLocker: enabled and recovery key escrowed to Entra ID</w:t>
      </w:r>
    </w:p>
    <w:p>
      <w:pPr>
        <w:pStyle w:val="Compact"/>
        <w:numPr>
          <w:ilvl w:val="0"/>
          <w:numId w:val="1009"/>
        </w:numPr>
      </w:pPr>
      <w:r>
        <w:t xml:space="preserve">Microsoft Defender Antivirus: enabled, definitions current within 7 days</w:t>
      </w:r>
    </w:p>
    <w:p>
      <w:pPr>
        <w:pStyle w:val="Compact"/>
        <w:numPr>
          <w:ilvl w:val="0"/>
          <w:numId w:val="1009"/>
        </w:numPr>
      </w:pPr>
      <w:r>
        <w:t xml:space="preserve">Secure Boot: enabled</w:t>
      </w:r>
    </w:p>
    <w:p>
      <w:pPr>
        <w:pStyle w:val="Compact"/>
        <w:numPr>
          <w:ilvl w:val="0"/>
          <w:numId w:val="1009"/>
        </w:numPr>
      </w:pPr>
      <w:r>
        <w:t xml:space="preserve">TPM: present and enabled</w:t>
      </w:r>
    </w:p>
    <w:p>
      <w:pPr>
        <w:pStyle w:val="Compact"/>
        <w:numPr>
          <w:ilvl w:val="0"/>
          <w:numId w:val="1009"/>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62"/>
    <w:bookmarkStart w:id="63"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10"/>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10"/>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10"/>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10"/>
        </w:numPr>
      </w:pPr>
      <w:r>
        <w:t xml:space="preserve">DNS resolution for those names via the SSA DNS forwarder</w:t>
      </w:r>
    </w:p>
    <w:p>
      <w:pPr>
        <w:pStyle w:val="Compact"/>
        <w:numPr>
          <w:ilvl w:val="0"/>
          <w:numId w:val="1010"/>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63"/>
    <w:bookmarkStart w:id="64"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64"/>
    <w:bookmarkStart w:id="67"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1"/>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1"/>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67"/>
    <w:bookmarkEnd w:id="68"/>
    <w:bookmarkStart w:id="75" w:name="posture-assessment-integration"/>
    <w:p>
      <w:pPr>
        <w:pStyle w:val="Heading1"/>
      </w:pPr>
      <w:r>
        <w:t xml:space="preserve">7. Posture Assessment Integration</w:t>
      </w:r>
    </w:p>
    <w:bookmarkStart w:id="69"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2"/>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2"/>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69"/>
    <w:bookmarkStart w:id="74"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shrinks this window.</w:t>
      </w:r>
    </w:p>
    <w:p>
      <w:pPr>
        <w:pStyle w:val="BodyText"/>
      </w:pPr>
      <w:r>
        <w:rPr>
          <w:b/>
          <w:bCs/>
        </w:rPr>
        <w:t xml:space="preserve">Why this component exists at all: NPS has no RFC 5176 support.</w:t>
      </w:r>
      <w:r>
        <w:t xml:space="preserve"> </w:t>
      </w:r>
      <w:r>
        <w:t xml:space="preserve">ISE and ClearPass issue CoA natively from their own session state; NPS cannot. The Azure-Function</w:t>
      </w:r>
      <w:r>
        <w:t xml:space="preserve"> </w:t>
      </w:r>
      <w:r>
        <w:t xml:space="preserve">“NAC policy engine”</w:t>
      </w:r>
      <w:r>
        <w:t xml:space="preserve"> </w:t>
      </w:r>
      <w:r>
        <w:t xml:space="preserve">below is a purpose-built dynamic-authorization client that routes around the NPS gap — and its existence is one of the strongest arguments for ISE/ClearPass in the D3 decision. Deploying it honestly means engineering, not two sentences:</w:t>
      </w:r>
    </w:p>
    <w:p>
      <w:pPr>
        <w:pStyle w:val="Compact"/>
        <w:numPr>
          <w:ilvl w:val="0"/>
          <w:numId w:val="1013"/>
        </w:numPr>
      </w:pPr>
      <w:r>
        <w:rPr>
          <w:b/>
          <w:bCs/>
        </w:rPr>
        <w:t xml:space="preserve">Network path:</w:t>
      </w:r>
      <w:r>
        <w:t xml:space="preserve"> </w:t>
      </w:r>
      <w:r>
        <w:t xml:space="preserve">the function needs reachability to</w:t>
      </w:r>
      <w:r>
        <w:t xml:space="preserve"> </w:t>
      </w:r>
      <w:r>
        <w:rPr>
          <w:b/>
          <w:bCs/>
        </w:rPr>
        <w:t xml:space="preserve">UDP 3799 on every switch’s management interface</w:t>
      </w:r>
      <w:r>
        <w:t xml:space="preserve"> </w:t>
      </w:r>
      <w:r>
        <w:t xml:space="preserve">— a cloud-to-management-plane path that must be firewalled to exactly this flow.</w:t>
      </w:r>
    </w:p>
    <w:p>
      <w:pPr>
        <w:pStyle w:val="Compact"/>
        <w:numPr>
          <w:ilvl w:val="0"/>
          <w:numId w:val="1013"/>
        </w:numPr>
      </w:pPr>
      <w:r>
        <w:rPr>
          <w:b/>
          <w:bCs/>
        </w:rPr>
        <w:t xml:space="preserve">Authenticator trust:</w:t>
      </w:r>
      <w:r>
        <w:t xml:space="preserve"> </w:t>
      </w:r>
      <w:r>
        <w:t xml:space="preserve">every switch must be configured to trust the function’s source IP as a dynamic-authorization client (</w:t>
      </w:r>
      <w:r>
        <w:rPr>
          <w:rStyle w:val="VerbatimChar"/>
        </w:rPr>
        <w:t xml:space="preserve">aaa server radius dynamic-author</w:t>
      </w:r>
      <w:r>
        <w:t xml:space="preserve">), with its own shared secret under the same Key Vault rotation regime as the RADIUS secrets.</w:t>
      </w:r>
    </w:p>
    <w:p>
      <w:pPr>
        <w:pStyle w:val="Compact"/>
        <w:numPr>
          <w:ilvl w:val="0"/>
          <w:numId w:val="1013"/>
        </w:numPr>
      </w:pPr>
      <w:r>
        <w:rPr>
          <w:b/>
          <w:bCs/>
        </w:rPr>
        <w:t xml:space="preserve">Session identity:</w:t>
      </w:r>
      <w:r>
        <w:t xml:space="preserve"> </w:t>
      </w:r>
      <w:r>
        <w:t xml:space="preserve">a CoA Disconnect/Re-Auth must carry session-identifying attributes (Calling-Station-Id, NAS-IP-Address, Acct-Session-Id) that exist only in</w:t>
      </w:r>
      <w:r>
        <w:t xml:space="preserve"> </w:t>
      </w:r>
      <w:r>
        <w:rPr>
          <w:b/>
          <w:bCs/>
        </w:rPr>
        <w:t xml:space="preserve">RADIUS accounting data</w:t>
      </w:r>
      <w:r>
        <w:t xml:space="preserve"> </w:t>
      </w:r>
      <w:r>
        <w:t xml:space="preserve">— so the accounting feed stops being telemetry and becomes</w:t>
      </w:r>
      <w:r>
        <w:t xml:space="preserve"> </w:t>
      </w:r>
      <w:r>
        <w:rPr>
          <w:b/>
          <w:bCs/>
        </w:rPr>
        <w:t xml:space="preserve">Tier-0-adjacent enforcement infrastructure</w:t>
      </w:r>
      <w:r>
        <w:t xml:space="preserve">: its integrity and availability now gate an enforcement action.</w:t>
      </w:r>
    </w:p>
    <w:p>
      <w:pPr>
        <w:pStyle w:val="FirstParagraph"/>
      </w:pPr>
      <w:r>
        <w:t xml:space="preserve">The flow: the Azure Function polls the Intune compliance API every 15 minutes and sends a CoA Disconnect or Re-Auth to the owning switch when a device’s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using session attributes resolved from the accounting feed. The switch re-authenticates the device, the RADIUS server returns the Remediation VLAN, and the port moves without manual intervention.</w:t>
      </w:r>
    </w:p>
    <w:p>
      <w:pPr>
        <w:pStyle w:val="BodyText"/>
      </w:pPr>
      <w:r>
        <w:rPr>
          <w:b/>
          <w:bCs/>
        </w:rPr>
        <w:t xml:space="preserve">Qualify the timing claim:</w:t>
      </w:r>
      <w:r>
        <w:t xml:space="preserve"> </w:t>
      </w:r>
      <w:r>
        <w:t xml:space="preserve">“within 20 minutes”</w:t>
      </w:r>
      <w:r>
        <w:t xml:space="preserve"> </w:t>
      </w:r>
      <w:r>
        <w:t xml:space="preserve">is 20 minutes</w:t>
      </w:r>
      <w:r>
        <w:t xml:space="preserve"> </w:t>
      </w:r>
      <w:r>
        <w:rPr>
          <w:i/>
          <w:iCs/>
        </w:rPr>
        <w:t xml:space="preserve">after Intune registers the state change</w:t>
      </w:r>
      <w:r>
        <w:t xml:space="preserve"> </w:t>
      </w:r>
      <w:r>
        <w:t xml:space="preserve">— the polling interval plus CoA propagation. Intune’s own compliance evaluation depends on device check-in cadence and can lag the actual on-device state change by hours. The bound that holds unconditionally is the 8-hour re-authentication backstop (see</w:t>
      </w:r>
      <w:r>
        <w:t xml:space="preserve"> </w:t>
      </w:r>
      <w:r>
        <w:t xml:space="preserve">“Session Timeout and Re-Authentication”</w:t>
      </w:r>
      <w:r>
        <w:t xml:space="preserve">): even with the CoA agent down or Intune lagging, no non-compliant device survives past the next re-auth.</w:t>
      </w:r>
    </w:p>
    <w:tbl>
      <w:tblPr>
        <w:tblStyle w:val="Table"/>
        <w:tblW w:type="pct" w:w="5000"/>
        <w:tblLayout w:type="fixed"/>
        <w:tblLook w:firstRow="0" w:lastRow="0" w:firstColumn="0" w:lastColumn="0" w:noHBand="0" w:noVBand="0" w:val="0000"/>
      </w:tblPr>
      <w:tblGrid>
        <w:gridCol w:w="7920"/>
      </w:tblGrid>
      <w:tr>
        <w:tc>
          <w:tcPr/>
          <w:bookmarkStart w:id="73" w:name="fig-nac05"/>
          <w:p>
            <w:pPr>
              <w:pStyle w:val="Compact"/>
              <w:jc w:val="center"/>
            </w:pPr>
            <w:r>
              <w:drawing>
                <wp:inline>
                  <wp:extent cx="5334000" cy="3000375"/>
                  <wp:effectExtent b="0" l="0" r="0" t="0"/>
                  <wp:docPr descr="" title="" id="71" name="Picture"/>
                  <a:graphic>
                    <a:graphicData uri="http://schemas.openxmlformats.org/drawingml/2006/picture">
                      <pic:pic>
                        <pic:nvPicPr>
                          <pic:cNvPr descr="figs/nac-fig-05-coa-flow.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RADIUS Change of Authorization flow showing real-time VLAN reassignment when Intune marks a device non-compliant</w:t>
            </w:r>
          </w:p>
          <w:bookmarkEnd w:id="73"/>
        </w:tc>
      </w:tr>
    </w:tbl>
    <w:bookmarkEnd w:id="74"/>
    <w:bookmarkEnd w:id="75"/>
    <w:bookmarkStart w:id="79" w:name="wired-and-wireless-nac"/>
    <w:p>
      <w:pPr>
        <w:pStyle w:val="Heading1"/>
      </w:pPr>
      <w:r>
        <w:t xml:space="preserve">8. Wired and Wireless NAC</w:t>
      </w:r>
    </w:p>
    <w:bookmarkStart w:id="76"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76"/>
    <w:bookmarkStart w:id="77"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Microsoft Cloud PKI root, or the agency AD CS root, per the deployed issuance path. A rogue access point presenting a different certificate is rejected by the supplicant, preventing credential theft or session hijacking even if the rogue AP has the same SSID name.</w:t>
      </w:r>
    </w:p>
    <w:bookmarkEnd w:id="77"/>
    <w:bookmarkStart w:id="78"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roughly 20 minutes of Intune registering the state change if the CoA agent is operational (Intune’s evaluation itself can lag the on-device change by hours — the re-auth interval is the unconditional bound).</w:t>
      </w:r>
    </w:p>
    <w:bookmarkEnd w:id="78"/>
    <w:bookmarkEnd w:id="79"/>
    <w:bookmarkStart w:id="86" w:name="infoblox-integration"/>
    <w:p>
      <w:pPr>
        <w:pStyle w:val="Heading1"/>
      </w:pPr>
      <w:r>
        <w:t xml:space="preserve">9. InfoBlox Integration</w:t>
      </w:r>
    </w:p>
    <w:bookmarkStart w:id="80"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4"/>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4"/>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80"/>
    <w:bookmarkStart w:id="85"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5"/>
        </w:numPr>
      </w:pPr>
      <w:r>
        <w:t xml:space="preserve">Device MAC address</w:t>
      </w:r>
    </w:p>
    <w:p>
      <w:pPr>
        <w:pStyle w:val="Compact"/>
        <w:numPr>
          <w:ilvl w:val="0"/>
          <w:numId w:val="1015"/>
        </w:numPr>
      </w:pPr>
      <w:r>
        <w:t xml:space="preserve">Device DNS name (from the Entra ID device object)</w:t>
      </w:r>
    </w:p>
    <w:p>
      <w:pPr>
        <w:pStyle w:val="Compact"/>
        <w:numPr>
          <w:ilvl w:val="0"/>
          <w:numId w:val="1015"/>
        </w:numPr>
      </w:pPr>
      <w:r>
        <w:t xml:space="preserve">Assigned VLAN and IP address</w:t>
      </w:r>
    </w:p>
    <w:p>
      <w:pPr>
        <w:pStyle w:val="Compact"/>
        <w:numPr>
          <w:ilvl w:val="0"/>
          <w:numId w:val="1015"/>
        </w:numPr>
      </w:pPr>
      <w:r>
        <w:t xml:space="preserve">Assignment timestamp and lease duration</w:t>
      </w:r>
    </w:p>
    <w:p>
      <w:pPr>
        <w:pStyle w:val="Compact"/>
        <w:numPr>
          <w:ilvl w:val="0"/>
          <w:numId w:val="1015"/>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DNS Hostname + Certificate Binding at NAC Admission (Books 01 and 03):</w:t>
            </w:r>
            <w:r>
              <w:t xml:space="preserve"> </w:t>
            </w:r>
            <w:r>
              <w:t xml:space="preserve">For every NAC-admitted endpoint, two compound events should occur together at admission:</w:t>
            </w:r>
          </w:p>
          <w:p>
            <w:pPr>
              <w:pStyle w:val="Compact"/>
              <w:numPr>
                <w:ilvl w:val="0"/>
                <w:numId w:val="1016"/>
              </w:numPr>
            </w:pPr>
            <w:r>
              <w:rPr>
                <w:b/>
                <w:bCs/>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pStyle w:val="Compact"/>
              <w:numPr>
                <w:ilvl w:val="0"/>
                <w:numId w:val="1016"/>
              </w:numPr>
            </w:pPr>
            <w:r>
              <w:rPr>
                <w:b/>
                <w:bCs/>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pPr>
              <w:spacing w:after="16"/>
            </w:pPr>
            <w:r>
              <w:t xml:space="preserve">When both events complete, every NAC-admitted device has</w:t>
            </w:r>
            <w:r>
              <w:t xml:space="preserve"> </w:t>
            </w:r>
            <w:r>
              <w:rPr>
                <w:b/>
                <w:bCs/>
              </w:rPr>
              <w:t xml:space="preserve">name, address, and key bound together</w:t>
            </w:r>
            <w:r>
              <w:t xml:space="preserve"> </w:t>
            </w:r>
            <w:r>
              <w:t xml:space="preserve">— the same compound guarantee that</w:t>
            </w:r>
            <w:r>
              <w:t xml:space="preserve"> </w:t>
            </w:r>
            <w:hyperlink r:id="rId83">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84">
              <w:r>
                <w:rPr>
                  <w:rStyle w:val="Hyperlink"/>
                </w:rPr>
                <w:t xml:space="preserve">Book 03</w:t>
              </w:r>
            </w:hyperlink>
            <w:r>
              <w:t xml:space="preserve">. The design decision for the hostname-to-cert binding must be validated with OIS.</w:t>
            </w:r>
          </w:p>
          <w:p/>
        </w:tc>
      </w:tr>
    </w:tbl>
    <w:bookmarkEnd w:id="85"/>
    <w:bookmarkEnd w:id="86"/>
    <w:bookmarkStart w:id="89" w:name="logging-and-monitoring"/>
    <w:p>
      <w:pPr>
        <w:pStyle w:val="Heading1"/>
      </w:pPr>
      <w:r>
        <w:t xml:space="preserve">10. Logging and Monitoring</w:t>
      </w:r>
    </w:p>
    <w:bookmarkStart w:id="87"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7"/>
        </w:numPr>
      </w:pPr>
      <w:r>
        <w:t xml:space="preserve">Device MAC address (Calling-Station-Id)</w:t>
      </w:r>
    </w:p>
    <w:p>
      <w:pPr>
        <w:pStyle w:val="Compact"/>
        <w:numPr>
          <w:ilvl w:val="0"/>
          <w:numId w:val="1017"/>
        </w:numPr>
      </w:pPr>
      <w:r>
        <w:t xml:space="preserve">Switch IP and port (NAS-IP-Address, NAS-Port)</w:t>
      </w:r>
    </w:p>
    <w:p>
      <w:pPr>
        <w:pStyle w:val="Compact"/>
        <w:numPr>
          <w:ilvl w:val="0"/>
          <w:numId w:val="1017"/>
        </w:numPr>
      </w:pPr>
      <w:r>
        <w:t xml:space="preserve">Authentication result (Access-Accept / Access-Reject)</w:t>
      </w:r>
    </w:p>
    <w:p>
      <w:pPr>
        <w:pStyle w:val="Compact"/>
        <w:numPr>
          <w:ilvl w:val="0"/>
          <w:numId w:val="1017"/>
        </w:numPr>
      </w:pPr>
      <w:r>
        <w:t xml:space="preserve">VLAN assigned (Tunnel-Private-Group-ID)</w:t>
      </w:r>
    </w:p>
    <w:p>
      <w:pPr>
        <w:pStyle w:val="Compact"/>
        <w:numPr>
          <w:ilvl w:val="0"/>
          <w:numId w:val="1017"/>
        </w:numPr>
      </w:pPr>
      <w:r>
        <w:t xml:space="preserve">Reason for rejection (if applicable)</w:t>
      </w:r>
    </w:p>
    <w:p>
      <w:pPr>
        <w:pStyle w:val="Compact"/>
        <w:numPr>
          <w:ilvl w:val="0"/>
          <w:numId w:val="1017"/>
        </w:numPr>
      </w:pPr>
      <w:r>
        <w:t xml:space="preserve">Certificate SAN (User-Name attribute in EAP-TLS)</w:t>
      </w:r>
    </w:p>
    <w:p>
      <w:pPr>
        <w:pStyle w:val="Compact"/>
        <w:numPr>
          <w:ilvl w:val="0"/>
          <w:numId w:val="1017"/>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87"/>
    <w:bookmarkStart w:id="88"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88"/>
    <w:bookmarkEnd w:id="89"/>
    <w:bookmarkStart w:id="98"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93" w:name="fig-nac06"/>
          <w:p>
            <w:pPr>
              <w:pStyle w:val="Compact"/>
              <w:jc w:val="center"/>
            </w:pPr>
            <w:r>
              <w:drawing>
                <wp:inline>
                  <wp:extent cx="5334000" cy="3000375"/>
                  <wp:effectExtent b="0" l="0" r="0" t="0"/>
                  <wp:docPr descr="" title="" id="91" name="Picture"/>
                  <a:graphic>
                    <a:graphicData uri="http://schemas.openxmlformats.org/drawingml/2006/picture">
                      <pic:pic>
                        <pic:nvPicPr>
                          <pic:cNvPr descr="figs/nac-fig-06-deployment-phases.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NAC phased deployment timeline showing monitor mode, wired enforcement, wireless enforcement, and IoT segmentation phases with key milestones</w:t>
            </w:r>
          </w:p>
          <w:bookmarkEnd w:id="93"/>
        </w:tc>
      </w:tr>
    </w:tbl>
    <w:bookmarkStart w:id="94"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8"/>
        </w:numPr>
      </w:pPr>
      <w:r>
        <w:t xml:space="preserve">The 802.1X authentication exchange occurs normally.</w:t>
      </w:r>
    </w:p>
    <w:p>
      <w:pPr>
        <w:pStyle w:val="Compact"/>
        <w:numPr>
          <w:ilvl w:val="0"/>
          <w:numId w:val="1018"/>
        </w:numPr>
      </w:pPr>
      <w:r>
        <w:t xml:space="preserve">RADIUS returns Accept or Reject based on certificate validation and compliance.</w:t>
      </w:r>
    </w:p>
    <w:p>
      <w:pPr>
        <w:pStyle w:val="Compact"/>
        <w:numPr>
          <w:ilvl w:val="0"/>
          <w:numId w:val="1018"/>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8"/>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9"/>
        </w:numPr>
      </w:pPr>
      <w:r>
        <w:t xml:space="preserve">Count of devices that passed EAP-TLS with compliant status</w:t>
      </w:r>
    </w:p>
    <w:p>
      <w:pPr>
        <w:pStyle w:val="Compact"/>
        <w:numPr>
          <w:ilvl w:val="0"/>
          <w:numId w:val="1019"/>
        </w:numPr>
      </w:pPr>
      <w:r>
        <w:t xml:space="preserve">Count of devices that passed EAP-TLS but failed compliance</w:t>
      </w:r>
    </w:p>
    <w:p>
      <w:pPr>
        <w:pStyle w:val="Compact"/>
        <w:numPr>
          <w:ilvl w:val="0"/>
          <w:numId w:val="1019"/>
        </w:numPr>
      </w:pPr>
      <w:r>
        <w:t xml:space="preserve">Count of devices with no supplicant (MAB fallback)</w:t>
      </w:r>
    </w:p>
    <w:p>
      <w:pPr>
        <w:pStyle w:val="Compact"/>
        <w:numPr>
          <w:ilvl w:val="0"/>
          <w:numId w:val="1019"/>
        </w:numPr>
      </w:pPr>
      <w:r>
        <w:t xml:space="preserve">Count of devices with expired or missing certificates</w:t>
      </w:r>
    </w:p>
    <w:p>
      <w:pPr>
        <w:pStyle w:val="Compact"/>
        <w:numPr>
          <w:ilvl w:val="0"/>
          <w:numId w:val="1019"/>
        </w:numPr>
      </w:pPr>
      <w:r>
        <w:t xml:space="preserve">Count of unrecognized MAB devices</w:t>
      </w:r>
    </w:p>
    <w:p>
      <w:pPr>
        <w:pStyle w:val="FirstParagraph"/>
      </w:pPr>
      <w:r>
        <w:t xml:space="preserve">This report is the baseline for Phase 2 readiness.</w:t>
      </w:r>
    </w:p>
    <w:bookmarkEnd w:id="94"/>
    <w:bookmarkStart w:id="95"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20"/>
        </w:numPr>
      </w:pPr>
      <w:r>
        <w:t xml:space="preserve">Remediate all managed workstations with expired certificates (Intune SCEP profile re-push).</w:t>
      </w:r>
    </w:p>
    <w:p>
      <w:pPr>
        <w:pStyle w:val="Compact"/>
        <w:numPr>
          <w:ilvl w:val="0"/>
          <w:numId w:val="1020"/>
        </w:numPr>
      </w:pPr>
      <w:r>
        <w:t xml:space="preserve">Register all approved IoT/OT devices in the InfoBlox MAC database with device class tags.</w:t>
      </w:r>
    </w:p>
    <w:p>
      <w:pPr>
        <w:pStyle w:val="Compact"/>
        <w:numPr>
          <w:ilvl w:val="0"/>
          <w:numId w:val="1020"/>
        </w:numPr>
      </w:pPr>
      <w:r>
        <w:t xml:space="preserve">Configure the captive portal for the quarantine VLAN.</w:t>
      </w:r>
    </w:p>
    <w:p>
      <w:pPr>
        <w:pStyle w:val="Compact"/>
        <w:numPr>
          <w:ilvl w:val="0"/>
          <w:numId w:val="1020"/>
        </w:numPr>
      </w:pPr>
      <w:r>
        <w:t xml:space="preserve">Enable the CoA agent (Azure Function) and test the compliance-state-change VLAN reassignment.</w:t>
      </w:r>
    </w:p>
    <w:p>
      <w:pPr>
        <w:pStyle w:val="Compact"/>
        <w:numPr>
          <w:ilvl w:val="0"/>
          <w:numId w:val="1020"/>
        </w:numPr>
      </w:pPr>
      <w:r>
        <w:t xml:space="preserve">Enable the Sentinel analytics rules and configure alert routing to the SSA SOC.</w:t>
      </w:r>
    </w:p>
    <w:bookmarkEnd w:id="95"/>
    <w:bookmarkStart w:id="96"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21"/>
        </w:numPr>
      </w:pPr>
      <w:r>
        <w:t xml:space="preserve">Push the new WPA3-Enterprise Wi-Fi profile to all Intune-enrolled devices.</w:t>
      </w:r>
    </w:p>
    <w:p>
      <w:pPr>
        <w:pStyle w:val="Compact"/>
        <w:numPr>
          <w:ilvl w:val="0"/>
          <w:numId w:val="1021"/>
        </w:numPr>
      </w:pPr>
      <w:r>
        <w:t xml:space="preserve">The profile includes the EAP-TLS settings, RADIUS server certificate trust, and the SSID name.</w:t>
      </w:r>
    </w:p>
    <w:p>
      <w:pPr>
        <w:pStyle w:val="Compact"/>
        <w:numPr>
          <w:ilvl w:val="0"/>
          <w:numId w:val="1021"/>
        </w:numPr>
      </w:pPr>
      <w:r>
        <w:t xml:space="preserve">Devices connect to the new SSID automatically using the machine certificate.</w:t>
      </w:r>
    </w:p>
    <w:p>
      <w:pPr>
        <w:pStyle w:val="Compact"/>
        <w:numPr>
          <w:ilvl w:val="0"/>
          <w:numId w:val="1021"/>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96"/>
    <w:bookmarkStart w:id="97"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22"/>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22"/>
        </w:numPr>
      </w:pPr>
      <w:r>
        <w:t xml:space="preserve">Document the exception process for new IoT device deployments (asset registration in InfoBlox before deployment is a prerequisite for MAB approval).</w:t>
      </w:r>
    </w:p>
    <w:p>
      <w:pPr>
        <w:pStyle w:val="Compact"/>
        <w:numPr>
          <w:ilvl w:val="0"/>
          <w:numId w:val="1022"/>
        </w:numPr>
      </w:pPr>
      <w:r>
        <w:t xml:space="preserve">Conduct a tabletop exercise simulating a rogue device plugged into a conference room port — verify that the quarantine VLAN fires, Sentinel alerts, and the CoA agent responds correctly.</w:t>
      </w:r>
    </w:p>
    <w:bookmarkEnd w:id="97"/>
    <w:bookmarkEnd w:id="98"/>
    <w:bookmarkStart w:id="105"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102" w:name="fig-nac07"/>
          <w:p>
            <w:pPr>
              <w:pStyle w:val="Compact"/>
              <w:jc w:val="center"/>
            </w:pPr>
            <w:r>
              <w:drawing>
                <wp:inline>
                  <wp:extent cx="5334000" cy="3000375"/>
                  <wp:effectExtent b="0" l="0" r="0" t="0"/>
                  <wp:docPr descr="" title="" id="100" name="Picture"/>
                  <a:graphic>
                    <a:graphicData uri="http://schemas.openxmlformats.org/drawingml/2006/picture">
                      <pic:pic>
                        <pic:nvPicPr>
                          <pic:cNvPr descr="figs/nac-fig-07-nist-closure.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NIST control closure for Part 2 NAC showing before and after state for IA, AC, SC, and CM controls</w:t>
            </w:r>
          </w:p>
          <w:bookmarkEnd w:id="102"/>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(15-minute polling); a device that fails Intune compliance is moved to the Remediation VLAN within ~20 minutes of Intune registering the state change, bounded unconditionally by the 8-hour re-authentication interval</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 Scope, stated precisely: this is the</w:t>
      </w:r>
      <w:r>
        <w:t xml:space="preserve"> </w:t>
      </w:r>
      <w:r>
        <w:rPr>
          <w:b/>
          <w:bCs/>
        </w:rPr>
        <w:t xml:space="preserve">campus wired/wireless</w:t>
      </w:r>
      <w:r>
        <w:t xml:space="preserve"> </w:t>
      </w:r>
      <w:r>
        <w:t xml:space="preserve">closure — for remote devices there is no agency switch port to interpose at, and IA-3 is closed at the ZTNA layer instead (the NAC → ZTNA continuum section covers the handoff).</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Obtaining is not the same as requesting: a device with a manually configured static address never touches DHCP fingerprinting. The architecture closes that bypass rather than assuming it away — on NAC-enforced segments, 802.1X port authentication quarantines the unauthenticated device regardless of how it addressed itself, and DHCP snooping plus IP Source Guard drop traffic from addresses with no corresponding DHCP lease, making DHCP the only viable address-acquisition path. With the static-assignment bypass closed, IPAM with DHCP fingerprinting, annotated by the NAC authentication result, is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105"/>
    <w:bookmarkStart w:id="106"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KSI rules in the series’ ADR-111 rule set (modeled on the FedRAMP 20x CR26 KSI schema) and 106+ NIST SP 800-53 Rev 5 controls, pending independent security control assessment (SCA).</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2026-07-09T14:23:19Z</dcterms:created>
  <dcterms:modified xsi:type="dcterms:W3CDTF">2026-07-09T14:23:19Z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