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8.png" ContentType="image/png"/>
  <Override PartName="/word/media/rId9.png" ContentType="image/png"/>
  <Override PartName="/word/media/rId27.png" ContentType="image/png"/>
  <Override PartName="/word/media/rId36.png" ContentType="image/png"/>
  <Override PartName="/word/media/rId52.png" ContentType="image/png"/>
  <Override PartName="/word/media/rId69.png" ContentType="image/png"/>
  <Override PartName="/word/media/rId79.png" ContentType="image/png"/>
  <Override PartName="/word/media/rId44.png" ContentType="image/png"/>
  <Override PartName="/word/media/rId6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10:36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for ticket issuance, an uninterrupted session, a network the agency controls end to end. The transport modernization your agency is executing (SD-WAN with inline inspection,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network reachability and session continuity. The modern estate breaks those bindings — not through multipath itself (the SD-WAN overlay resequences packets and holds the transport session across path switches), but through what the modernized path contains and spans: inline decrypt/re-encrypt and NAT rebinding at stateful middleboxes, and cloud tenancies where no KDC is reachable for ticket issuance at all. This is not a tuning problem — it is a protocol-versus-boundary contradiction, and its failure mode is a silent fallback to NTLM.</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The SD-WAN overlay itself preserves the stream — it resequences multipath packets and holds the transport session across path switches. What interrupts session state is what sits</w:t>
            </w:r>
            <w:r>
              <w:t xml:space="preserve"> </w:t>
            </w:r>
            <w:r>
              <w:rPr>
                <w:i/>
                <w:iCs/>
              </w:rPr>
              <w:t xml:space="preserve">on</w:t>
            </w:r>
            <w:r>
              <w:t xml:space="preserve"> </w:t>
            </w:r>
            <w:r>
              <w:t xml:space="preserve">the modern path: inline inspection, NAT rebinding, and decrypt/re-encrypt middleboxes</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 — and while service-side ticket validation is offline, ticket</w:t>
            </w:r>
            <w:r>
              <w:t xml:space="preserve"> </w:t>
            </w:r>
            <w:r>
              <w:rPr>
                <w:i/>
                <w:iCs/>
              </w:rPr>
              <w:t xml:space="preserve">issuance and renewal</w:t>
            </w:r>
            <w:r>
              <w:t xml:space="preserve"> </w:t>
            </w:r>
            <w:r>
              <w:t xml:space="preserve">require that reachability</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fail on the modern estate — not because the overlay mishandles packets, but because the estate now spans inspection points and trust boundaries the protocol never contemplated. That is the structural point:</w:t>
      </w:r>
      <w:r>
        <w:t xml:space="preserve"> </w:t>
      </w:r>
      <w:r>
        <w:rPr>
          <w:b/>
          <w:bCs/>
        </w:rPr>
        <w:t xml:space="preserve">the transport and boundary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de1ead730cabe3ca2a9dbeb4abffe4cb3857e80"/>
    <w:p>
      <w:pPr>
        <w:pStyle w:val="Heading2"/>
      </w:pPr>
      <w:r>
        <w:t xml:space="preserve">2.2 What the Modern 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why the cross-boundary estate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 — multipath itself does not break a Kerberos exchange.</w:t>
      </w:r>
    </w:p>
    <w:p>
      <w:pPr>
        <w:pStyle w:val="Compact"/>
        <w:numPr>
          <w:ilvl w:val="0"/>
          <w:numId w:val="1003"/>
        </w:numPr>
      </w:pPr>
      <w:r>
        <w:t xml:space="preserve">But the authentication contract is not solved, because the modernized path is not just plural — it is</w:t>
      </w:r>
      <w:r>
        <w:t xml:space="preserve"> </w:t>
      </w:r>
      <w:r>
        <w:rPr>
          <w:i/>
          <w:iCs/>
        </w:rPr>
        <w:t xml:space="preserve">inspected, translated, and boundary-spanning</w:t>
      </w:r>
      <w:r>
        <w:t xml:space="preserve">. A protocol that binds its proof of identity to the continuity of a network session inherits every discontinuity the session suffers — every NAT rebind, every inline decrypt/re-encrypt, every stateful device that sees only half a flow. And a protocol whose ticket issuance and renewal require a reachable KDC cannot issue tickets in a cloud tenancy that has no path to one, however healthy the transport.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at ticket issuance and renewal (service-side validation is offline against the service’s key — the dependency is the issuance path, not a per-request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Path switch: yes at the transport layer (the overlay resequences); NAT rebind and stateful-middlebox session breaks: no</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9"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8"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ct06"/>
          <w:p>
            <w:pPr>
              <w:pStyle w:val="Compact"/>
              <w:jc w:val="center"/>
            </w:pPr>
            <w:r>
              <w:drawing>
                <wp:inline>
                  <wp:extent cx="5334000" cy="3000375"/>
                  <wp:effectExtent b="0" l="0" r="0" t="0"/>
                  <wp:docPr descr="" title="" id="45" name="Picture"/>
                  <a:graphic>
                    <a:graphicData uri="http://schemas.openxmlformats.org/drawingml/2006/picture">
                      <pic:pic>
                        <pic:nvPicPr>
                          <pic:cNvPr descr="figs/ct-fig-06-trust-hierarchy.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internal trust hierarchy — offline root, purpose-scoped issuing CAs, automated end entities</w:t>
            </w:r>
          </w:p>
          <w:bookmarkEnd w:id="47"/>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8"/>
    <w:bookmarkEnd w:id="49"/>
    <w:bookmarkStart w:id="62" w:name="X5640bec4ca7d998923d0137acff7faca70a4b04"/>
    <w:p>
      <w:pPr>
        <w:pStyle w:val="Heading1"/>
      </w:pPr>
      <w:r>
        <w:t xml:space="preserve">4. Certificate Lifecycle Automation — The End of the Spreadsheet CA</w:t>
      </w:r>
    </w:p>
    <w:bookmarkStart w:id="50"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50"/>
    <w:bookmarkStart w:id="51"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51"/>
    <w:bookmarkStart w:id="56"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5" w:name="fig-ct03"/>
          <w:p>
            <w:pPr>
              <w:pStyle w:val="Compact"/>
              <w:jc w:val="center"/>
            </w:pPr>
            <w:r>
              <w:drawing>
                <wp:inline>
                  <wp:extent cx="5334000" cy="3000375"/>
                  <wp:effectExtent b="0" l="0" r="0" t="0"/>
                  <wp:docPr descr="" title="" id="53" name="Picture"/>
                  <a:graphic>
                    <a:graphicData uri="http://schemas.openxmlformats.org/drawingml/2006/picture">
                      <pic:pic>
                        <pic:nvPicPr>
                          <pic:cNvPr descr="figs/ct-fig-03-acme-lifecycle.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automated certificate lifecycle: enrollment protocols, short lifetimes, and DDI-keyed inventory</w:t>
            </w:r>
          </w:p>
          <w:bookmarkEnd w:id="55"/>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6"/>
    <w:bookmarkStart w:id="57"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7"/>
    <w:bookmarkStart w:id="61"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61"/>
    <w:bookmarkEnd w:id="62"/>
    <w:bookmarkStart w:id="75" w:name="Xc9df5656c1d4a669725636b29f1a4c4eceb5ea4"/>
    <w:p>
      <w:pPr>
        <w:pStyle w:val="Heading1"/>
      </w:pPr>
      <w:r>
        <w:t xml:space="preserve">5. Token-Based Identity — OAuth 2.0, OIDC, and Phishing-Resistant MFA</w:t>
      </w:r>
    </w:p>
    <w:bookmarkStart w:id="63"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63"/>
    <w:bookmarkStart w:id="68"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ct07"/>
          <w:p>
            <w:pPr>
              <w:pStyle w:val="Compact"/>
              <w:jc w:val="center"/>
            </w:pPr>
            <w:r>
              <w:drawing>
                <wp:inline>
                  <wp:extent cx="5334000" cy="3000375"/>
                  <wp:effectExtent b="0" l="0" r="0" t="0"/>
                  <wp:docPr descr="" title="" id="65" name="Picture"/>
                  <a:graphic>
                    <a:graphicData uri="http://schemas.openxmlformats.org/drawingml/2006/picture">
                      <pic:pic>
                        <pic:nvPicPr>
                          <pic:cNvPr descr="figs/ct-fig-07-token-anatomy.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refresh token is the high-value target — and every redemption re-enters the policy gate</w:t>
            </w:r>
          </w:p>
          <w:bookmarkEnd w:id="67"/>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8"/>
    <w:bookmarkStart w:id="73"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72" w:name="fig-ct04"/>
          <w:p>
            <w:pPr>
              <w:pStyle w:val="Compact"/>
              <w:jc w:val="center"/>
            </w:pPr>
            <w:r>
              <w:drawing>
                <wp:inline>
                  <wp:extent cx="5334000" cy="3000375"/>
                  <wp:effectExtent b="0" l="0" r="0" t="0"/>
                  <wp:docPr descr="" title="" id="70" name="Picture"/>
                  <a:graphic>
                    <a:graphicData uri="http://schemas.openxmlformats.org/drawingml/2006/picture">
                      <pic:pic>
                        <pic:nvPicPr>
                          <pic:cNvPr descr="figs/ct-fig-04-token-issuance-gat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Token issuance as the policy gate: phishing-resistant credential in, signed path-independent assertion out</w:t>
            </w:r>
          </w:p>
          <w:bookmarkEnd w:id="72"/>
        </w:tc>
      </w:tr>
    </w:tbl>
    <w:bookmarkEnd w:id="73"/>
    <w:bookmarkStart w:id="74"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74"/>
    <w:bookmarkEnd w:id="75"/>
    <w:bookmarkStart w:id="78"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8"/>
    <w:bookmarkStart w:id="86" w:name="machine-and-workload-identity"/>
    <w:p>
      <w:pPr>
        <w:pStyle w:val="Heading1"/>
      </w:pPr>
      <w:r>
        <w:t xml:space="preserve">7. Machine and Workload Identity</w:t>
      </w:r>
    </w:p>
    <w:bookmarkStart w:id="83"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ct05"/>
          <w:p>
            <w:pPr>
              <w:pStyle w:val="Compact"/>
              <w:jc w:val="center"/>
            </w:pPr>
            <w:r>
              <w:drawing>
                <wp:inline>
                  <wp:extent cx="5334000" cy="3000375"/>
                  <wp:effectExtent b="0" l="0" r="0" t="0"/>
                  <wp:docPr descr="" title="" id="80" name="Picture"/>
                  <a:graphic>
                    <a:graphicData uri="http://schemas.openxmlformats.org/drawingml/2006/picture">
                      <pic:pic>
                        <pic:nvPicPr>
                          <pic:cNvPr descr="figs/ct-fig-05-workload-identity.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workload identity progression from stored passwords to federated attestation</w:t>
            </w:r>
          </w:p>
          <w:bookmarkEnd w:id="82"/>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83"/>
    <w:bookmarkStart w:id="84"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84"/>
    <w:bookmarkStart w:id="85"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85"/>
    <w:bookmarkEnd w:id="86"/>
    <w:bookmarkStart w:id="95"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tbl>
      <w:tblPr>
        <w:tblStyle w:val="Table"/>
        <w:tblW w:type="pct" w:w="5000"/>
        <w:tblLayout w:type="fixed"/>
        <w:tblLook w:firstRow="0" w:lastRow="0" w:firstColumn="0" w:lastColumn="0" w:noHBand="0" w:noVBand="0" w:val="0000"/>
      </w:tblPr>
      <w:tblGrid>
        <w:gridCol w:w="7920"/>
      </w:tblGrid>
      <w:tr>
        <w:tc>
          <w:tcPr/>
          <w:bookmarkStart w:id="90" w:name="fig-ct08"/>
          <w:p>
            <w:pPr>
              <w:pStyle w:val="Compact"/>
              <w:jc w:val="center"/>
            </w:pPr>
            <w:r>
              <w:drawing>
                <wp:inline>
                  <wp:extent cx="5334000" cy="3000375"/>
                  <wp:effectExtent b="0" l="0" r="0" t="0"/>
                  <wp:docPr descr="" title="" id="88" name="Picture"/>
                  <a:graphic>
                    <a:graphicData uri="http://schemas.openxmlformats.org/drawingml/2006/picture">
                      <pic:pic>
                        <pic:nvPicPr>
                          <pic:cNvPr descr="figs/ct-fig-08-phased-implementation.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four implementation phases and their gates — discovery, automation, token migration, workload conversion</w:t>
            </w:r>
          </w:p>
          <w:bookmarkEnd w:id="90"/>
        </w:tc>
      </w:tr>
    </w:tbl>
    <w:bookmarkStart w:id="91"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91"/>
    <w:bookmarkStart w:id="92"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92"/>
    <w:bookmarkStart w:id="93"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93"/>
    <w:bookmarkStart w:id="94"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94"/>
    <w:bookmarkEnd w:id="95"/>
    <w:bookmarkStart w:id="100"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98">
              <w:r>
                <w:rPr>
                  <w:rStyle w:val="Hyperlink"/>
                </w:rPr>
                <w:t xml:space="preserve">Book 00</w:t>
              </w:r>
            </w:hyperlink>
            <w:r>
              <w:t xml:space="preserve">;</w:t>
            </w:r>
            <w:r>
              <w:t xml:space="preserve"> </w:t>
            </w:r>
            <w:hyperlink r:id="rId99">
              <w:r>
                <w:rPr>
                  <w:rStyle w:val="Hyperlink"/>
                </w:rPr>
                <w:t xml:space="preserve">Book 19</w:t>
              </w:r>
            </w:hyperlink>
            <w:r>
              <w:t xml:space="preserve"> </w:t>
            </w:r>
            <w:r>
              <w:t xml:space="preserve">carries the evidence procedures behind it.</w:t>
            </w:r>
          </w:p>
          <w:p/>
        </w:tc>
      </w:tr>
    </w:tbl>
    <w:bookmarkEnd w:id="100"/>
    <w:bookmarkStart w:id="103"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101">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99">
        <w:r>
          <w:rPr>
            <w:rStyle w:val="Hyperlink"/>
          </w:rPr>
          <w:t xml:space="preserve">Book 19</w:t>
        </w:r>
      </w:hyperlink>
      <w:r>
        <w:t xml:space="preserve"> </w:t>
      </w:r>
      <w:r>
        <w:t xml:space="preserve">assembles it into the authorization package.</w:t>
      </w:r>
    </w:p>
    <w:bookmarkStart w:id="102"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8" Target="media/rId5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87" Target="media/rId87.png" /><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2026-07-09T14:23:22Z</dcterms:created>
  <dcterms:modified xsi:type="dcterms:W3CDTF">2026-07-09T14:23:22Z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