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90.png" ContentType="image/png"/>
  <Override PartName="/word/media/rId9.png" ContentType="image/png"/>
  <Override PartName="/word/media/rId16.png" ContentType="image/png"/>
  <Override PartName="/word/media/rId33.png" ContentType="image/png"/>
  <Override PartName="/word/media/rId63.png" ContentType="image/png"/>
  <Override PartName="/word/media/rId67.png" ContentType="image/png"/>
  <Override PartName="/word/media/rId78.png" ContentType="image/png"/>
  <Override PartName="/word/media/rId54.png" ContentType="image/png"/>
  <Override PartName="/word/media/rId12.png" ContentType="image/png"/>
  <Override PartName="/word/media/rId21.png" ContentType="image/png"/>
  <Override PartName="/word/media/rId26.png" ContentType="image/png"/>
  <Override PartName="/word/media/rId36.png" ContentType="image/png"/>
  <Override PartName="/word/media/rId41.png" ContentType="image/png"/>
  <Override PartName="/word/media/rId57.png" ContentType="image/png"/>
  <Override PartName="/word/media/rId87.png" ContentType="image/png"/>
  <Override PartName="/word/media/rId96.png" ContentType="image/png"/>
  <Override PartName="/word/media/rId46.png" ContentType="image/png"/>
  <Override PartName="/word/media/rId50.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16:04 ET</w:t>
            </w:r>
          </w:p>
          <w:p/>
        </w:tc>
      </w:tr>
    </w:tbl>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5"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3" name="Picture"/>
            <a:graphic>
              <a:graphicData uri="http://schemas.openxmlformats.org/drawingml/2006/picture">
                <pic:pic>
                  <pic:nvPicPr>
                    <pic:cNvPr descr="figs/tc-fig-07-citizen-journey.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5"/>
    <w:bookmarkStart w:id="25"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7" name="Picture"/>
            <a:graphic>
              <a:graphicData uri="http://schemas.openxmlformats.org/drawingml/2006/picture">
                <pic:pic>
                  <pic:nvPicPr>
                    <pic:cNvPr descr="figs/tc-fig-01-voice-quality.png" id="18" name="Picture"/>
                    <pic:cNvPicPr>
                      <a:picLocks noChangeArrowheads="1" noChangeAspect="1"/>
                    </pic:cNvPicPr>
                  </pic:nvPicPr>
                  <pic:blipFill>
                    <a:blip r:embed="rId1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9"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9"/>
    <w:bookmarkStart w:id="20"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20"/>
    <w:bookmarkStart w:id="24"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22" name="Picture"/>
            <a:graphic>
              <a:graphicData uri="http://schemas.openxmlformats.org/drawingml/2006/picture">
                <pic:pic>
                  <pic:nvPicPr>
                    <pic:cNvPr descr="figs/tc-fig-08-packet-jitter.png" id="23" name="Picture"/>
                    <pic:cNvPicPr>
                      <a:picLocks noChangeArrowheads="1" noChangeAspect="1"/>
                    </pic:cNvPicPr>
                  </pic:nvPicPr>
                  <pic:blipFill>
                    <a:blip r:embed="rId2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4"/>
    <w:bookmarkEnd w:id="25"/>
    <w:bookmarkStart w:id="45" w:name="Xe69dcf64720bd173cbba48f84c4f0f805c11880"/>
    <w:p>
      <w:pPr>
        <w:pStyle w:val="Heading1"/>
      </w:pPr>
      <w:r>
        <w:t xml:space="preserve">3. Amazon Connect: Architecture, .com Exception, and Network Dependencies</w:t>
      </w:r>
    </w:p>
    <w:bookmarkStart w:id="29"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vs. AWS Commercial — The Authorized Exception" title="" id="27" name="Picture"/>
            <a:graphic>
              <a:graphicData uri="http://schemas.openxmlformats.org/drawingml/2006/picture">
                <pic:pic>
                  <pic:nvPicPr>
                    <pic:cNvPr descr="figs/tc-fig-09-aws-exception.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vs. AWS Commercial — The Authorized Exception</w:t>
      </w:r>
    </w:p>
    <w:bookmarkEnd w:id="29"/>
    <w:bookmarkStart w:id="30" w:name="X181376a2273ec75de52d6cc7b263473cc07246c"/>
    <w:p>
      <w:pPr>
        <w:pStyle w:val="Heading2"/>
      </w:pPr>
      <w:r>
        <w:t xml:space="preserve">3.2 The GovCloud vs. Commercial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East/West commercial regions (FedRAMP Moderate P-ATO)</w:t>
            </w:r>
          </w:p>
        </w:tc>
        <w:tc>
          <w:tcPr/>
          <w:p>
            <w:pPr>
              <w:pStyle w:val="Compact"/>
            </w:pPr>
            <w:r>
              <w:t xml:space="preserve">GovCloud us-gov-east-1 / us-gov-west-1 (FedRAMP High P-ATO; ITAR; US-persons operations; physically separate)</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AWS has exactly two FedRAMP boundaries — there is no middle tier. Amazon Connect is available in</w:t>
      </w:r>
      <w:r>
        <w:t xml:space="preserve"> </w:t>
      </w:r>
      <w:r>
        <w:rPr>
          <w:b/>
          <w:bCs/>
        </w:rPr>
        <w:t xml:space="preserve">AWS GovCloud, where it holds FedRAMP High authorization</w:t>
      </w:r>
      <w:r>
        <w:t xml:space="preserve">. At the time the agency evaluated platforms for the N8NN contact center, the GovCloud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in GovCloud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GovCloud lagged commercial, creating a growing capability gap.</w:t>
      </w:r>
    </w:p>
    <w:p>
      <w:pPr>
        <w:pStyle w:val="FirstParagraph"/>
      </w:pPr>
      <w:r>
        <w:t xml:space="preserve">Stated as the trade it actually was:</w:t>
      </w:r>
      <w:r>
        <w:t xml:space="preserve"> </w:t>
      </w:r>
      <w:r>
        <w:rPr>
          <w:b/>
          <w:bCs/>
        </w:rPr>
        <w:t xml:space="preserve">the agency accepted commercial-at-Moderate with the capabilities it needed over GovCloud-at-High without them.</w:t>
      </w:r>
      <w:r>
        <w:t xml:space="preserve"> </w:t>
      </w:r>
      <w:r>
        <w:t xml:space="preserve">That is a starker trade than a tier label suggests — and it is exactly the kind of trade an AO can own explicitly, which is what the authorized-exception process did.</w:t>
      </w:r>
    </w:p>
    <w:p>
      <w:pPr>
        <w:pStyle w:val="BlockText"/>
      </w:pPr>
      <w:r>
        <w:rPr>
          <w:b/>
          <w:bCs/>
        </w:rPr>
        <w:t xml:space="preserve">Current evaluation required before any new agency deployment.</w:t>
      </w:r>
      <w:r>
        <w:t xml:space="preserve"> </w:t>
      </w:r>
      <w:r>
        <w:t xml:space="preserve">AWS continuously updates GovCloud service parity. The capability gaps identified at the time of this agency’s evaluation may have closed. Any agency evaluating Amazon Connect for a new deployment</w:t>
      </w:r>
      <w:r>
        <w:t xml:space="preserve"> </w:t>
      </w:r>
      <w:r>
        <w:rPr>
          <w:b/>
          <w:bCs/>
        </w:rPr>
        <w:t xml:space="preserve">must conduct a current-state evaluation of GovCloud Connect against its specific requirements</w:t>
      </w:r>
      <w:r>
        <w:t xml:space="preserve"> </w:t>
      </w:r>
      <w:r>
        <w:t xml:space="preserve">before concluding that a commercial exception is necessary.</w:t>
      </w:r>
    </w:p>
    <w:bookmarkEnd w:id="30"/>
    <w:bookmarkStart w:id="31"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in the commercial regions (and FedRAMP High in GovCloud). But the personnel screening, physical separation, ITAR/US-persons handling, and High control baseline of GovCloud do not apply on the commercial side.</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31"/>
    <w:bookmarkStart w:id="32"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32"/>
    <w:bookmarkStart w:id="39"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4" name="Picture"/>
            <a:graphic>
              <a:graphicData uri="http://schemas.openxmlformats.org/drawingml/2006/picture">
                <pic:pic>
                  <pic:nvPicPr>
                    <pic:cNvPr descr="figs/tc-fig-02-mpls-vs-breakout.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(engineering estimate: ~50 ms coast-to-coast propagation plus inspection-stack and queuing overhead; validate with per-site measurement during discovery).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7" name="Picture"/>
            <a:graphic>
              <a:graphicData uri="http://schemas.openxmlformats.org/drawingml/2006/picture">
                <pic:pic>
                  <pic:nvPicPr>
                    <pic:cNvPr descr="figs/tc-fig-10-webrtc-path.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9"/>
    <w:bookmarkStart w:id="40"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40"/>
    <w:bookmarkStart w:id="44"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42" name="Picture"/>
            <a:graphic>
              <a:graphicData uri="http://schemas.openxmlformats.org/drawingml/2006/picture">
                <pic:pic>
                  <pic:nvPicPr>
                    <pic:cNvPr descr="figs/tc-fig-11-asymmetric-routing.png" id="43" name="Picture"/>
                    <pic:cNvPicPr>
                      <a:picLocks noChangeArrowheads="1" noChangeAspect="1"/>
                    </pic:cNvPicPr>
                  </pic:nvPicPr>
                  <pic:blipFill>
                    <a:blip r:embed="rId4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4"/>
    <w:bookmarkEnd w:id="45"/>
    <w:bookmarkStart w:id="62" w:name="X839c1c655003bd3897e8b5851a50b9508e76f4d"/>
    <w:p>
      <w:pPr>
        <w:pStyle w:val="Heading1"/>
      </w:pPr>
      <w:r>
        <w:t xml:space="preserve">4. Microsoft Teams Phone: Replacing the Legacy PBX in GCC Moderate</w:t>
      </w:r>
    </w:p>
    <w:bookmarkStart w:id="49"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p>
      <w:pPr>
        <w:pStyle w:val="CaptionedFigure"/>
      </w:pPr>
      <w:r>
        <w:drawing>
          <wp:inline>
            <wp:extent cx="5334000" cy="3000375"/>
            <wp:effectExtent b="0" l="0" r="0" t="0"/>
            <wp:docPr descr="Teams Phone: the cloud PBX inside GCC Moderate" title="" id="47" name="Picture"/>
            <a:graphic>
              <a:graphicData uri="http://schemas.openxmlformats.org/drawingml/2006/picture">
                <pic:pic>
                  <pic:nvPicPr>
                    <pic:cNvPr descr="figs/tc-fig-15-teams-phone-gcc.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Phone: the cloud PBX inside GCC Moderate</w:t>
      </w:r>
    </w:p>
    <w:bookmarkEnd w:id="49"/>
    <w:bookmarkStart w:id="53" w:name="X6ece0fcf0855462989a3ddd91807ca0d93f5e19"/>
    <w:p>
      <w:pPr>
        <w:pStyle w:val="Heading2"/>
      </w:pPr>
      <w:r>
        <w:t xml:space="preserve">4.2 PSTN Connectivity: Direct Routing and the SBC</w:t>
      </w:r>
    </w:p>
    <w:p>
      <w:pPr>
        <w:pStyle w:val="CaptionedFigure"/>
      </w:pPr>
      <w:r>
        <w:drawing>
          <wp:inline>
            <wp:extent cx="5334000" cy="3000375"/>
            <wp:effectExtent b="0" l="0" r="0" t="0"/>
            <wp:docPr descr="PSTN connectivity: Calling Plans, Direct Routing, and the SBC decision" title="" id="51" name="Picture"/>
            <a:graphic>
              <a:graphicData uri="http://schemas.openxmlformats.org/drawingml/2006/picture">
                <pic:pic>
                  <pic:nvPicPr>
                    <pic:cNvPr descr="figs/tc-fig-16-pstn-sbc-options.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PSTN connectivity: Calling Plans, Direct Routing, and the SBC decision</w:t>
      </w:r>
    </w:p>
    <w:p>
      <w:pPr>
        <w:pStyle w:val="BodyText"/>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53"/>
    <w:bookmarkStart w:id="60"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55" name="Picture"/>
            <a:graphic>
              <a:graphicData uri="http://schemas.openxmlformats.org/drawingml/2006/picture">
                <pic:pic>
                  <pic:nvPicPr>
                    <pic:cNvPr descr="figs/tc-fig-06-e911-boundary.png" id="56" name="Picture"/>
                    <pic:cNvPicPr>
                      <a:picLocks noChangeArrowheads="1" noChangeAspect="1"/>
                    </pic:cNvPicPr>
                  </pic:nvPicPr>
                  <pic:blipFill>
                    <a:blip r:embed="rId54"/>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58" name="Picture"/>
            <a:graphic>
              <a:graphicData uri="http://schemas.openxmlformats.org/drawingml/2006/picture">
                <pic:pic>
                  <pic:nvPicPr>
                    <pic:cNvPr descr="figs/tc-fig-12-pbx-migration.png" id="59" name="Picture"/>
                    <pic:cNvPicPr>
                      <a:picLocks noChangeArrowheads="1" noChangeAspect="1"/>
                    </pic:cNvPicPr>
                  </pic:nvPicPr>
                  <pic:blipFill>
                    <a:blip r:embed="rId5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60"/>
    <w:bookmarkStart w:id="61"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61"/>
    <w:bookmarkEnd w:id="62"/>
    <w:bookmarkStart w:id="77" w:name="one-investment-two-platforms"/>
    <w:p>
      <w:pPr>
        <w:pStyle w:val="Heading1"/>
      </w:pPr>
      <w:r>
        <w:t xml:space="preserve">5. One Investment: Two Platforms</w:t>
      </w:r>
    </w:p>
    <w:bookmarkStart w:id="66"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64" name="Picture"/>
            <a:graphic>
              <a:graphicData uri="http://schemas.openxmlformats.org/drawingml/2006/picture">
                <pic:pic>
                  <pic:nvPicPr>
                    <pic:cNvPr descr="figs/tc-fig-03-dual-platform-hub.png" id="65" name="Picture"/>
                    <pic:cNvPicPr>
                      <a:picLocks noChangeArrowheads="1" noChangeAspect="1"/>
                    </pic:cNvPicPr>
                  </pic:nvPicPr>
                  <pic:blipFill>
                    <a:blip r:embed="rId63"/>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66"/>
    <w:bookmarkStart w:id="71"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68" name="Picture"/>
            <a:graphic>
              <a:graphicData uri="http://schemas.openxmlformats.org/drawingml/2006/picture">
                <pic:pic>
                  <pic:nvPicPr>
                    <pic:cNvPr descr="figs/tc-fig-04-hybrid-agent.png" id="69" name="Picture"/>
                    <pic:cNvPicPr>
                      <a:picLocks noChangeArrowheads="1" noChangeAspect="1"/>
                    </pic:cNvPicPr>
                  </pic:nvPicPr>
                  <pic:blipFill>
                    <a:blip r:embed="rId67"/>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70"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70"/>
    <w:bookmarkEnd w:id="71"/>
    <w:bookmarkStart w:id="72"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72"/>
    <w:bookmarkStart w:id="76" w:name="sd-wan-and-sase-stack-architecture"/>
    <w:p>
      <w:pPr>
        <w:pStyle w:val="Heading2"/>
      </w:pPr>
      <w:r>
        <w:t xml:space="preserve">5.4 SD-WAN and SASE Stack Architecture</w:t>
      </w:r>
    </w:p>
    <w:p>
      <w:pPr>
        <w:pStyle w:val="FirstParagraph"/>
      </w:pPr>
      <w:r>
        <w:t xml:space="preserve">The telecommunications modernization in this book requires three distinct components that operate at different layers and are frequently conflated:</w:t>
      </w:r>
    </w:p>
    <w:p>
      <w:pPr>
        <w:pStyle w:val="TableCaption"/>
      </w:pPr>
      <w:r>
        <w:t xml:space="preserve">SD-WAN and SASE Stack Components</w:t>
      </w:r>
      <w:r>
        <w:t xml:space="preserve"> </w:t>
      </w:r>
      <w:r>
        <w:rPr>
          <w:i/>
          <w:iCs/>
        </w:rPr>
        <w:t xml:space="preserve">(agency selection pending for all three)</w:t>
      </w:r>
    </w:p>
    <w:tbl>
      <w:tblPr>
        <w:tblStyle w:val="Table"/>
        <w:tblW w:type="pct" w:w="5000"/>
        <w:tblLayout w:type="fixed"/>
        <w:tblLook w:firstRow="1" w:lastRow="0" w:firstColumn="0" w:lastColumn="0" w:noHBand="0" w:noVBand="0" w:val="0020"/>
        <w:tblCaption w:val="SD-WAN and SASE Stack Components (agency selection pending for all three)"/>
      </w:tblPr>
      <w:tblGrid>
        <w:gridCol w:w="1675"/>
        <w:gridCol w:w="1066"/>
        <w:gridCol w:w="1523"/>
        <w:gridCol w:w="3655"/>
      </w:tblGrid>
      <w:tr>
        <w:trPr>
          <w:tblHeader w:val="on"/>
        </w:trPr>
        <w:tc>
          <w:tcPr/>
          <w:p>
            <w:pPr>
              <w:pStyle w:val="Compact"/>
            </w:pPr>
            <w:r>
              <w:t xml:space="preserve">Component</w:t>
            </w:r>
          </w:p>
        </w:tc>
        <w:tc>
          <w:tcPr/>
          <w:p>
            <w:pPr>
              <w:pStyle w:val="Compact"/>
            </w:pPr>
            <w:r>
              <w:t xml:space="preserve">Layer</w:t>
            </w:r>
          </w:p>
        </w:tc>
        <w:tc>
          <w:tcPr/>
          <w:p>
            <w:pPr>
              <w:pStyle w:val="Compact"/>
            </w:pPr>
            <w:r>
              <w:t xml:space="preserve">Function</w:t>
            </w:r>
          </w:p>
        </w:tc>
        <w:tc>
          <w:tcPr/>
          <w:p>
            <w:pPr>
              <w:pStyle w:val="Compact"/>
            </w:pPr>
            <w:r>
              <w:t xml:space="preserve">Representative vendors</w:t>
            </w:r>
          </w:p>
        </w:tc>
      </w:tr>
      <w:tr>
        <w:tc>
          <w:tcPr/>
          <w:p>
            <w:pPr>
              <w:pStyle w:val="Compact"/>
            </w:pPr>
            <w:r>
              <w:rPr>
                <w:b/>
                <w:bCs/>
              </w:rPr>
              <w:t xml:space="preserve">SD-WAN overlay</w:t>
            </w:r>
          </w:p>
        </w:tc>
        <w:tc>
          <w:tcPr/>
          <w:p>
            <w:pPr>
              <w:pStyle w:val="Compact"/>
            </w:pPr>
            <w:r>
              <w:t xml:space="preserve">Layer 3 — Network</w:t>
            </w:r>
          </w:p>
        </w:tc>
        <w:tc>
          <w:tcPr/>
          <w:p>
            <w:pPr>
              <w:pStyle w:val="Compact"/>
            </w:pPr>
            <w:r>
              <w:t xml:space="preserve">IPsec encrypted transport; intelligent path selection; QoS traffic classification; DIA local breakout</w:t>
            </w:r>
          </w:p>
        </w:tc>
        <w:tc>
          <w:tcPr/>
          <w:p>
            <w:pPr>
              <w:pStyle w:val="Compact"/>
            </w:pPr>
            <w:r>
              <w:t xml:space="preserve">Cisco Catalyst SD-WAN / VMware VeloCloud (Broadcom) / Palo Alto SD-WAN</w:t>
            </w:r>
          </w:p>
        </w:tc>
      </w:tr>
      <w:tr>
        <w:tc>
          <w:tcPr/>
          <w:p>
            <w:pPr>
              <w:pStyle w:val="Compact"/>
            </w:pPr>
            <w:r>
              <w:rPr>
                <w:b/>
                <w:bCs/>
              </w:rPr>
              <w:t xml:space="preserve">SASE SSE</w:t>
            </w:r>
            <w:r>
              <w:t xml:space="preserve"> </w:t>
            </w:r>
            <w:r>
              <w:t xml:space="preserve">(Secure Service Edge)</w:t>
            </w:r>
          </w:p>
        </w:tc>
        <w:tc>
          <w:tcPr/>
          <w:p>
            <w:pPr>
              <w:pStyle w:val="Compact"/>
            </w:pPr>
            <w:r>
              <w:t xml:space="preserve">Layer 7 — Application</w:t>
            </w:r>
          </w:p>
        </w:tc>
        <w:tc>
          <w:tcPr/>
          <w:p>
            <w:pPr>
              <w:pStyle w:val="Compact"/>
            </w:pPr>
            <w:r>
              <w:t xml:space="preserve">SWG, CASB, FWaaS, SSL/TLS inspection; TIC 3.0 security capabilities catalog</w:t>
            </w:r>
          </w:p>
        </w:tc>
        <w:tc>
          <w:tcPr/>
          <w:p>
            <w:pPr>
              <w:pStyle w:val="Compact"/>
            </w:pPr>
            <w:r>
              <w:t xml:space="preserve">Zscaler Internet Access (ZIA) / Netskope SSE / Palo Alto Prisma Access</w:t>
            </w:r>
          </w:p>
        </w:tc>
      </w:tr>
      <w:tr>
        <w:tc>
          <w:tcPr/>
          <w:p>
            <w:pPr>
              <w:pStyle w:val="Compact"/>
            </w:pPr>
            <w:r>
              <w:rPr>
                <w:b/>
                <w:bCs/>
              </w:rPr>
              <w:t xml:space="preserve">ZTNA</w:t>
            </w:r>
            <w:r>
              <w:t xml:space="preserve"> </w:t>
            </w:r>
            <w:r>
              <w:t xml:space="preserve">(Zero Trust Network Access)</w:t>
            </w:r>
          </w:p>
        </w:tc>
        <w:tc>
          <w:tcPr/>
          <w:p>
            <w:pPr>
              <w:pStyle w:val="Compact"/>
            </w:pPr>
            <w:r>
              <w:t xml:space="preserve">Layer 7 — Application</w:t>
            </w:r>
          </w:p>
        </w:tc>
        <w:tc>
          <w:tcPr/>
          <w:p>
            <w:pPr>
              <w:pStyle w:val="Compact"/>
            </w:pPr>
            <w:r>
              <w:t xml:space="preserve">Per-application micro-tunnels; device posture enforcement; least-privilege session access</w:t>
            </w:r>
          </w:p>
        </w:tc>
        <w:tc>
          <w:tcPr/>
          <w:p>
            <w:pPr>
              <w:pStyle w:val="Compact"/>
            </w:pPr>
            <w:r>
              <w:t xml:space="preserve">Zscaler Private Access (ZPA) / Netskope Private Access / Palo Alto Prisma Access ZTNA</w:t>
            </w:r>
          </w:p>
        </w:tc>
      </w:tr>
    </w:tbl>
    <w:p>
      <w:pPr>
        <w:pStyle w:val="BodyText"/>
      </w:pPr>
      <w:r>
        <w:t xml:space="preserve">SD-WAN and SASE SSE are distinct products procured separately (though some vendors bundle them). The SD-WAN overlay closes SC-8 (network-layer encryption on DIA circuits) and SI-4 (application-layer telemetry on transport). The SASE SSE stack closes AC-4 (information flow enforcement), SC-7 (boundary protection), SI-3 (malware protection via SSL inspection), AU-2/AU-12 (per-session audit records), and CA-7 (continuous monitoring). Neither substitutes for the other; both are required to satisfy TIC 3.0 and the controls cited in this book.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Pending</w:t>
            </w:r>
          </w:p>
        </w:tc>
      </w:tr>
      <w:tr>
        <w:trPr>
          <w:cantSplit/>
        </w:trPr>
        <w:tc>
          <w:tcPr>
            <w:tcMar>
              <w:top w:w="108" w:type="dxa"/>
              <w:bottom w:w="108" w:type="dxa"/>
            </w:tcMar>
          </w:tcPr>
          <w:p>
            <w:pPr>
              <w:pStyle w:val="BodyText"/>
            </w:pPr>
            <w:pPr>
              <w:spacing w:before="16" w:after="16"/>
            </w:pPr>
            <w:r>
              <w:t xml:space="preserve">The shortlists above reflect FedRAMP authorization status and federal use-case alignment at time of writing. Agency procurement authority, current FedRAMP Marketplace listings, and environment-specific testing must inform final selection. OIS should participate in vendor evaluation for all three components.</w:t>
            </w:r>
          </w:p>
          <w:p/>
        </w:tc>
      </w:tr>
    </w:tbl>
    <w:bookmarkEnd w:id="76"/>
    <w:bookmarkEnd w:id="77"/>
    <w:bookmarkStart w:id="81"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79" name="Picture"/>
            <a:graphic>
              <a:graphicData uri="http://schemas.openxmlformats.org/drawingml/2006/picture">
                <pic:pic>
                  <pic:nvPicPr>
                    <pic:cNvPr descr="figs/tc-fig-05-sase-stack.png" id="80" name="Picture"/>
                    <pic:cNvPicPr>
                      <a:picLocks noChangeArrowheads="1" noChangeAspect="1"/>
                    </pic:cNvPicPr>
                  </pic:nvPicPr>
                  <pic:blipFill>
                    <a:blip r:embed="rId7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81"/>
    <w:bookmarkStart w:id="86"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CaptionedFigure"/>
      </w:pPr>
      <w:r>
        <w:drawing>
          <wp:inline>
            <wp:extent cx="5334000" cy="3000375"/>
            <wp:effectExtent b="0" l="0" r="0" t="0"/>
            <wp:docPr descr="TIC 3.0: the two use cases governing agency voice and the permissibility rule" title="" id="83" name="Picture"/>
            <a:graphic>
              <a:graphicData uri="http://schemas.openxmlformats.org/drawingml/2006/picture">
                <pic:pic>
                  <pic:nvPicPr>
                    <pic:cNvPr descr="figs/tc-fig-17-tic3-pep.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TIC 3.0: the two use cases governing agency voice and the permissibility rule</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85"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85"/>
    <w:bookmarkEnd w:id="86"/>
    <w:bookmarkStart w:id="100"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88" name="Picture"/>
            <a:graphic>
              <a:graphicData uri="http://schemas.openxmlformats.org/drawingml/2006/picture">
                <pic:pic>
                  <pic:nvPicPr>
                    <pic:cNvPr descr="figs/tc-fig-13-fedramp-20x-telecom.png" id="89" name="Picture"/>
                    <pic:cNvPicPr>
                      <a:picLocks noChangeArrowheads="1" noChangeAspect="1"/>
                    </pic:cNvPicPr>
                  </pic:nvPicPr>
                  <pic:blipFill>
                    <a:blip r:embed="rId8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93"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93"/>
    <w:bookmarkStart w:id="94"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94"/>
    <w:bookmarkStart w:id="95"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95"/>
    <w:bookmarkStart w:id="99"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97" name="Picture"/>
            <a:graphic>
              <a:graphicData uri="http://schemas.openxmlformats.org/drawingml/2006/picture">
                <pic:pic>
                  <pic:nvPicPr>
                    <pic:cNvPr descr="figs/tc-fig-14-implementation-gantt.png" id="98" name="Picture"/>
                    <pic:cNvPicPr>
                      <a:picLocks noChangeArrowheads="1" noChangeAspect="1"/>
                    </pic:cNvPicPr>
                  </pic:nvPicPr>
                  <pic:blipFill>
                    <a:blip r:embed="rId9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99"/>
    <w:bookmarkEnd w:id="100"/>
    <w:bookmarkStart w:id="105"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101"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101"/>
    <w:bookmarkStart w:id="102"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102"/>
    <w:bookmarkStart w:id="103"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103"/>
    <w:bookmarkStart w:id="104"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commercial exception at each ATO renewal; evaluate whether GovCloud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104"/>
    <w:bookmarkEnd w:id="105"/>
    <w:bookmarkStart w:id="106"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54" Target="media/rId54.png"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96" Target="media/rId96.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2026-07-09T14:23:29Z</dcterms:created>
  <dcterms:modified xsi:type="dcterms:W3CDTF">2026-07-09T14:23:29Z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