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0.png" ContentType="image/png"/>
  <Override PartName="/word/media/rId9.png" ContentType="image/png"/>
  <Override PartName="/word/media/rId15.png" ContentType="image/png"/>
  <Override PartName="/word/media/rId39.png" ContentType="image/png"/>
  <Override PartName="/word/media/rId52.png" ContentType="image/png"/>
  <Override PartName="/word/media/rId99.png" ContentType="image/png"/>
  <Override PartName="/word/media/rId20.png" ContentType="image/png"/>
  <Override PartName="/word/media/rId66.png" ContentType="image/png"/>
  <Override PartName="/word/media/rId90.png" ContentType="image/png"/>
  <Override PartName="/word/media/rId57.png" ContentType="image/png"/>
  <Override PartName="/word/media/rId76.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2026-07-08 13:21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8"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6" name="Picture"/>
            <a:graphic>
              <a:graphicData uri="http://schemas.openxmlformats.org/drawingml/2006/picture">
                <pic:pic>
                  <pic:nvPicPr>
                    <pic:cNvPr descr="figs/vuln-fig-01-scan-architecture.png" id="17" name="Picture"/>
                    <pic:cNvPicPr>
                      <a:picLocks noChangeArrowheads="1" noChangeAspect="1"/>
                    </pic:cNvPicPr>
                  </pic:nvPicPr>
                  <pic:blipFill>
                    <a:blip r:embed="rId1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8"/>
    <w:bookmarkStart w:id="28" w:name="the-patch-sla-gap"/>
    <w:p>
      <w:pPr>
        <w:pStyle w:val="Heading1"/>
      </w:pPr>
      <w:r>
        <w:t xml:space="preserve">2. The Patch SLA Gap</w:t>
      </w:r>
    </w:p>
    <w:bookmarkStart w:id="19"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9"/>
    <w:bookmarkStart w:id="24"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tbl>
      <w:tblPr>
        <w:tblStyle w:val="Table"/>
        <w:tblW w:type="pct" w:w="5000"/>
        <w:tblLayout w:type="fixed"/>
        <w:tblLook w:firstRow="0" w:lastRow="0" w:firstColumn="0" w:lastColumn="0" w:noHBand="0" w:noVBand="0" w:val="0000"/>
      </w:tblPr>
      <w:tblGrid>
        <w:gridCol w:w="7920"/>
      </w:tblGrid>
      <w:tr>
        <w:tc>
          <w:tcPr/>
          <w:bookmarkStart w:id="23" w:name="fig-vuln05"/>
          <w:p>
            <w:pPr>
              <w:pStyle w:val="Compact"/>
              <w:jc w:val="center"/>
            </w:pPr>
            <w:r>
              <w:drawing>
                <wp:inline>
                  <wp:extent cx="5334000" cy="3000375"/>
                  <wp:effectExtent b="0" l="0" r="0" t="0"/>
                  <wp:docPr descr="" title="" id="21" name="Picture"/>
                  <a:graphic>
                    <a:graphicData uri="http://schemas.openxmlformats.org/drawingml/2006/picture">
                      <pic:pic>
                        <pic:nvPicPr>
                          <pic:cNvPr descr="figs/vuln-fig-05-kev-intersection.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KEV reorders priority: exploited beats high-CVSS</w:t>
            </w:r>
          </w:p>
          <w:bookmarkEnd w:id="23"/>
        </w:tc>
      </w:tr>
    </w:tbl>
    <w:bookmarkEnd w:id="24"/>
    <w:bookmarkStart w:id="27"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7"/>
    <w:bookmarkEnd w:id="28"/>
    <w:bookmarkStart w:id="37" w:name="X2b442fc05acc20b7ed6470dfff2832445fc2597"/>
    <w:p>
      <w:pPr>
        <w:pStyle w:val="Heading1"/>
      </w:pPr>
      <w:r>
        <w:t xml:space="preserve">3. Defender for Endpoint and Arc Integration</w:t>
      </w:r>
    </w:p>
    <w:bookmarkStart w:id="29"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9"/>
    <w:bookmarkStart w:id="33"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33"/>
    <w:bookmarkStart w:id="36"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6"/>
    <w:bookmarkEnd w:id="37"/>
    <w:bookmarkStart w:id="45" w:name="cisa-kev-integration-and-prioritization"/>
    <w:p>
      <w:pPr>
        <w:pStyle w:val="Heading1"/>
      </w:pPr>
      <w:r>
        <w:t xml:space="preserve">4. CISA KEV Integration and Prioritization</w:t>
      </w:r>
    </w:p>
    <w:bookmarkStart w:id="38"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8"/>
    <w:bookmarkStart w:id="44"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40" name="Picture"/>
            <a:graphic>
              <a:graphicData uri="http://schemas.openxmlformats.org/drawingml/2006/picture">
                <pic:pic>
                  <pic:nvPicPr>
                    <pic:cNvPr descr="figs/vuln-fig-02-kev-patch-flow.png" id="41" name="Picture"/>
                    <pic:cNvPicPr>
                      <a:picLocks noChangeArrowheads="1" noChangeAspect="1"/>
                    </pic:cNvPicPr>
                  </pic:nvPicPr>
                  <pic:blipFill>
                    <a:blip r:embed="rId39"/>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44"/>
    <w:bookmarkEnd w:id="45"/>
    <w:bookmarkStart w:id="56" w:name="intune-patch-automation"/>
    <w:p>
      <w:pPr>
        <w:pStyle w:val="Heading1"/>
      </w:pPr>
      <w:r>
        <w:t xml:space="preserve">5. Intune Patch Automation</w:t>
      </w:r>
    </w:p>
    <w:bookmarkStart w:id="48"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8"/>
    <w:bookmarkStart w:id="49"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9"/>
    <w:bookmarkStart w:id="55"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warning.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53" name="Picture"/>
            <a:graphic>
              <a:graphicData uri="http://schemas.openxmlformats.org/drawingml/2006/picture">
                <pic:pic>
                  <pic:nvPicPr>
                    <pic:cNvPr descr="figs/vuln-fig-03-patch-rings.png" id="54" name="Picture"/>
                    <pic:cNvPicPr>
                      <a:picLocks noChangeArrowheads="1" noChangeAspect="1"/>
                    </pic:cNvPicPr>
                  </pic:nvPicPr>
                  <pic:blipFill>
                    <a:blip r:embed="rId52"/>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55"/>
    <w:bookmarkEnd w:id="56"/>
    <w:bookmarkStart w:id="65" w:name="remediation-beyond-windows"/>
    <w:p>
      <w:pPr>
        <w:pStyle w:val="Heading1"/>
      </w:pPr>
      <w:r>
        <w:t xml:space="preserve">6. Remediation Beyond Windows</w:t>
      </w:r>
    </w:p>
    <w:p>
      <w:pPr>
        <w:pStyle w:val="FirstParagraph"/>
      </w:pPr>
      <w:r>
        <w:t xml:space="preserve">The scanning half of this architecture is operating-system agnostic. Microsoft Defender Vulnerability Management covers Linux over the same Azure Monitor Agent channel it uses for Windows, so a Linux CVE flows through the identical CISA KEV cross-reference, the identical six-tier SLA table, and the identical daily compliance record described above. Detection, prioritization, and evidence do not change by operating system. What changes is the patch</w:t>
      </w:r>
      <w:r>
        <w:t xml:space="preserve"> </w:t>
      </w:r>
      <w:r>
        <w:rPr>
          <w:b/>
          <w:bCs/>
        </w:rPr>
        <w:t xml:space="preserve">delivery</w:t>
      </w:r>
      <w:r>
        <w:t xml:space="preserve"> </w:t>
      </w:r>
      <w:r>
        <w:t xml:space="preserve">mechanism — Windows Update for Business is Windows-only — so the remediation lane needs a non-Windows equivalent.</w:t>
      </w:r>
    </w:p>
    <w:tbl>
      <w:tblPr>
        <w:tblStyle w:val="Table"/>
        <w:tblW w:type="pct" w:w="5000"/>
        <w:tblLayout w:type="fixed"/>
        <w:tblLook w:firstRow="0" w:lastRow="0" w:firstColumn="0" w:lastColumn="0" w:noHBand="0" w:noVBand="0" w:val="0000"/>
      </w:tblPr>
      <w:tblGrid>
        <w:gridCol w:w="7920"/>
      </w:tblGrid>
      <w:tr>
        <w:tc>
          <w:tcPr/>
          <w:bookmarkStart w:id="60" w:name="fig-vuln08"/>
          <w:p>
            <w:pPr>
              <w:pStyle w:val="Compact"/>
              <w:jc w:val="center"/>
            </w:pPr>
            <w:r>
              <w:drawing>
                <wp:inline>
                  <wp:extent cx="5334000" cy="3000375"/>
                  <wp:effectExtent b="0" l="0" r="0" t="0"/>
                  <wp:docPr descr="" title="" id="58" name="Picture"/>
                  <a:graphic>
                    <a:graphicData uri="http://schemas.openxmlformats.org/drawingml/2006/picture">
                      <pic:pic>
                        <pic:nvPicPr>
                          <pic:cNvPr descr="figs/vuln-fig-08-linux-remediation.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Remediation beyond Windows: same discipline, different delivery tool</w:t>
            </w:r>
          </w:p>
          <w:bookmarkEnd w:id="60"/>
        </w:tc>
      </w:tr>
    </w:tbl>
    <w:bookmarkStart w:id="61" w:name="linux-patch-delivery"/>
    <w:p>
      <w:pPr>
        <w:pStyle w:val="Heading2"/>
      </w:pPr>
      <w:r>
        <w:t xml:space="preserve">6.1 Linux Patch Delivery</w:t>
      </w:r>
    </w:p>
    <w:p>
      <w:pPr>
        <w:pStyle w:val="FirstParagraph"/>
      </w:pPr>
      <w:r>
        <w:t xml:space="preserve">For Arc-enrolled Linux hosts,</w:t>
      </w:r>
      <w:r>
        <w:t xml:space="preserve"> </w:t>
      </w:r>
      <w:r>
        <w:rPr>
          <w:b/>
          <w:bCs/>
        </w:rPr>
        <w:t xml:space="preserve">Azure Update Manager</w:t>
      </w:r>
      <w:r>
        <w:t xml:space="preserve"> </w:t>
      </w:r>
      <w:r>
        <w:t xml:space="preserve">is the direct analogue to WUfB and rides the same Arc connection already established for scanning — no additional agent. It provides assessment and scheduled patching with maintenance windows across RHEL, Ubuntu, and SUSE, dynamic machine scoping by tag, and an on-demand patch run that serves as the Linux equivalent of the KEV expedited path. Where an agency already operates native package automation (</w:t>
      </w:r>
      <w:r>
        <w:rPr>
          <w:rStyle w:val="VerbatimChar"/>
        </w:rPr>
        <w:t xml:space="preserve">dnf-automatic</w:t>
      </w:r>
      <w:r>
        <w:t xml:space="preserve">,</w:t>
      </w:r>
      <w:r>
        <w:t xml:space="preserve"> </w:t>
      </w:r>
      <w:r>
        <w:rPr>
          <w:rStyle w:val="VerbatimChar"/>
        </w:rPr>
        <w:t xml:space="preserve">unattended-upgrades</w:t>
      </w:r>
      <w:r>
        <w:t xml:space="preserve">) or configuration management (Ansible, Red Hat Satellite, Ubuntu Landscape), those remain valid delivery mechanisms; Update Manager is the default because it inherits the same Arc inventory gate that governs the Windows estate.</w:t>
      </w:r>
    </w:p>
    <w:bookmarkEnd w:id="61"/>
    <w:bookmarkStart w:id="64" w:name="the-rest-of-the-estate"/>
    <w:p>
      <w:pPr>
        <w:pStyle w:val="Heading2"/>
      </w:pPr>
      <w:r>
        <w:t xml:space="preserve">6.2 The Rest of the Estate</w:t>
      </w:r>
    </w:p>
    <w:p>
      <w:pPr>
        <w:pStyle w:val="FirstParagraph"/>
      </w:pPr>
      <w:r>
        <w:t xml:space="preserve">The remediation program must account for surfaces that neither WUfB nor Update Manager reaches:</w:t>
      </w:r>
    </w:p>
    <w:p>
      <w:pPr>
        <w:pStyle w:val="Compact"/>
        <w:numPr>
          <w:ilvl w:val="0"/>
          <w:numId w:val="1002"/>
        </w:numPr>
      </w:pPr>
      <w:r>
        <w:rPr>
          <w:b/>
          <w:bCs/>
        </w:rPr>
        <w:t xml:space="preserve">macOS</w:t>
      </w:r>
      <w:r>
        <w:t xml:space="preserve"> </w:t>
      </w:r>
      <w:r>
        <w:t xml:space="preserve">— patched through Intune update policies with the MDE sensor providing the vulnerability signal.</w:t>
      </w:r>
    </w:p>
    <w:p>
      <w:pPr>
        <w:pStyle w:val="Compact"/>
        <w:numPr>
          <w:ilvl w:val="0"/>
          <w:numId w:val="1002"/>
        </w:numPr>
      </w:pPr>
      <w:r>
        <w:rPr>
          <w:b/>
          <w:bCs/>
        </w:rPr>
        <w:t xml:space="preserve">Network devices and appliances</w:t>
      </w:r>
      <w:r>
        <w:t xml:space="preserve"> </w:t>
      </w:r>
      <w:r>
        <w:t xml:space="preserve">— vendor-managed on their own firmware cadence, tracked separately from the host patch queue. These are frequently the single highest-risk KEV surface: edge VPN, firewall, and load-balancer CVEs dominate the exploited-in-the-wild entries in the KEV catalog, and they are outside every host-based patch tool.</w:t>
      </w:r>
    </w:p>
    <w:p>
      <w:pPr>
        <w:pStyle w:val="Compact"/>
        <w:numPr>
          <w:ilvl w:val="0"/>
          <w:numId w:val="1002"/>
        </w:numPr>
      </w:pPr>
      <w:r>
        <w:rPr>
          <w:b/>
          <w:bCs/>
        </w:rPr>
        <w:t xml:space="preserve">Container images</w:t>
      </w:r>
      <w:r>
        <w:t xml:space="preserve"> </w:t>
      </w:r>
      <w:r>
        <w:t xml:space="preserve">— remediated by scanning in the registry at build time and rebuilding, not by patching running hosts.</w:t>
      </w:r>
    </w:p>
    <w:p>
      <w:pPr>
        <w:pStyle w:val="Compact"/>
        <w:numPr>
          <w:ilvl w:val="0"/>
          <w:numId w:val="1002"/>
        </w:numPr>
      </w:pPr>
      <w:r>
        <w:rPr>
          <w:b/>
          <w:bCs/>
        </w:rPr>
        <w:t xml:space="preserve">Firmware and BIOS</w:t>
      </w:r>
      <w:r>
        <w:t xml:space="preserve"> </w:t>
      </w:r>
      <w:r>
        <w:t xml:space="preserve">— outside WUfB entirely; addressed through vendor tooling on its own cadence.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One mechanism, several delivery tools</w:t>
            </w:r>
            <w:r>
              <w:t xml:space="preserve"> </w:t>
            </w:r>
            <w:r>
              <w:t xml:space="preserve">— WUfB (Windows) and Azure Update Manager (Linux) are two delivery examples of a single mechanism: inventory-bound automated remediation on an SLA. The priority queue, the KEV cross-reference, and the machine-readable compliance record are constant across the operating-system surface. This is the point generalized in the</w:t>
            </w:r>
            <w:r>
              <w:t xml:space="preserve"> </w:t>
            </w:r>
            <w:r>
              <w:rPr>
                <w:i/>
                <w:iCs/>
              </w:rPr>
              <w:t xml:space="preserve">Mechanism, Not Product</w:t>
            </w:r>
            <w:r>
              <w:t xml:space="preserve"> </w:t>
            </w:r>
            <w:r>
              <w:t xml:space="preserve">section below.</w:t>
            </w:r>
          </w:p>
          <w:p/>
        </w:tc>
      </w:tr>
    </w:tbl>
    <w:bookmarkEnd w:id="64"/>
    <w:bookmarkEnd w:id="65"/>
    <w:bookmarkStart w:id="75" w:name="sql-server-patching"/>
    <w:p>
      <w:pPr>
        <w:pStyle w:val="Heading1"/>
      </w:pPr>
      <w:r>
        <w:t xml:space="preserve">7. SQL Server Patching</w:t>
      </w:r>
    </w:p>
    <w:bookmarkStart w:id="70" w:name="sql-server-cumulative-update-lifecycle"/>
    <w:p>
      <w:pPr>
        <w:pStyle w:val="Heading2"/>
      </w:pPr>
      <w:r>
        <w:t xml:space="preserve">7.1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tbl>
      <w:tblPr>
        <w:tblStyle w:val="Table"/>
        <w:tblW w:type="pct" w:w="5000"/>
        <w:tblLayout w:type="fixed"/>
        <w:tblLook w:firstRow="0" w:lastRow="0" w:firstColumn="0" w:lastColumn="0" w:noHBand="0" w:noVBand="0" w:val="0000"/>
      </w:tblPr>
      <w:tblGrid>
        <w:gridCol w:w="7920"/>
      </w:tblGrid>
      <w:tr>
        <w:tc>
          <w:tcPr/>
          <w:bookmarkStart w:id="69" w:name="fig-vuln06"/>
          <w:p>
            <w:pPr>
              <w:pStyle w:val="Compact"/>
              <w:jc w:val="center"/>
            </w:pPr>
            <w:r>
              <w:drawing>
                <wp:inline>
                  <wp:extent cx="5334000" cy="3000375"/>
                  <wp:effectExtent b="0" l="0" r="0" t="0"/>
                  <wp:docPr descr="" title="" id="67" name="Picture"/>
                  <a:graphic>
                    <a:graphicData uri="http://schemas.openxmlformats.org/drawingml/2006/picture">
                      <pic:pic>
                        <pic:nvPicPr>
                          <pic:cNvPr descr="figs/vuln-fig-06-sql-cu-patching.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SQL Server patching: cumulative updates, GDRs, and end-of-support</w:t>
            </w:r>
          </w:p>
          <w:bookmarkEnd w:id="69"/>
        </w:tc>
      </w:tr>
    </w:tbl>
    <w:bookmarkEnd w:id="70"/>
    <w:bookmarkStart w:id="71" w:name="X8cf3e6a35923c002d2d8a59aaa7df926465215a"/>
    <w:p>
      <w:pPr>
        <w:pStyle w:val="Heading2"/>
      </w:pPr>
      <w:r>
        <w:t xml:space="preserve">7.2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71"/>
    <w:bookmarkStart w:id="74" w:name="Xaf7bf5cd1b945cc0d6afd9115dfed79e4a37875"/>
    <w:p>
      <w:pPr>
        <w:pStyle w:val="Heading2"/>
      </w:pPr>
      <w:r>
        <w:t xml:space="preserve">7.3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74"/>
    <w:bookmarkEnd w:id="75"/>
    <w:bookmarkStart w:id="84" w:name="Xab37e6e46480f886e04924987cefd4e35703eab"/>
    <w:p>
      <w:pPr>
        <w:pStyle w:val="Heading1"/>
      </w:pPr>
      <w:r>
        <w:t xml:space="preserve">8. SaaS and the Shared-Responsibility Boundary</w:t>
      </w:r>
    </w:p>
    <w:p>
      <w:pPr>
        <w:pStyle w:val="FirstParagraph"/>
      </w:pPr>
      <w:r>
        <w:t xml:space="preserve">The architecture above governs assets the agency operates: servers and endpoints it enrolls, scans, and patches. Software-as-a-service is a different problem, and forcing it into the server model is a category error. Under shared responsibility, the vendor patches the SaaS platform; the agency manages its configuration posture and consumes the vendor’s continuous-monitoring evidence.</w:t>
      </w:r>
    </w:p>
    <w:tbl>
      <w:tblPr>
        <w:tblStyle w:val="Table"/>
        <w:tblW w:type="pct" w:w="5000"/>
        <w:tblLayout w:type="fixed"/>
        <w:tblLook w:firstRow="0" w:lastRow="0" w:firstColumn="0" w:lastColumn="0" w:noHBand="0" w:noVBand="0" w:val="0000"/>
      </w:tblPr>
      <w:tblGrid>
        <w:gridCol w:w="7920"/>
      </w:tblGrid>
      <w:tr>
        <w:tc>
          <w:tcPr/>
          <w:bookmarkStart w:id="79" w:name="fig-vuln09"/>
          <w:p>
            <w:pPr>
              <w:pStyle w:val="Compact"/>
              <w:jc w:val="center"/>
            </w:pPr>
            <w:r>
              <w:drawing>
                <wp:inline>
                  <wp:extent cx="5334000" cy="3000375"/>
                  <wp:effectExtent b="0" l="0" r="0" t="0"/>
                  <wp:docPr descr="" title="" id="77" name="Picture"/>
                  <a:graphic>
                    <a:graphicData uri="http://schemas.openxmlformats.org/drawingml/2006/picture">
                      <pic:pic>
                        <pic:nvPicPr>
                          <pic:cNvPr descr="figs/vuln-fig-09-saas-shared-responsibility.png" id="78" name="Picture"/>
                          <pic:cNvPicPr>
                            <a:picLocks noChangeArrowheads="1" noChangeAspect="1"/>
                          </pic:cNvPicPr>
                        </pic:nvPicPr>
                        <pic:blipFill>
                          <a:blip r:embed="rId7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SaaS is a different problem: posture, not patching</w:t>
            </w:r>
          </w:p>
          <w:bookmarkEnd w:id="79"/>
        </w:tc>
      </w:tr>
    </w:tbl>
    <w:bookmarkStart w:id="80" w:name="the-vendors-responsibility"/>
    <w:p>
      <w:pPr>
        <w:pStyle w:val="Heading2"/>
      </w:pPr>
      <w:r>
        <w:t xml:space="preserve">8.1 The Vendor’s Responsibility</w:t>
      </w:r>
    </w:p>
    <w:p>
      <w:pPr>
        <w:pStyle w:val="FirstParagraph"/>
      </w:pPr>
      <w:r>
        <w:t xml:space="preserve">For a FedRAMP-authorized SaaS — Microsoft 365 GCC, Amazon Connect, Oracle OCI — the vendor patches the platform, runs its own vulnerability management under its FedRAMP authorization, and publishes continuous-monitoring evidence: a monthly Plan of Action and Milestones (POA&amp;M), scan summaries, and deviation reports. The agency does not, and cannot, patch CVEs on the platform. The vendor’s open findings are the agency’s</w:t>
      </w:r>
      <w:r>
        <w:t xml:space="preserve"> </w:t>
      </w:r>
      <w:r>
        <w:rPr>
          <w:b/>
          <w:bCs/>
        </w:rPr>
        <w:t xml:space="preserve">inherited</w:t>
      </w:r>
      <w:r>
        <w:t xml:space="preserve"> </w:t>
      </w:r>
      <w:r>
        <w:t xml:space="preserve">risk, tracked through the vendor’s POA&amp;M rather than through the agency’s own patch queue.</w:t>
      </w:r>
    </w:p>
    <w:bookmarkEnd w:id="80"/>
    <w:bookmarkStart w:id="83" w:name="the-agencys-responsibility"/>
    <w:p>
      <w:pPr>
        <w:pStyle w:val="Heading2"/>
      </w:pPr>
      <w:r>
        <w:t xml:space="preserve">8.2 The Agency’s Responsibility</w:t>
      </w:r>
    </w:p>
    <w:p>
      <w:pPr>
        <w:pStyle w:val="FirstParagraph"/>
      </w:pPr>
      <w:r>
        <w:t xml:space="preserve">The agency’s obligation for SaaS is configuration posture, not flaw remediation — SaaS security posture management (SSPM) and cloud security posture management (CSPM). In the federal Microsoft 365 environment this is</w:t>
      </w:r>
      <w:r>
        <w:t xml:space="preserve"> </w:t>
      </w:r>
      <w:r>
        <w:rPr>
          <w:b/>
          <w:bCs/>
        </w:rPr>
        <w:t xml:space="preserve">SCuBA</w:t>
      </w:r>
      <w:r>
        <w:t xml:space="preserve">: CISA’s Secure Cloud Business Applications baselines, mandated by BOD 25-01, with continuous drift monitoring against them. For cloud resource posture it is Microsoft Defender for Cloud, or a third-party CSPM such as Wiz, Prisma Cloud, or Orca.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Scope boundary</w:t>
            </w:r>
            <w:r>
              <w:t xml:space="preserve"> </w:t>
            </w:r>
            <w:r>
              <w:t xml:space="preserve">— This part owns server and endpoint CVE remediation. SaaS configuration posture lives in the SCuBA / ScubaDrift stream and feeds the detection layer (Part 13) and the authorization package’s continuous-monitoring evidence (Part 19). The daily KEV pipeline still ingests findings from any agent-bearing hosts, but a SaaS control plane is governed by configuration baselines, not patch SLAs. The two failure modes to avoid are symmetric: treating a SaaS platform like a server the agency patches (it cannot reach the CVEs), or ignoring it because</w:t>
            </w:r>
            <w:r>
              <w:t xml:space="preserve"> </w:t>
            </w:r>
            <w:r>
              <w:t xml:space="preserve">“the vendor handles it”</w:t>
            </w:r>
            <w:r>
              <w:t xml:space="preserve"> </w:t>
            </w:r>
            <w:r>
              <w:t xml:space="preserve">(the agency still owns configuration posture and evidence consumption).</w:t>
            </w:r>
          </w:p>
          <w:p/>
        </w:tc>
      </w:tr>
    </w:tbl>
    <w:bookmarkEnd w:id="83"/>
    <w:bookmarkEnd w:id="84"/>
    <w:bookmarkStart w:id="89" w:name="mechanism-not-product"/>
    <w:p>
      <w:pPr>
        <w:pStyle w:val="Heading1"/>
      </w:pPr>
      <w:r>
        <w:t xml:space="preserve">9. Mechanism, Not Product</w:t>
      </w:r>
    </w:p>
    <w:p>
      <w:pPr>
        <w:pStyle w:val="FirstParagraph"/>
      </w:pPr>
      <w:r>
        <w:t xml:space="preserve">Every implementation in this part binds to a Microsoft product — Defender Vulnerability Management for scanning, Windows Update for Business and Azure Update Manager for remediation, the Arc SQL extension for cumulative updates, Log Analytics for evidence. That is this agency’s</w:t>
      </w:r>
      <w:r>
        <w:t xml:space="preserve"> </w:t>
      </w:r>
      <w:r>
        <w:rPr>
          <w:i/>
          <w:iCs/>
        </w:rPr>
        <w:t xml:space="preserve">deployed example</w:t>
      </w:r>
      <w:r>
        <w:t xml:space="preserve">, chosen because the tooling already rides the Arc estate at no incremental agent cost. It is not the mechanism, and the series doctrine requires the distinction be explicit.</w:t>
      </w:r>
    </w:p>
    <w:tbl>
      <w:tblPr>
        <w:tblStyle w:val="Table"/>
        <w:tblW w:type="pct" w:w="5000"/>
        <w:tblLayout w:type="fixed"/>
        <w:tblLook w:firstRow="0" w:lastRow="0" w:firstColumn="0" w:lastColumn="0" w:noHBand="0" w:noVBand="0" w:val="0000"/>
      </w:tblPr>
      <w:tblGrid>
        <w:gridCol w:w="7920"/>
      </w:tblGrid>
      <w:tr>
        <w:tc>
          <w:tcPr/>
          <w:bookmarkStart w:id="88" w:name="fig-vuln10"/>
          <w:p>
            <w:pPr>
              <w:pStyle w:val="Compact"/>
              <w:jc w:val="center"/>
            </w:pPr>
            <w:r>
              <w:drawing>
                <wp:inline>
                  <wp:extent cx="5334000" cy="3000375"/>
                  <wp:effectExtent b="0" l="0" r="0" t="0"/>
                  <wp:docPr descr="" title="" id="86" name="Picture"/>
                  <a:graphic>
                    <a:graphicData uri="http://schemas.openxmlformats.org/drawingml/2006/picture">
                      <pic:pic>
                        <pic:nvPicPr>
                          <pic:cNvPr descr="figs/vuln-fig-10-mechanism-not-product.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Mechanism, not product: the contract is fixed, the tools are swappable</w:t>
            </w:r>
          </w:p>
          <w:bookmarkEnd w:id="88"/>
        </w:tc>
      </w:tr>
    </w:tbl>
    <w:p>
      <w:pPr>
        <w:pStyle w:val="BodyText"/>
      </w:pPr>
      <w:r>
        <w:t xml:space="preserve">The</w:t>
      </w:r>
      <w:r>
        <w:t xml:space="preserve"> </w:t>
      </w:r>
      <w:r>
        <w:rPr>
          <w:b/>
          <w:bCs/>
        </w:rPr>
        <w:t xml:space="preserve">contract</w:t>
      </w:r>
      <w:r>
        <w:t xml:space="preserve"> </w:t>
      </w:r>
      <w:r>
        <w:t xml:space="preserve">does not move regardless of product choice: an inventory-bound continuous scan, a daily CISA KEV cross-reference, automated remediation on an SLA, and a machine-readable compliance record. Each layer of that contract has FedRAMP-authorized alternatives to the Microsoft example:</w:t>
      </w:r>
    </w:p>
    <w:p>
      <w:pPr>
        <w:pStyle w:val="TableCaption"/>
      </w:pPr>
      <w:r>
        <w:t xml:space="preserve">Mechanism-to-product mapping for the vulnerability-management contract</w:t>
      </w:r>
    </w:p>
    <w:tbl>
      <w:tblPr>
        <w:tblStyle w:val="Table"/>
        <w:tblW w:type="pct" w:w="5000"/>
        <w:tblLayout w:type="fixed"/>
        <w:tblLook w:firstRow="1" w:lastRow="0" w:firstColumn="0" w:lastColumn="0" w:noHBand="0" w:noVBand="0" w:val="0020"/>
        <w:tblCaption w:val="Mechanism-to-product mapping for the vulnerability-management contract"/>
      </w:tblPr>
      <w:tblGrid>
        <w:gridCol w:w="2640"/>
        <w:gridCol w:w="2640"/>
        <w:gridCol w:w="2640"/>
      </w:tblGrid>
      <w:tr>
        <w:trPr>
          <w:tblHeader w:val="on"/>
        </w:trPr>
        <w:tc>
          <w:tcPr/>
          <w:p>
            <w:pPr>
              <w:pStyle w:val="Compact"/>
            </w:pPr>
            <w:r>
              <w:t xml:space="preserve">Layer (mechanism)</w:t>
            </w:r>
          </w:p>
        </w:tc>
        <w:tc>
          <w:tcPr/>
          <w:p>
            <w:pPr>
              <w:pStyle w:val="Compact"/>
            </w:pPr>
            <w:r>
              <w:t xml:space="preserve">Deployed example</w:t>
            </w:r>
          </w:p>
        </w:tc>
        <w:tc>
          <w:tcPr/>
          <w:p>
            <w:pPr>
              <w:pStyle w:val="Compact"/>
            </w:pPr>
            <w:r>
              <w:t xml:space="preserve">FedRAMP-authorized alternatives</w:t>
            </w:r>
          </w:p>
        </w:tc>
      </w:tr>
      <w:tr>
        <w:tc>
          <w:tcPr/>
          <w:p>
            <w:pPr>
              <w:pStyle w:val="Compact"/>
            </w:pPr>
            <w:r>
              <w:t xml:space="preserve">Continuous scanning (RA-5)</w:t>
            </w:r>
          </w:p>
        </w:tc>
        <w:tc>
          <w:tcPr/>
          <w:p>
            <w:pPr>
              <w:pStyle w:val="Compact"/>
            </w:pPr>
            <w:r>
              <w:t xml:space="preserve">Defender Vulnerability Management</w:t>
            </w:r>
          </w:p>
        </w:tc>
        <w:tc>
          <w:tcPr/>
          <w:p>
            <w:pPr>
              <w:pStyle w:val="Compact"/>
            </w:pPr>
            <w:r>
              <w:t xml:space="preserve">Tenable.io / Nessus; Qualys VMDR; Rapid7 InsightVM</w:t>
            </w:r>
          </w:p>
        </w:tc>
      </w:tr>
      <w:tr>
        <w:tc>
          <w:tcPr/>
          <w:p>
            <w:pPr>
              <w:pStyle w:val="Compact"/>
            </w:pPr>
            <w:r>
              <w:t xml:space="preserve">Windows remediation (SI-2)</w:t>
            </w:r>
          </w:p>
        </w:tc>
        <w:tc>
          <w:tcPr/>
          <w:p>
            <w:pPr>
              <w:pStyle w:val="Compact"/>
            </w:pPr>
            <w:r>
              <w:t xml:space="preserve">Intune WUfB</w:t>
            </w:r>
          </w:p>
        </w:tc>
        <w:tc>
          <w:tcPr/>
          <w:p>
            <w:pPr>
              <w:pStyle w:val="Compact"/>
            </w:pPr>
            <w:r>
              <w:t xml:space="preserve">WSUS; BigFix; Automox</w:t>
            </w:r>
          </w:p>
        </w:tc>
      </w:tr>
      <w:tr>
        <w:tc>
          <w:tcPr/>
          <w:p>
            <w:pPr>
              <w:pStyle w:val="Compact"/>
            </w:pPr>
            <w:r>
              <w:t xml:space="preserve">Linux remediation (SI-2)</w:t>
            </w:r>
          </w:p>
        </w:tc>
        <w:tc>
          <w:tcPr/>
          <w:p>
            <w:pPr>
              <w:pStyle w:val="Compact"/>
            </w:pPr>
            <w:r>
              <w:t xml:space="preserve">Azure Update Manager</w:t>
            </w:r>
          </w:p>
        </w:tc>
        <w:tc>
          <w:tcPr/>
          <w:p>
            <w:pPr>
              <w:pStyle w:val="Compact"/>
            </w:pPr>
            <w:r>
              <w:t xml:space="preserve">Red Hat Satellite; Ansible; Ubuntu Landscape</w:t>
            </w:r>
          </w:p>
        </w:tc>
      </w:tr>
      <w:tr>
        <w:tc>
          <w:tcPr/>
          <w:p>
            <w:pPr>
              <w:pStyle w:val="Compact"/>
            </w:pPr>
            <w:r>
              <w:t xml:space="preserve">Cloud / SaaS posture (CM, RA)</w:t>
            </w:r>
          </w:p>
        </w:tc>
        <w:tc>
          <w:tcPr/>
          <w:p>
            <w:pPr>
              <w:pStyle w:val="Compact"/>
            </w:pPr>
            <w:r>
              <w:t xml:space="preserve">Defender for Cloud + SCuBA</w:t>
            </w:r>
          </w:p>
        </w:tc>
        <w:tc>
          <w:tcPr/>
          <w:p>
            <w:pPr>
              <w:pStyle w:val="Compact"/>
            </w:pPr>
            <w:r>
              <w:t xml:space="preserve">Wiz; Prisma Cloud; Orca; ScubaGear / ScubaDrift (M365)</w:t>
            </w:r>
          </w:p>
        </w:tc>
      </w:tr>
      <w:tr>
        <w:tc>
          <w:tcPr/>
          <w:p>
            <w:pPr>
              <w:pStyle w:val="Compact"/>
            </w:pPr>
            <w:r>
              <w:t xml:space="preserve">Evidence / KSI (CA-7)</w:t>
            </w:r>
          </w:p>
        </w:tc>
        <w:tc>
          <w:tcPr/>
          <w:p>
            <w:pPr>
              <w:pStyle w:val="Compact"/>
            </w:pPr>
            <w:r>
              <w:t xml:space="preserve">Daily JSON + Log Analytics</w:t>
            </w:r>
          </w:p>
        </w:tc>
        <w:tc>
          <w:tcPr/>
          <w:p>
            <w:pPr>
              <w:pStyle w:val="Compact"/>
            </w:pPr>
            <w:r>
              <w:t xml:space="preserve">Splunk; Elastic (the KSI format is stable)</w:t>
            </w:r>
          </w:p>
        </w:tc>
      </w:tr>
    </w:tbl>
    <w:p>
      <w:pPr>
        <w:pStyle w:val="BodyText"/>
      </w:pPr>
      <w:r>
        <w:t xml:space="preserve">An agency operating a different stack implements the same four-layer contract with different products; the KEV logic, the SLA tiers, and the KSI evidence format are unchanged. The standing caveat applies: verify each candidate’s current authorization on the FedRAMP Marketplace at procurement time, because authorization status changes.</w:t>
      </w:r>
    </w:p>
    <w:bookmarkEnd w:id="89"/>
    <w:bookmarkStart w:id="97" w:name="continuous-monitoring-record"/>
    <w:p>
      <w:pPr>
        <w:pStyle w:val="Heading1"/>
      </w:pPr>
      <w:r>
        <w:t xml:space="preserve">10. Continuous Monitoring Record</w:t>
      </w:r>
    </w:p>
    <w:bookmarkStart w:id="94" w:name="daily-machine-readable-compliance-output"/>
    <w:p>
      <w:pPr>
        <w:pStyle w:val="Heading2"/>
      </w:pPr>
      <w:r>
        <w:t xml:space="preserve">10.1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tbl>
      <w:tblPr>
        <w:tblStyle w:val="Table"/>
        <w:tblW w:type="pct" w:w="5000"/>
        <w:tblLayout w:type="fixed"/>
        <w:tblLook w:firstRow="0" w:lastRow="0" w:firstColumn="0" w:lastColumn="0" w:noHBand="0" w:noVBand="0" w:val="0000"/>
      </w:tblPr>
      <w:tblGrid>
        <w:gridCol w:w="7920"/>
      </w:tblGrid>
      <w:tr>
        <w:tc>
          <w:tcPr/>
          <w:bookmarkStart w:id="93" w:name="fig-vuln07"/>
          <w:p>
            <w:pPr>
              <w:pStyle w:val="Compact"/>
              <w:jc w:val="center"/>
            </w:pPr>
            <w:r>
              <w:drawing>
                <wp:inline>
                  <wp:extent cx="5334000" cy="3000375"/>
                  <wp:effectExtent b="0" l="0" r="0" t="0"/>
                  <wp:docPr descr="" title="" id="91" name="Picture"/>
                  <a:graphic>
                    <a:graphicData uri="http://schemas.openxmlformats.org/drawingml/2006/picture">
                      <pic:pic>
                        <pic:nvPicPr>
                          <pic:cNvPr descr="figs/vuln-fig-07-compliance-record.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The daily compliance record: the RA-5 / SI-2 KSI artifact</w:t>
            </w:r>
          </w:p>
          <w:bookmarkEnd w:id="93"/>
        </w:tc>
      </w:tr>
    </w:tbl>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94"/>
    <w:bookmarkStart w:id="95" w:name="Xe241b7a293262119fe84db68b4adf0d84423dc4"/>
    <w:p>
      <w:pPr>
        <w:pStyle w:val="Heading2"/>
      </w:pPr>
      <w:r>
        <w:t xml:space="preserve">10.2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95"/>
    <w:bookmarkStart w:id="96" w:name="azure-monitor-workbook-for-operations"/>
    <w:p>
      <w:pPr>
        <w:pStyle w:val="Heading2"/>
      </w:pPr>
      <w:r>
        <w:t xml:space="preserve">10.3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96"/>
    <w:bookmarkEnd w:id="97"/>
    <w:bookmarkStart w:id="102" w:name="nist-control-closure-table"/>
    <w:p>
      <w:pPr>
        <w:pStyle w:val="Heading1"/>
      </w:pPr>
      <w:r>
        <w:t xml:space="preserve">11.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98">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100" name="Picture"/>
            <a:graphic>
              <a:graphicData uri="http://schemas.openxmlformats.org/drawingml/2006/picture">
                <pic:pic>
                  <pic:nvPicPr>
                    <pic:cNvPr descr="figs/vuln-fig-04-nist-closure.png" id="101" name="Picture"/>
                    <pic:cNvPicPr>
                      <a:picLocks noChangeArrowheads="1" noChangeAspect="1"/>
                    </pic:cNvPicPr>
                  </pic:nvPicPr>
                  <pic:blipFill>
                    <a:blip r:embed="rId99"/>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102"/>
    <w:bookmarkStart w:id="105" w:name="fedramp-20x-ksi-alignment"/>
    <w:p>
      <w:pPr>
        <w:pStyle w:val="Heading1"/>
      </w:pPr>
      <w:r>
        <w:t xml:space="preserve">12.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99" Target="media/rId99.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90" Target="media/rId90.png" /><Relationship Type="http://schemas.openxmlformats.org/officeDocument/2006/relationships/image" Id="rId57" Target="media/rId57.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hyperlink" Id="rId98"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98"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2026-07-09T14:23:38Z</dcterms:created>
  <dcterms:modified xsi:type="dcterms:W3CDTF">2026-07-09T14:23:38Z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