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0.png" ContentType="image/png"/>
  <Override PartName="/word/media/rId40.png" ContentType="image/png"/>
  <Override PartName="/word/media/rId49.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12 — Federal Application-Aware Networking — Part 12</w:t>
      </w:r>
    </w:p>
    <w:p>
      <w:pPr>
        <w:pStyle w:val="Subtitle"/>
      </w:pPr>
      <w:r>
        <w:t xml:space="preserve">Data Protection: Microsoft Purview Classification, DLP, and Cryptographic Key Management</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p/>
        </w:tc>
      </w:tr>
    </w:tbl>
    <w:bookmarkStart w:id="18" w:name="what-this-document-addresses"/>
    <w:p>
      <w:pPr>
        <w:pStyle w:val="Heading1"/>
      </w:pPr>
      <w:r>
        <w:t xml:space="preserve">1. 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
          <w:iCs/>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tc>
      </w:tr>
    </w:tbl>
    <w:bookmarkEnd w:id="18"/>
    <w:bookmarkStart w:id="24" w:name="the-classification-gap"/>
    <w:p>
      <w:pPr>
        <w:pStyle w:val="Heading1"/>
      </w:pPr>
      <w:r>
        <w:t xml:space="preserve">2. The Classification Gap</w:t>
      </w:r>
    </w:p>
    <w:bookmarkStart w:id="19" w:name="what-an-assessor-finds-without-purview"/>
    <w:p>
      <w:pPr>
        <w:pStyle w:val="Heading2"/>
      </w:pPr>
      <w:r>
        <w:t xml:space="preserve">2.1 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
          <w:bCs/>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
          <w:bCs/>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
          <w:bCs/>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
          <w:bCs/>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
          <w:bCs/>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
          <w:iCs/>
        </w:rPr>
        <w:t xml:space="preserve">with certainty</w:t>
      </w:r>
      <w:r>
        <w:t xml:space="preserve"> </w:t>
      </w:r>
      <w:r>
        <w:t xml:space="preserve">that a given individual took a specific action, because a sufficiently privileged insider could alter the record.</w:t>
      </w:r>
    </w:p>
    <w:p>
      <w:pPr>
        <w:pStyle w:val="BodyText"/>
      </w:pPr>
      <w:r>
        <w:rPr>
          <w:b/>
          <w:bCs/>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19"/>
    <w:bookmarkStart w:id="23" w:name="why-casb-alone-is-insufficient"/>
    <w:p>
      <w:pPr>
        <w:pStyle w:val="Heading2"/>
      </w:pPr>
      <w:r>
        <w:t xml:space="preserve">2.2 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“block external sharing of CUI”</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21" name="Picture"/>
            <a:graphic>
              <a:graphicData uri="http://schemas.openxmlformats.org/drawingml/2006/picture">
                <pic:pic>
                  <pic:nvPicPr>
                    <pic:cNvPr descr="figs/purview-fig-01-label-taxonomy.png" id="22" name="Picture"/>
                    <pic:cNvPicPr>
                      <a:picLocks noChangeArrowheads="1" noChangeAspect="1"/>
                    </pic:cNvPicPr>
                  </pic:nvPicPr>
                  <pic:blipFill>
                    <a:blip r:embed="rId20"/>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3"/>
    <w:bookmarkEnd w:id="24"/>
    <w:bookmarkStart w:id="30" w:name="federal-data-classification-taxonomy"/>
    <w:p>
      <w:pPr>
        <w:pStyle w:val="Heading1"/>
      </w:pPr>
      <w:r>
        <w:t xml:space="preserve">3. Federal Data Classification Taxonomy</w:t>
      </w:r>
    </w:p>
    <w:bookmarkStart w:id="25" w:name="the-federal-cui-framework"/>
    <w:p>
      <w:pPr>
        <w:pStyle w:val="Heading2"/>
      </w:pPr>
      <w:r>
        <w:t xml:space="preserve">3.1 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
          <w:bCs/>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
          <w:bCs/>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
          <w:bCs/>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
          <w:bCs/>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5"/>
    <w:bookmarkStart w:id="26" w:name="X0d4b548f5be63ddbfe61573feea029153ebfaf1"/>
    <w:p>
      <w:pPr>
        <w:pStyle w:val="Heading2"/>
      </w:pPr>
      <w:r>
        <w:t xml:space="preserve">3.2 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w:t>
      </w:r>
    </w:p>
    <w:tbl>
      <w:tblPr>
        <w:tblStyle w:val="Table"/>
        <w:tblW w:type="pct" w:w="5000"/>
        <w:tblLayout w:type="fixed"/>
        <w:tblLook w:firstRow="1" w:lastRow="0" w:firstColumn="0" w:lastColumn="0" w:noHBand="0" w:noVBand="0" w:val="0020"/>
        <w:tblCaption w:val="Sensitivity label mapping to CUI tiers"/>
      </w:tblPr>
      <w:tblGrid>
        <w:gridCol w:w="1584"/>
        <w:gridCol w:w="1584"/>
        <w:gridCol w:w="1584"/>
        <w:gridCol w:w="1584"/>
        <w:gridCol w:w="1584"/>
      </w:tblGrid>
      <w:tr>
        <w:trPr>
          <w:tblHeader w:val="on"/>
        </w:trPr>
        <w:tc>
          <w:tcPr/>
          <w:p>
            <w:pPr>
              <w:pStyle w:val="Compact"/>
            </w:pPr>
            <w:r>
              <w:t xml:space="preserve">CUI Tier</w:t>
            </w:r>
          </w:p>
        </w:tc>
        <w:tc>
          <w:tcPr/>
          <w:p>
            <w:pPr>
              <w:pStyle w:val="Compact"/>
            </w:pPr>
            <w:r>
              <w:t xml:space="preserve">Purview Label</w:t>
            </w:r>
          </w:p>
        </w:tc>
        <w:tc>
          <w:tcPr/>
          <w:p>
            <w:pPr>
              <w:pStyle w:val="Compact"/>
            </w:pPr>
            <w:r>
              <w:t xml:space="preserve">Encryption</w:t>
            </w:r>
          </w:p>
        </w:tc>
        <w:tc>
          <w:tcPr/>
          <w:p>
            <w:pPr>
              <w:pStyle w:val="Compact"/>
            </w:pPr>
            <w:r>
              <w:t xml:space="preserve">Access Scope</w:t>
            </w:r>
          </w:p>
        </w:tc>
        <w:tc>
          <w:tcPr/>
          <w:p>
            <w:pPr>
              <w:pStyle w:val="Compact"/>
            </w:pPr>
            <w:r>
              <w:t xml:space="preserve">Audit Logging</w:t>
            </w:r>
          </w:p>
        </w:tc>
      </w:tr>
      <w:tr>
        <w:tc>
          <w:tcPr/>
          <w:p>
            <w:pPr>
              <w:pStyle w:val="Compact"/>
            </w:pPr>
            <w:r>
              <w:t xml:space="preserve">Public</w:t>
            </w:r>
          </w:p>
        </w:tc>
        <w:tc>
          <w:tcPr/>
          <w:p>
            <w:pPr>
              <w:pStyle w:val="Compact"/>
            </w:pPr>
            <w:r>
              <w:t xml:space="preserve">None or</w:t>
            </w:r>
            <w:r>
              <w:t xml:space="preserve"> </w:t>
            </w:r>
            <w:r>
              <w:t xml:space="preserve">“Public”</w:t>
            </w:r>
          </w:p>
        </w:tc>
        <w:tc>
          <w:tcPr/>
          <w:p>
            <w:pPr>
              <w:pStyle w:val="Compact"/>
            </w:pPr>
            <w:r>
              <w:t xml:space="preserve">None</w:t>
            </w:r>
          </w:p>
        </w:tc>
        <w:tc>
          <w:tcPr/>
          <w:p>
            <w:pPr>
              <w:pStyle w:val="Compact"/>
            </w:pPr>
            <w:r>
              <w:t xml:space="preserve">Unrestricted</w:t>
            </w:r>
          </w:p>
        </w:tc>
        <w:tc>
          <w:tcPr/>
          <w:p>
            <w:pPr>
              <w:pStyle w:val="Compact"/>
            </w:pPr>
            <w:r>
              <w:t xml:space="preserve">Standard</w:t>
            </w:r>
          </w:p>
        </w:tc>
      </w:tr>
      <w:tr>
        <w:tc>
          <w:tcPr/>
          <w:p>
            <w:pPr>
              <w:pStyle w:val="Compact"/>
            </w:pPr>
            <w:r>
              <w:t xml:space="preserve">Internal</w:t>
            </w:r>
          </w:p>
        </w:tc>
        <w:tc>
          <w:tcPr/>
          <w:p>
            <w:pPr>
              <w:pStyle w:val="Compact"/>
            </w:pPr>
            <w:r>
              <w:t xml:space="preserve">“Internal”</w:t>
            </w:r>
          </w:p>
        </w:tc>
        <w:tc>
          <w:tcPr/>
          <w:p>
            <w:pPr>
              <w:pStyle w:val="Compact"/>
            </w:pPr>
            <w:r>
              <w:t xml:space="preserve">None</w:t>
            </w:r>
          </w:p>
        </w:tc>
        <w:tc>
          <w:tcPr/>
          <w:p>
            <w:pPr>
              <w:pStyle w:val="Compact"/>
            </w:pPr>
            <w:r>
              <w:t xml:space="preserve">Agency domain (informational)</w:t>
            </w:r>
          </w:p>
        </w:tc>
        <w:tc>
          <w:tcPr/>
          <w:p>
            <w:pPr>
              <w:pStyle w:val="Compact"/>
            </w:pPr>
            <w:r>
              <w:t xml:space="preserve">Standard</w:t>
            </w:r>
          </w:p>
        </w:tc>
      </w:tr>
      <w:tr>
        <w:tc>
          <w:tcPr/>
          <w:p>
            <w:pPr>
              <w:pStyle w:val="Compact"/>
            </w:pPr>
            <w:r>
              <w:t xml:space="preserve">CUI-Basic</w:t>
            </w:r>
          </w:p>
        </w:tc>
        <w:tc>
          <w:tcPr/>
          <w:p>
            <w:pPr>
              <w:pStyle w:val="Compact"/>
            </w:pPr>
            <w:r>
              <w:t xml:space="preserve">“CUI-Basic”</w:t>
            </w:r>
          </w:p>
        </w:tc>
        <w:tc>
          <w:tcPr/>
          <w:p>
            <w:pPr>
              <w:pStyle w:val="Compact"/>
            </w:pPr>
            <w:r>
              <w:t xml:space="preserve">Yes — AIP BYOK</w:t>
            </w:r>
          </w:p>
        </w:tc>
        <w:tc>
          <w:tcPr/>
          <w:p>
            <w:pPr>
              <w:pStyle w:val="Compact"/>
            </w:pPr>
            <w:r>
              <w:t xml:space="preserve">Agency domain (enforced)</w:t>
            </w:r>
          </w:p>
        </w:tc>
        <w:tc>
          <w:tcPr/>
          <w:p>
            <w:pPr>
              <w:pStyle w:val="Compact"/>
            </w:pPr>
            <w:r>
              <w:t xml:space="preserve">Standard + label events</w:t>
            </w:r>
          </w:p>
        </w:tc>
      </w:tr>
      <w:tr>
        <w:tc>
          <w:tcPr/>
          <w:p>
            <w:pPr>
              <w:pStyle w:val="Compact"/>
            </w:pPr>
            <w:r>
              <w:t xml:space="preserve">CUI-Specified</w:t>
            </w:r>
          </w:p>
        </w:tc>
        <w:tc>
          <w:tcPr/>
          <w:p>
            <w:pPr>
              <w:pStyle w:val="Compact"/>
            </w:pPr>
            <w:r>
              <w:t xml:space="preserve">“CUI-Specified — [Category]”</w:t>
            </w:r>
          </w:p>
        </w:tc>
        <w:tc>
          <w:tcPr/>
          <w:p>
            <w:pPr>
              <w:pStyle w:val="Compact"/>
            </w:pPr>
            <w:r>
              <w:t xml:space="preserve">Yes — AIP BYOK</w:t>
            </w:r>
          </w:p>
        </w:tc>
        <w:tc>
          <w:tcPr/>
          <w:p>
            <w:pPr>
              <w:pStyle w:val="Compact"/>
            </w:pPr>
            <w:r>
              <w:t xml:space="preserve">Named authorized holders, time-limited</w:t>
            </w:r>
          </w:p>
        </w:tc>
        <w:tc>
          <w:tcPr/>
          <w:p>
            <w:pPr>
              <w:pStyle w:val="Compac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“CUI-Specified”</w:t>
      </w:r>
      <w:r>
        <w:t xml:space="preserve"> </w:t>
      </w:r>
      <w:r>
        <w:t xml:space="preserve">parent label has child labels for</w:t>
      </w:r>
      <w:r>
        <w:t xml:space="preserve"> </w:t>
      </w:r>
      <w:r>
        <w:t xml:space="preserve">“Privacy Act,”</w:t>
      </w:r>
      <w:r>
        <w:t xml:space="preserve"> </w:t>
      </w:r>
      <w:r>
        <w:t xml:space="preserve">“Law Enforcement Sensitive,”</w:t>
      </w:r>
      <w:r>
        <w:t xml:space="preserve"> </w:t>
      </w:r>
      <w:r>
        <w:t xml:space="preserve">and</w:t>
      </w:r>
      <w:r>
        <w:t xml:space="preserve"> </w:t>
      </w:r>
      <w:r>
        <w:t xml:space="preserve">“Tax Information”</w:t>
      </w:r>
      <w:r>
        <w:t xml:space="preserve"> </w:t>
      </w:r>
      <w:r>
        <w:t xml:space="preserve">— each with the protective controls appropriate to its specific authority.</w:t>
      </w:r>
    </w:p>
    <w:bookmarkEnd w:id="26"/>
    <w:bookmarkStart w:id="29" w:name="X1f48f560f0773e602c364a30274260411fb0058"/>
    <w:p>
      <w:pPr>
        <w:pStyle w:val="Heading2"/>
      </w:pPr>
      <w:r>
        <w:t xml:space="preserve">3.3 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Create child label: CUI-Specified / Privacy Act</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Publish the label policy to all users</w:t>
      </w:r>
      <w:r>
        <w:br/>
      </w:r>
      <w:r>
        <w:rPr>
          <w:rStyle w:val="NormalTok"/>
        </w:rPr>
        <w:t xml:space="preserve">New-LabelPolicy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tc>
      </w:tr>
    </w:tbl>
    <w:bookmarkEnd w:id="29"/>
    <w:bookmarkEnd w:id="30"/>
    <w:bookmarkStart w:id="39" w:name="automatic-labeling"/>
    <w:p>
      <w:pPr>
        <w:pStyle w:val="Heading1"/>
      </w:pPr>
      <w:r>
        <w:t xml:space="preserve">4. Automatic Labeling</w:t>
      </w:r>
    </w:p>
    <w:bookmarkStart w:id="31" w:name="X4ed78d13f05d69863761ea44882755b3879bb34"/>
    <w:p>
      <w:pPr>
        <w:pStyle w:val="Heading2"/>
      </w:pPr>
      <w:r>
        <w:t xml:space="preserve">4.1 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“Privacy Act Record”</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31"/>
    <w:bookmarkStart w:id="32" w:name="sensitive-information-types"/>
    <w:p>
      <w:pPr>
        <w:pStyle w:val="Heading2"/>
      </w:pPr>
      <w:r>
        <w:t xml:space="preserve">4.2 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w:t>
      </w:r>
    </w:p>
    <w:tbl>
      <w:tblPr>
        <w:tblStyle w:val="Table"/>
        <w:tblW w:type="pct" w:w="5000"/>
        <w:tblLayout w:type="fixed"/>
        <w:tblLook w:firstRow="1" w:lastRow="0" w:firstColumn="0" w:lastColumn="0" w:noHBand="0" w:noVBand="0" w:val="0020"/>
        <w:tblCaption w:val="Pre-built Sensitive Information Types relevant to federal environments"/>
      </w:tblPr>
      <w:tblGrid>
        <w:gridCol w:w="2640"/>
        <w:gridCol w:w="2640"/>
        <w:gridCol w:w="2640"/>
      </w:tblGrid>
      <w:tr>
        <w:trPr>
          <w:tblHeader w:val="on"/>
        </w:trPr>
        <w:tc>
          <w:tcPr/>
          <w:p>
            <w:pPr>
              <w:pStyle w:val="Compact"/>
            </w:pPr>
            <w:r>
              <w:t xml:space="preserve">SIT Name</w:t>
            </w:r>
          </w:p>
        </w:tc>
        <w:tc>
          <w:tcPr/>
          <w:p>
            <w:pPr>
              <w:pStyle w:val="Compact"/>
            </w:pPr>
            <w:r>
              <w:t xml:space="preserve">Pattern</w:t>
            </w:r>
          </w:p>
        </w:tc>
        <w:tc>
          <w:tcPr/>
          <w:p>
            <w:pPr>
              <w:pStyle w:val="Compact"/>
            </w:pPr>
            <w:r>
              <w:t xml:space="preserve">NIST Control Relevance</w:t>
            </w:r>
          </w:p>
        </w:tc>
      </w:tr>
      <w:tr>
        <w:tc>
          <w:tcPr/>
          <w:p>
            <w:pPr>
              <w:pStyle w:val="Compact"/>
            </w:pPr>
            <w:r>
              <w:t xml:space="preserve">U.S. Social Security Number</w:t>
            </w:r>
          </w:p>
        </w:tc>
        <w:tc>
          <w:tcPr/>
          <w:p>
            <w:pPr>
              <w:pStyle w:val="Compact"/>
            </w:pPr>
            <w:r>
              <w:t xml:space="preserve">XXX-XX-XXXX with confidence</w:t>
            </w:r>
          </w:p>
        </w:tc>
        <w:tc>
          <w:tcPr/>
          <w:p>
            <w:pPr>
              <w:pStyle w:val="Compact"/>
            </w:pPr>
            <w:r>
              <w:t xml:space="preserve">MP-4, MP-5, CUI-SP-PRVCY</w:t>
            </w:r>
          </w:p>
        </w:tc>
      </w:tr>
      <w:tr>
        <w:tc>
          <w:tcPr/>
          <w:p>
            <w:pPr>
              <w:pStyle w:val="Compact"/>
            </w:pPr>
            <w:r>
              <w:t xml:space="preserve">U.S. Individual Taxpayer Identification Number</w:t>
            </w:r>
          </w:p>
        </w:tc>
        <w:tc>
          <w:tcPr/>
          <w:p>
            <w:pPr>
              <w:pStyle w:val="Compact"/>
            </w:pPr>
            <w:r>
              <w:t xml:space="preserve">9XX-XX-XXXX with IRS context</w:t>
            </w:r>
          </w:p>
        </w:tc>
        <w:tc>
          <w:tcPr/>
          <w:p>
            <w:pPr>
              <w:pStyle w:val="Compact"/>
            </w:pPr>
            <w:r>
              <w:t xml:space="preserve">SC-28, CUI-SP-TAX</w:t>
            </w:r>
          </w:p>
        </w:tc>
      </w:tr>
      <w:tr>
        <w:tc>
          <w:tcPr/>
          <w:p>
            <w:pPr>
              <w:pStyle w:val="Compact"/>
            </w:pPr>
            <w:r>
              <w:t xml:space="preserve">U.S. Employer Identification Number</w:t>
            </w:r>
          </w:p>
        </w:tc>
        <w:tc>
          <w:tcPr/>
          <w:p>
            <w:pPr>
              <w:pStyle w:val="Compact"/>
            </w:pPr>
            <w:r>
              <w:t xml:space="preserve">XX-XXXXXXX with EIN keyword</w:t>
            </w:r>
          </w:p>
        </w:tc>
        <w:tc>
          <w:tcPr/>
          <w:p>
            <w:pPr>
              <w:pStyle w:val="Compact"/>
            </w:pPr>
            <w:r>
              <w:t xml:space="preserve">MP-4, SC-13</w:t>
            </w:r>
          </w:p>
        </w:tc>
      </w:tr>
      <w:tr>
        <w:tc>
          <w:tcPr/>
          <w:p>
            <w:pPr>
              <w:pStyle w:val="Compact"/>
            </w:pPr>
            <w:r>
              <w:t xml:space="preserve">U.S. Bank Account Number</w:t>
            </w:r>
          </w:p>
        </w:tc>
        <w:tc>
          <w:tcPr/>
          <w:p>
            <w:pPr>
              <w:pStyle w:val="Compact"/>
            </w:pPr>
            <w:r>
              <w:t xml:space="preserve">ABA routing + account pair</w:t>
            </w:r>
          </w:p>
        </w:tc>
        <w:tc>
          <w:tcPr/>
          <w:p>
            <w:pPr>
              <w:pStyle w:val="Compact"/>
            </w:pPr>
            <w:r>
              <w:t xml:space="preserve">MP-5</w:t>
            </w:r>
          </w:p>
        </w:tc>
      </w:tr>
      <w:tr>
        <w:tc>
          <w:tcPr/>
          <w:p>
            <w:pPr>
              <w:pStyle w:val="Compact"/>
            </w:pPr>
            <w:r>
              <w:t xml:space="preserve">Drug Enforcement Administration Number</w:t>
            </w:r>
          </w:p>
        </w:tc>
        <w:tc>
          <w:tcPr/>
          <w:p>
            <w:pPr>
              <w:pStyle w:val="Compact"/>
            </w:pPr>
            <w:r>
              <w:t xml:space="preserve">DEA format with drug context</w:t>
            </w:r>
          </w:p>
        </w:tc>
        <w:tc>
          <w:tcPr/>
          <w:p>
            <w:pPr>
              <w:pStyle w:val="Compact"/>
            </w:pPr>
            <w:r>
              <w:t xml:space="preserve">CUI-SP-LES</w:t>
            </w:r>
          </w:p>
        </w:tc>
      </w:tr>
      <w:tr>
        <w:tc>
          <w:tcPr/>
          <w:p>
            <w:pPr>
              <w:pStyle w:val="Compact"/>
            </w:pPr>
            <w:r>
              <w:t xml:space="preserve">U.S. Passport Number</w:t>
            </w:r>
          </w:p>
        </w:tc>
        <w:tc>
          <w:tcPr/>
          <w:p>
            <w:pPr>
              <w:pStyle w:val="Compact"/>
            </w:pPr>
            <w:r>
              <w:t xml:space="preserve">Format + issuing country</w:t>
            </w:r>
          </w:p>
        </w:tc>
        <w:tc>
          <w:tcPr/>
          <w:p>
            <w:pPr>
              <w:pStyle w:val="Compact"/>
            </w:pPr>
            <w:r>
              <w:t xml:space="preserve">CUI-SP-PRVCY</w:t>
            </w:r>
          </w:p>
        </w:tc>
      </w:tr>
      <w:tr>
        <w:tc>
          <w:tcPr/>
          <w:p>
            <w:pPr>
              <w:pStyle w:val="Compact"/>
            </w:pPr>
            <w:r>
              <w:t xml:space="preserve">IP address</w:t>
            </w:r>
          </w:p>
        </w:tc>
        <w:tc>
          <w:tcPr/>
          <w:p>
            <w:pPr>
              <w:pStyle w:val="Compact"/>
            </w:pPr>
            <w:r>
              <w:t xml:space="preserve">IPv4 or IPv6 in technical context</w:t>
            </w:r>
          </w:p>
        </w:tc>
        <w:tc>
          <w:tcPr/>
          <w:p>
            <w:pPr>
              <w:pStyle w:val="Compac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w:t>
      </w:r>
      <w:r>
        <w:rPr>
          <w:rStyle w:val="DecValTok"/>
        </w:rPr>
        <w:t xml:space="preserve">300</w:t>
      </w:r>
      <w:r>
        <w:br/>
      </w:r>
      <w:r>
        <w:rPr>
          <w:rStyle w:val="NormalTok"/>
        </w:rPr>
        <w:t xml:space="preserve">        recommendedConfidence </w:t>
      </w:r>
      <w:r>
        <w:rPr>
          <w:rStyle w:val="OperatorTok"/>
        </w:rPr>
        <w:t xml:space="preserve">=</w:t>
      </w:r>
      <w:r>
        <w:rPr>
          <w:rStyle w:val="NormalTok"/>
        </w:rPr>
        <w:t xml:space="preserve"> </w:t>
      </w:r>
      <w:r>
        <w:rPr>
          <w:rStyle w:val="DecValTok"/>
        </w:rPr>
        <w:t xml:space="preserve">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w:t>
      </w:r>
      <w:r>
        <w:rPr>
          <w:rStyle w:val="DecValTok"/>
        </w:rPr>
        <w:t xml:space="preserve">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32"/>
    <w:bookmarkStart w:id="35" w:name="trainable-classifiers"/>
    <w:p>
      <w:pPr>
        <w:pStyle w:val="Heading2"/>
      </w:pPr>
      <w:r>
        <w:t xml:space="preserve">4.3 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tc>
      </w:tr>
    </w:tbl>
    <w:bookmarkEnd w:id="35"/>
    <w:bookmarkStart w:id="38" w:name="auto-labeling-policies"/>
    <w:p>
      <w:pPr>
        <w:pStyle w:val="Heading2"/>
      </w:pPr>
      <w:r>
        <w:t xml:space="preserve">4.4 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
          <w:bCs/>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
          <w:bCs/>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tc>
      </w:tr>
    </w:tbl>
    <w:bookmarkEnd w:id="38"/>
    <w:bookmarkEnd w:id="39"/>
    <w:bookmarkStart w:id="48" w:name="dlp-policy-architecture"/>
    <w:p>
      <w:pPr>
        <w:pStyle w:val="Heading1"/>
      </w:pPr>
      <w:r>
        <w:t xml:space="preserve">5. DLP Policy Architecture</w:t>
      </w:r>
    </w:p>
    <w:bookmarkStart w:id="43" w:name="three-enforcement-surfaces"/>
    <w:p>
      <w:pPr>
        <w:pStyle w:val="Heading2"/>
      </w:pPr>
      <w:r>
        <w:t xml:space="preserve">5.1 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
          <w:bCs/>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
          <w:bCs/>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
          <w:bCs/>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41" name="Picture"/>
            <a:graphic>
              <a:graphicData uri="http://schemas.openxmlformats.org/drawingml/2006/picture">
                <pic:pic>
                  <pic:nvPicPr>
                    <pic:cNvPr descr="figs/purview-fig-02-dlp-enforcement-layers.png" id="42" name="Picture"/>
                    <pic:cNvPicPr>
                      <a:picLocks noChangeArrowheads="1" noChangeAspect="1"/>
                    </pic:cNvPicPr>
                  </pic:nvPicPr>
                  <pic:blipFill>
                    <a:blip r:embed="rId40"/>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3"/>
    <w:bookmarkStart w:id="44" w:name="core-dlp-policies"/>
    <w:p>
      <w:pPr>
        <w:pStyle w:val="Heading2"/>
      </w:pPr>
      <w:r>
        <w:t xml:space="preserve">5.2 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w:t>
      </w:r>
    </w:p>
    <w:tbl>
      <w:tblPr>
        <w:tblStyle w:val="Table"/>
        <w:tblW w:type="pct" w:w="5000"/>
        <w:tblLayout w:type="fixed"/>
        <w:tblLook w:firstRow="1" w:lastRow="0" w:firstColumn="0" w:lastColumn="0" w:noHBand="0" w:noVBand="0" w:val="0020"/>
        <w:tblCaption w:val="Core DLP policy baseline for FedRAMP Moderate"/>
      </w:tblPr>
      <w:tblGrid>
        <w:gridCol w:w="1980"/>
        <w:gridCol w:w="1980"/>
        <w:gridCol w:w="1980"/>
        <w:gridCol w:w="1980"/>
      </w:tblGrid>
      <w:tr>
        <w:trPr>
          <w:tblHeader w:val="on"/>
        </w:trPr>
        <w:tc>
          <w:tcPr/>
          <w:p>
            <w:pPr>
              <w:pStyle w:val="Compact"/>
            </w:pPr>
            <w:r>
              <w:t xml:space="preserve">Policy</w:t>
            </w:r>
          </w:p>
        </w:tc>
        <w:tc>
          <w:tcPr/>
          <w:p>
            <w:pPr>
              <w:pStyle w:val="Compact"/>
            </w:pPr>
            <w:r>
              <w:t xml:space="preserve">Surface</w:t>
            </w:r>
          </w:p>
        </w:tc>
        <w:tc>
          <w:tcPr/>
          <w:p>
            <w:pPr>
              <w:pStyle w:val="Compact"/>
            </w:pPr>
            <w:r>
              <w:t xml:space="preserve">Condition</w:t>
            </w:r>
          </w:p>
        </w:tc>
        <w:tc>
          <w:tcPr/>
          <w:p>
            <w:pPr>
              <w:pStyle w:val="Compact"/>
            </w:pPr>
            <w:r>
              <w:t xml:space="preserve">Action</w:t>
            </w:r>
          </w:p>
        </w:tc>
      </w:tr>
      <w:tr>
        <w:tc>
          <w:tcPr/>
          <w:p>
            <w:pPr>
              <w:pStyle w:val="Compact"/>
            </w:pPr>
            <w:r>
              <w:t xml:space="preserve">Block external sharing of CUI</w:t>
            </w:r>
          </w:p>
        </w:tc>
        <w:tc>
          <w:tcPr/>
          <w:p>
            <w:pPr>
              <w:pStyle w:val="Compact"/>
            </w:pPr>
            <w:r>
              <w:t xml:space="preserve">SharePoint, OneDrive</w:t>
            </w:r>
          </w:p>
        </w:tc>
        <w:tc>
          <w:tcPr/>
          <w:p>
            <w:pPr>
              <w:pStyle w:val="Compact"/>
            </w:pPr>
            <w:r>
              <w:t xml:space="preserve">Label = CUI-Basic or CUI-Specified</w:t>
            </w:r>
          </w:p>
        </w:tc>
        <w:tc>
          <w:tcPr/>
          <w:p>
            <w:pPr>
              <w:pStyle w:val="Compact"/>
            </w:pPr>
            <w:r>
              <w:t xml:space="preserve">Block + policy tip + alert</w:t>
            </w:r>
          </w:p>
        </w:tc>
      </w:tr>
      <w:tr>
        <w:tc>
          <w:tcPr/>
          <w:p>
            <w:pPr>
              <w:pStyle w:val="Compact"/>
            </w:pPr>
            <w:r>
              <w:t xml:space="preserve">Block external send of CUI</w:t>
            </w:r>
          </w:p>
        </w:tc>
        <w:tc>
          <w:tcPr/>
          <w:p>
            <w:pPr>
              <w:pStyle w:val="Compact"/>
            </w:pPr>
            <w:r>
              <w:t xml:space="preserve">Exchange</w:t>
            </w:r>
          </w:p>
        </w:tc>
        <w:tc>
          <w:tcPr/>
          <w:p>
            <w:pPr>
              <w:pStyle w:val="Compact"/>
            </w:pPr>
            <w:r>
              <w:t xml:space="preserve">Label = CUI-Basic AND recipient is external</w:t>
            </w:r>
          </w:p>
        </w:tc>
        <w:tc>
          <w:tcPr/>
          <w:p>
            <w:pPr>
              <w:pStyle w:val="Compact"/>
            </w:pPr>
            <w:r>
              <w:t xml:space="preserve">Block + policy tip</w:t>
            </w:r>
          </w:p>
        </w:tc>
      </w:tr>
      <w:tr>
        <w:tc>
          <w:tcPr/>
          <w:p>
            <w:pPr>
              <w:pStyle w:val="Compact"/>
            </w:pPr>
            <w:r>
              <w:t xml:space="preserve">Block print of CUI-Specified</w:t>
            </w:r>
          </w:p>
        </w:tc>
        <w:tc>
          <w:tcPr/>
          <w:p>
            <w:pPr>
              <w:pStyle w:val="Compact"/>
            </w:pPr>
            <w:r>
              <w:t xml:space="preserve">Endpoint</w:t>
            </w:r>
          </w:p>
        </w:tc>
        <w:tc>
          <w:tcPr/>
          <w:p>
            <w:pPr>
              <w:pStyle w:val="Compact"/>
            </w:pPr>
            <w:r>
              <w:t xml:space="preserve">Label = CUI-Specified</w:t>
            </w:r>
          </w:p>
        </w:tc>
        <w:tc>
          <w:tcPr/>
          <w:p>
            <w:pPr>
              <w:pStyle w:val="Compact"/>
            </w:pPr>
            <w:r>
              <w:t xml:space="preserve">Block + audit event</w:t>
            </w:r>
          </w:p>
        </w:tc>
      </w:tr>
      <w:tr>
        <w:tc>
          <w:tcPr/>
          <w:p>
            <w:pPr>
              <w:pStyle w:val="Compact"/>
            </w:pPr>
            <w:r>
              <w:t xml:space="preserve">Block USB transfer of CUI</w:t>
            </w:r>
          </w:p>
        </w:tc>
        <w:tc>
          <w:tcPr/>
          <w:p>
            <w:pPr>
              <w:pStyle w:val="Compact"/>
            </w:pPr>
            <w:r>
              <w:t xml:space="preserve">Endpoint</w:t>
            </w:r>
          </w:p>
        </w:tc>
        <w:tc>
          <w:tcPr/>
          <w:p>
            <w:pPr>
              <w:pStyle w:val="Compact"/>
            </w:pPr>
            <w:r>
              <w:t xml:space="preserve">Label = CUI-Basic or CUI-Specified, device = removable media</w:t>
            </w:r>
          </w:p>
        </w:tc>
        <w:tc>
          <w:tcPr/>
          <w:p>
            <w:pPr>
              <w:pStyle w:val="Compact"/>
            </w:pPr>
            <w:r>
              <w:t xml:space="preserve">Block + audit event</w:t>
            </w:r>
          </w:p>
        </w:tc>
      </w:tr>
      <w:tr>
        <w:tc>
          <w:tcPr/>
          <w:p>
            <w:pPr>
              <w:pStyle w:val="Compact"/>
            </w:pPr>
            <w:r>
              <w:t xml:space="preserve">Block upload to non-approved cloud storage</w:t>
            </w:r>
          </w:p>
        </w:tc>
        <w:tc>
          <w:tcPr/>
          <w:p>
            <w:pPr>
              <w:pStyle w:val="Compact"/>
            </w:pPr>
            <w:r>
              <w:t xml:space="preserve">Endpoint + CASB</w:t>
            </w:r>
          </w:p>
        </w:tc>
        <w:tc>
          <w:tcPr/>
          <w:p>
            <w:pPr>
              <w:pStyle w:val="Compact"/>
            </w:pPr>
            <w:r>
              <w:t xml:space="preserve">Label any CUI, destination not in approved list</w:t>
            </w:r>
          </w:p>
        </w:tc>
        <w:tc>
          <w:tcPr/>
          <w:p>
            <w:pPr>
              <w:pStyle w:val="Compact"/>
            </w:pPr>
            <w:r>
              <w:t xml:space="preserve">Block + alert</w:t>
            </w:r>
          </w:p>
        </w:tc>
      </w:tr>
      <w:tr>
        <w:tc>
          <w:tcPr/>
          <w:p>
            <w:pPr>
              <w:pStyle w:val="Compact"/>
            </w:pPr>
            <w:r>
              <w:t xml:space="preserve">Alert on bulk download</w:t>
            </w:r>
          </w:p>
        </w:tc>
        <w:tc>
          <w:tcPr/>
          <w:p>
            <w:pPr>
              <w:pStyle w:val="Compact"/>
            </w:pPr>
            <w:r>
              <w:t xml:space="preserve">SharePoint</w:t>
            </w:r>
          </w:p>
        </w:tc>
        <w:tc>
          <w:tcPr/>
          <w:p>
            <w:pPr>
              <w:pStyle w:val="Compact"/>
            </w:pPr>
            <w:r>
              <w:t xml:space="preserve">Volume &gt; 50 files in 10 minutes, any label</w:t>
            </w:r>
          </w:p>
        </w:tc>
        <w:tc>
          <w:tcPr/>
          <w:p>
            <w:pPr>
              <w:pStyle w:val="Compact"/>
            </w:pPr>
            <w:r>
              <w:t xml:space="preserve">Alert + manager notification</w:t>
            </w:r>
          </w:p>
        </w:tc>
      </w:tr>
      <w:tr>
        <w:tc>
          <w:tcPr/>
          <w:p>
            <w:pPr>
              <w:pStyle w:val="Compact"/>
            </w:pPr>
            <w:r>
              <w:t xml:space="preserve">Alert on SSN in Teams message</w:t>
            </w:r>
          </w:p>
        </w:tc>
        <w:tc>
          <w:tcPr/>
          <w:p>
            <w:pPr>
              <w:pStyle w:val="Compact"/>
            </w:pPr>
            <w:r>
              <w:t xml:space="preserve">Teams</w:t>
            </w:r>
          </w:p>
        </w:tc>
        <w:tc>
          <w:tcPr/>
          <w:p>
            <w:pPr>
              <w:pStyle w:val="Compact"/>
            </w:pPr>
            <w:r>
              <w:t xml:space="preserve">SIT = SSN, minCount = 1</w:t>
            </w:r>
          </w:p>
        </w:tc>
        <w:tc>
          <w:tcPr/>
          <w:p>
            <w:pPr>
              <w:pStyle w:val="Compac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4"/>
    <w:bookmarkStart w:id="47" w:name="endpoint-dlp-configuration"/>
    <w:p>
      <w:pPr>
        <w:pStyle w:val="Heading2"/>
      </w:pPr>
      <w:r>
        <w:t xml:space="preserve">5.3 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tc>
      </w:tr>
    </w:tbl>
    <w:bookmarkEnd w:id="47"/>
    <w:bookmarkEnd w:id="48"/>
    <w:bookmarkStart w:id="59" w:name="Xfc70cb0276ae6456512ad56b80133c33c0a76bb"/>
    <w:p>
      <w:pPr>
        <w:pStyle w:val="Heading1"/>
      </w:pPr>
      <w:r>
        <w:t xml:space="preserve">6. Azure Key Vault and Cryptographic Key Management</w:t>
      </w:r>
    </w:p>
    <w:bookmarkStart w:id="52" w:name="the-federal-key-management-hierarchy"/>
    <w:p>
      <w:pPr>
        <w:pStyle w:val="Heading2"/>
      </w:pPr>
      <w:r>
        <w:t xml:space="preserve">6.1 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
          <w:bCs/>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
          <w:bCs/>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
          <w:bCs/>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
          <w:bCs/>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50" name="Picture"/>
            <a:graphic>
              <a:graphicData uri="http://schemas.openxmlformats.org/drawingml/2006/picture">
                <pic:pic>
                  <pic:nvPicPr>
                    <pic:cNvPr descr="figs/purview-fig-03-key-vault-hierarchy.png" id="51" name="Picture"/>
                    <pic:cNvPicPr>
                      <a:picLocks noChangeArrowheads="1" noChangeAspect="1"/>
                    </pic:cNvPicPr>
                  </pic:nvPicPr>
                  <pic:blipFill>
                    <a:blip r:embed="rId49"/>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52"/>
    <w:bookmarkStart w:id="53" w:name="X6cbe133390b1a98a6520c1b4425e5ddf2dd362c"/>
    <w:p>
      <w:pPr>
        <w:pStyle w:val="Heading2"/>
      </w:pPr>
      <w:r>
        <w:t xml:space="preserve">6.2 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w:t>
      </w:r>
      <w:r>
        <w:rPr>
          <w:rStyle w:val="OperatorTok"/>
        </w:rPr>
        <w:t xml:space="preserve">$(</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w:t>
      </w:r>
      <w:r>
        <w:rPr>
          <w:rStyle w:val="OperatorTok"/>
        </w:rPr>
        <w:t xml:space="preserve">$(</w:t>
      </w:r>
      <w:r>
        <w:rPr>
          <w:rStyle w:val="VariableTok"/>
        </w:rPr>
        <w:t xml:space="preserve">$cmkSpo</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p>
    <w:bookmarkEnd w:id="53"/>
    <w:bookmarkStart w:id="54" w:name="X3468beb898ec6bdc127c75297241bd122068778"/>
    <w:p>
      <w:pPr>
        <w:pStyle w:val="Heading2"/>
      </w:pPr>
      <w:r>
        <w:t xml:space="preserve">6.3 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54"/>
    <w:bookmarkStart w:id="55" w:name="Xe7d783b637e12a3dd1db38c452918e3ece47d5f"/>
    <w:p>
      <w:pPr>
        <w:pStyle w:val="Heading2"/>
      </w:pPr>
      <w:r>
        <w:t xml:space="preserve">6.4 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-ne</w:t>
      </w:r>
      <w:r>
        <w:rPr>
          <w:rStyle w:val="NormalTok"/>
        </w:rPr>
        <w:t xml:space="preserv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5"/>
    <w:bookmarkStart w:id="58" w:name="key-rotation-policy"/>
    <w:p>
      <w:pPr>
        <w:pStyle w:val="Heading2"/>
      </w:pPr>
      <w:r>
        <w:t xml:space="preserve">6.5 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
          <w:bCs/>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
          <w:bCs/>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tc>
      </w:tr>
    </w:tbl>
    <w:bookmarkEnd w:id="58"/>
    <w:bookmarkEnd w:id="59"/>
    <w:bookmarkStart w:id="66" w:name="non-repudiation-and-audit-integrity"/>
    <w:p>
      <w:pPr>
        <w:pStyle w:val="Heading1"/>
      </w:pPr>
      <w:r>
        <w:t xml:space="preserve">7. Non-Repudiation and Audit Integrity</w:t>
      </w:r>
    </w:p>
    <w:bookmarkStart w:id="60" w:name="X63cbf7529e583aaf947ccf9ad940489407a0291"/>
    <w:p>
      <w:pPr>
        <w:pStyle w:val="Heading2"/>
      </w:pPr>
      <w:r>
        <w:t xml:space="preserve">7.1 AU-10 and the Signed Audit Record Requirement</w:t>
      </w:r>
    </w:p>
    <w:p>
      <w:pPr>
        <w:pStyle w:val="FirstParagraph"/>
      </w:pPr>
      <w:r>
        <w:t xml:space="preserve">NIST SP 800-53 Rev 5 AU-10 states:</w:t>
      </w:r>
      <w:r>
        <w:t xml:space="preserve"> </w:t>
      </w:r>
      <w:r>
        <w:t xml:space="preserve">“Provide irrefutable evidence that an individual (or process acting on behalf of an individual) performed [Assignment: organization-defined actions to be covered by non-repudiation] on the information system.”</w:t>
      </w:r>
    </w:p>
    <w:p>
      <w:pPr>
        <w:pStyle w:val="BodyText"/>
      </w:pPr>
      <w:r>
        <w:t xml:space="preserve">The word</w:t>
      </w:r>
      <w:r>
        <w:t xml:space="preserve"> </w:t>
      </w:r>
      <w:r>
        <w:t xml:space="preserve">“irrefutable”</w:t>
      </w:r>
      <w:r>
        <w:t xml:space="preserve"> </w:t>
      </w:r>
      <w:r>
        <w:t xml:space="preserve">is load-bearing. A standard audit log entry that records</w:t>
      </w:r>
      <w:r>
        <w:t xml:space="preserve"> </w:t>
      </w:r>
      <w:r>
        <w:t xml:space="preserve">“user@agency.gov accessed file budget-draft.docx at 14:32:07 UTC”</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60"/>
    <w:bookmarkStart w:id="61" w:name="enabling-purview-audit-premium"/>
    <w:p>
      <w:pPr>
        <w:pStyle w:val="Heading2"/>
      </w:pPr>
      <w:r>
        <w:t xml:space="preserve">7.2 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w:t>
      </w:r>
      <w:r>
        <w:rPr>
          <w:rStyle w:val="DecValTok"/>
        </w:rPr>
        <w:t xml:space="preserve">10</w:t>
      </w:r>
      <w:r>
        <w:rPr>
          <w:rStyle w:val="NormalTok"/>
        </w:rPr>
        <w:t xml:space="preserve">  </w:t>
      </w:r>
      <w:r>
        <w:rPr>
          <w:rStyle w:val="CommentTok"/>
        </w:rPr>
        <w:t xml:space="preserve"># Lower priority = applied when no higher-priority policy matches</w:t>
      </w:r>
    </w:p>
    <w:bookmarkEnd w:id="61"/>
    <w:bookmarkStart w:id="62" w:name="Xcc069816c82365eb5335af6ac03316d9a117a55"/>
    <w:p>
      <w:pPr>
        <w:pStyle w:val="Heading2"/>
      </w:pPr>
      <w:r>
        <w:t xml:space="preserve">7.3 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w:t>
      </w:r>
    </w:p>
    <w:tbl>
      <w:tblPr>
        <w:tblStyle w:val="Table"/>
        <w:tblW w:type="pct" w:w="5000"/>
        <w:tblLayout w:type="fixed"/>
        <w:tblLook w:firstRow="1" w:lastRow="0" w:firstColumn="0" w:lastColumn="0" w:noHBand="0" w:noVBand="0" w:val="0020"/>
        <w:tblCaption w:val="Purview Audit Premium events relevant to AU-10 non-repudiation"/>
      </w:tblPr>
      <w:tblGrid>
        <w:gridCol w:w="2640"/>
        <w:gridCol w:w="2640"/>
        <w:gridCol w:w="2640"/>
      </w:tblGrid>
      <w:tr>
        <w:trPr>
          <w:tblHeader w:val="on"/>
        </w:trPr>
        <w:tc>
          <w:tcPr/>
          <w:p>
            <w:pPr>
              <w:pStyle w:val="Compact"/>
            </w:pPr>
            <w:r>
              <w:t xml:space="preserve">Event</w:t>
            </w:r>
          </w:p>
        </w:tc>
        <w:tc>
          <w:tcPr/>
          <w:p>
            <w:pPr>
              <w:pStyle w:val="Compact"/>
            </w:pPr>
            <w:r>
              <w:t xml:space="preserve">Description</w:t>
            </w:r>
          </w:p>
        </w:tc>
        <w:tc>
          <w:tcPr/>
          <w:p>
            <w:pPr>
              <w:pStyle w:val="Compact"/>
            </w:pPr>
            <w:r>
              <w:t xml:space="preserve">AU-10 Relevance</w:t>
            </w:r>
          </w:p>
        </w:tc>
      </w:tr>
      <w:tr>
        <w:tc>
          <w:tcPr/>
          <w:p>
            <w:pPr>
              <w:pStyle w:val="Compact"/>
            </w:pPr>
            <w:r>
              <w:t xml:space="preserve">MailItemsAccessed</w:t>
            </w:r>
          </w:p>
        </w:tc>
        <w:tc>
          <w:tcPr/>
          <w:p>
            <w:pPr>
              <w:pStyle w:val="Compact"/>
            </w:pPr>
            <w:r>
              <w:t xml:space="preserve">Records every protocol access to mailbox items, including by sync clients</w:t>
            </w:r>
          </w:p>
        </w:tc>
        <w:tc>
          <w:tcPr/>
          <w:p>
            <w:pPr>
              <w:pStyle w:val="Compact"/>
            </w:pPr>
            <w:r>
              <w:t xml:space="preserve">Proves a specific mailbox item was accessed by a specific user at a specific time</w:t>
            </w:r>
          </w:p>
        </w:tc>
      </w:tr>
      <w:tr>
        <w:tc>
          <w:tcPr/>
          <w:p>
            <w:pPr>
              <w:pStyle w:val="Compact"/>
            </w:pPr>
            <w:r>
              <w:t xml:space="preserve">SearchQueryInitiatedExchange</w:t>
            </w:r>
          </w:p>
        </w:tc>
        <w:tc>
          <w:tcPr/>
          <w:p>
            <w:pPr>
              <w:pStyle w:val="Compact"/>
            </w:pPr>
            <w:r>
              <w:t xml:space="preserve">Records the exact search query submitted to Exchange</w:t>
            </w:r>
          </w:p>
        </w:tc>
        <w:tc>
          <w:tcPr/>
          <w:p>
            <w:pPr>
              <w:pStyle w:val="Compact"/>
            </w:pPr>
            <w:r>
              <w:t xml:space="preserve">Proves targeted searches for sensitive data</w:t>
            </w:r>
          </w:p>
        </w:tc>
      </w:tr>
      <w:tr>
        <w:tc>
          <w:tcPr/>
          <w:p>
            <w:pPr>
              <w:pStyle w:val="Compact"/>
            </w:pPr>
            <w:r>
              <w:t xml:space="preserve">SearchQueryInitiatedSharePoint</w:t>
            </w:r>
          </w:p>
        </w:tc>
        <w:tc>
          <w:tcPr/>
          <w:p>
            <w:pPr>
              <w:pStyle w:val="Compact"/>
            </w:pPr>
            <w:r>
              <w:t xml:space="preserve">Records exact SharePoint search queries</w:t>
            </w:r>
          </w:p>
        </w:tc>
        <w:tc>
          <w:tcPr/>
          <w:p>
            <w:pPr>
              <w:pStyle w:val="Compact"/>
            </w:pPr>
            <w:r>
              <w:t xml:space="preserve">Proves targeted content discovery</w:t>
            </w:r>
          </w:p>
        </w:tc>
      </w:tr>
      <w:tr>
        <w:tc>
          <w:tcPr/>
          <w:p>
            <w:pPr>
              <w:pStyle w:val="Compact"/>
            </w:pPr>
            <w:r>
              <w:t xml:space="preserve">Send</w:t>
            </w:r>
          </w:p>
        </w:tc>
        <w:tc>
          <w:tcPr/>
          <w:p>
            <w:pPr>
              <w:pStyle w:val="Compact"/>
            </w:pPr>
            <w:r>
              <w:t xml:space="preserve">Records outbound email send with message ID</w:t>
            </w:r>
          </w:p>
        </w:tc>
        <w:tc>
          <w:tcPr/>
          <w:p>
            <w:pPr>
              <w:pStyle w:val="Compact"/>
            </w:pPr>
            <w:r>
              <w:t xml:space="preserve">Non-repudiation for email delivery</w:t>
            </w:r>
          </w:p>
        </w:tc>
      </w:tr>
      <w:tr>
        <w:tc>
          <w:tcPr/>
          <w:p>
            <w:pPr>
              <w:pStyle w:val="Compact"/>
            </w:pPr>
            <w:r>
              <w:t xml:space="preserve">FileDownloaded</w:t>
            </w:r>
          </w:p>
        </w:tc>
        <w:tc>
          <w:tcPr/>
          <w:p>
            <w:pPr>
              <w:pStyle w:val="Compact"/>
            </w:pPr>
            <w:r>
              <w:t xml:space="preserve">Records file downloads from SharePoint with file path and user</w:t>
            </w:r>
          </w:p>
        </w:tc>
        <w:tc>
          <w:tcPr/>
          <w:p>
            <w:pPr>
              <w:pStyle w:val="Compact"/>
            </w:pPr>
            <w:r>
              <w:t xml:space="preserve">Non-repudiation for data exfiltration investigation</w:t>
            </w:r>
          </w:p>
        </w:tc>
      </w:tr>
      <w:tr>
        <w:tc>
          <w:tcPr/>
          <w:p>
            <w:pPr>
              <w:pStyle w:val="Compact"/>
            </w:pPr>
            <w:r>
              <w:t xml:space="preserve">SensitivityLabelApplied</w:t>
            </w:r>
          </w:p>
        </w:tc>
        <w:tc>
          <w:tcPr/>
          <w:p>
            <w:pPr>
              <w:pStyle w:val="Compact"/>
            </w:pPr>
            <w:r>
              <w:t xml:space="preserve">Records label application events with user, file, and label</w:t>
            </w:r>
          </w:p>
        </w:tc>
        <w:tc>
          <w:tcPr/>
          <w:p>
            <w:pPr>
              <w:pStyle w:val="Compact"/>
            </w:pPr>
            <w:r>
              <w:t xml:space="preserve">Proves classification actions</w:t>
            </w:r>
          </w:p>
        </w:tc>
      </w:tr>
      <w:tr>
        <w:tc>
          <w:tcPr/>
          <w:p>
            <w:pPr>
              <w:pStyle w:val="Compact"/>
            </w:pPr>
            <w:r>
              <w:t xml:space="preserve">SensitivityLabelUpdated</w:t>
            </w:r>
          </w:p>
        </w:tc>
        <w:tc>
          <w:tcPr/>
          <w:p>
            <w:pPr>
              <w:pStyle w:val="Compact"/>
            </w:pPr>
            <w:r>
              <w:t xml:space="preserve">Records label change events</w:t>
            </w:r>
          </w:p>
        </w:tc>
        <w:tc>
          <w:tcPr/>
          <w:p>
            <w:pPr>
              <w:pStyle w:val="Compact"/>
            </w:pPr>
            <w:r>
              <w:t xml:space="preserve">Detects label downgrade attacks</w:t>
            </w:r>
          </w:p>
        </w:tc>
      </w:tr>
    </w:tbl>
    <w:bookmarkEnd w:id="62"/>
    <w:bookmarkStart w:id="65" w:name="querying-purview-audit-logs"/>
    <w:p>
      <w:pPr>
        <w:pStyle w:val="Heading2"/>
      </w:pPr>
      <w:r>
        <w:t xml:space="preserve">7.4 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
                <w:iCs/>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p/>
        </w:tc>
      </w:tr>
    </w:tbl>
    <w:bookmarkEnd w:id="65"/>
    <w:bookmarkEnd w:id="66"/>
    <w:bookmarkStart w:id="70" w:name="certificate-practice-statement"/>
    <w:p>
      <w:pPr>
        <w:pStyle w:val="Heading1"/>
      </w:pPr>
      <w:r>
        <w:t xml:space="preserve">8. Certificate Practice Statement</w:t>
      </w:r>
    </w:p>
    <w:bookmarkStart w:id="67" w:name="sc-17-requirements"/>
    <w:p>
      <w:pPr>
        <w:pStyle w:val="Heading2"/>
      </w:pPr>
      <w:r>
        <w:t xml:space="preserve">8.1 SC-17 Requirements</w:t>
      </w:r>
    </w:p>
    <w:p>
      <w:pPr>
        <w:pStyle w:val="FirstParagraph"/>
      </w:pPr>
      <w:r>
        <w:t xml:space="preserve">NIST SP 800-53 Rev 5 SC-17 states:</w:t>
      </w:r>
      <w:r>
        <w:t xml:space="preserve"> </w:t>
      </w:r>
      <w:r>
        <w:t xml:space="preserve">“Issue public key certificates under an appropriate certificate policy or obtain public key certificates from an approved service provider.”</w:t>
      </w:r>
    </w:p>
    <w:p>
      <w:pPr>
        <w:pStyle w:val="BodyText"/>
      </w:pPr>
      <w:r>
        <w:t xml:space="preserve">The key word is</w:t>
      </w:r>
      <w:r>
        <w:t xml:space="preserve"> </w:t>
      </w:r>
      <w:r>
        <w:t xml:space="preserve">“appropriate certificate policy.”</w:t>
      </w:r>
      <w:r>
        <w:t xml:space="preserve"> </w:t>
      </w:r>
      <w:r>
        <w:t xml:space="preserve">SC-17 is not satisfied merely by having certificates. It requires a</w:t>
      </w:r>
      <w:r>
        <w:t xml:space="preserve"> </w:t>
      </w:r>
      <w:r>
        <w:rPr>
          <w:i/>
          <w:iCs/>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“we have a CA.”</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67"/>
    <w:bookmarkStart w:id="68" w:name="cps-structure-per-rfc-3647"/>
    <w:p>
      <w:pPr>
        <w:pStyle w:val="Heading2"/>
      </w:pPr>
      <w:r>
        <w:t xml:space="preserve">8.2 CPS Structure per RFC 3647</w:t>
      </w:r>
    </w:p>
    <w:p>
      <w:pPr>
        <w:pStyle w:val="FirstParagraph"/>
      </w:pPr>
      <w:r>
        <w:t xml:space="preserve">RFC 3647 provides the standard framework for CPS documentation. A federal agency CPS must address the following sections:</w:t>
      </w:r>
    </w:p>
    <w:p>
      <w:pPr>
        <w:pStyle w:val="BodyText"/>
      </w:pPr>
      <w:r>
        <w:rPr>
          <w:b/>
          <w:bCs/>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
          <w:bCs/>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
          <w:bCs/>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
          <w:bCs/>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
          <w:bCs/>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
          <w:bCs/>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
          <w:bCs/>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
          <w:bCs/>
        </w:rPr>
        <w:t xml:space="preserve">Section 8 — Compliance Audit and Other Assessments.</w:t>
      </w:r>
      <w:r>
        <w:t xml:space="preserve"> </w:t>
      </w:r>
      <w:r>
        <w:t xml:space="preserve">Frequency of compliance audits, scope of audits, and who may perform them.</w:t>
      </w:r>
    </w:p>
    <w:p>
      <w:pPr>
        <w:pStyle w:val="BodyText"/>
      </w:pPr>
      <w:r>
        <w:rPr>
          <w:b/>
          <w:bCs/>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68"/>
    <w:bookmarkStart w:id="69" w:name="X9393e8975ee02153761a2c820da193b08567a4b"/>
    <w:p>
      <w:pPr>
        <w:pStyle w:val="Heading2"/>
      </w:pPr>
      <w:r>
        <w:t xml:space="preserve">8.3 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-like</w:t>
      </w:r>
      <w:r>
        <w:rPr>
          <w:rStyle w:val="NormalTok"/>
        </w:rPr>
        <w:t xml:space="preserv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VariableTok"/>
        </w:rPr>
        <w:t xml:space="preserve">$crlOid</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w:t>
      </w:r>
      <w:r>
        <w:rPr>
          <w:rStyle w:val="DecValTok"/>
        </w:rPr>
        <w:t xml:space="preserve">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Operator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w:t>
      </w:r>
      <w:r>
        <w:rPr>
          <w:rStyle w:val="OperatorTok"/>
        </w:rPr>
        <w:t xml:space="preserve">$(</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rPr>
          <w:rStyle w:val="OperatorTok"/>
        </w:rPr>
        <w:t xml:space="preserve">)</w:t>
      </w:r>
      <w:r>
        <w:rPr>
          <w:rStyle w:val="StringTok"/>
        </w:rPr>
        <w:t xml:space="preserve"> — SC-17 gap"</w:t>
      </w:r>
      <w:r>
        <w:br/>
      </w:r>
      <w:r>
        <w:rPr>
          <w:rStyle w:val="OperatorTok"/>
        </w:rPr>
        <w:t xml:space="preserve">}</w:t>
      </w:r>
    </w:p>
    <w:bookmarkEnd w:id="69"/>
    <w:bookmarkEnd w:id="70"/>
    <w:bookmarkStart w:id="76" w:name="nist-control-closure-table"/>
    <w:p>
      <w:pPr>
        <w:pStyle w:val="Heading1"/>
      </w:pPr>
      <w:r>
        <w:t xml:space="preserve">9. NIST Control Closure Table</w:t>
      </w:r>
    </w:p>
    <w:p>
      <w:pPr>
        <w:pStyle w:val="FirstParagraph"/>
      </w:pPr>
      <w:r>
        <w:t xml:space="preserve">The following table maps the NIST SP 800-53 Rev 5 controls addressed in this document. The</w:t>
      </w:r>
      <w:r>
        <w:t xml:space="preserve"> </w:t>
      </w:r>
      <w:r>
        <w:t xml:space="preserve">“Without”</w:t>
      </w:r>
      <w:r>
        <w:t xml:space="preserve"> </w:t>
      </w:r>
      <w:r>
        <w:t xml:space="preserve">column describes the residual state after Parts 1–11 are implemented but before this document’s controls are applied. The</w:t>
      </w:r>
      <w:r>
        <w:t xml:space="preserve"> </w:t>
      </w:r>
      <w:r>
        <w:t xml:space="preserve">“With”</w:t>
      </w:r>
      <w:r>
        <w:t xml:space="preserve"> </w:t>
      </w:r>
      <w:r>
        <w:t xml:space="preserve">column describes the post-implementation state.</w:t>
      </w:r>
    </w:p>
    <w:p>
      <w:pPr>
        <w:pStyle w:val="BlockText"/>
      </w:pPr>
      <w:r>
        <w:rPr>
          <w:b/>
          <w:bCs/>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72" name="Picture"/>
            <a:graphic>
              <a:graphicData uri="http://schemas.openxmlformats.org/drawingml/2006/picture">
                <pic:pic>
                  <pic:nvPicPr>
                    <pic:cNvPr descr="figs/purview-fig-04-nist-closure.png" id="73" name="Picture"/>
                    <pic:cNvPicPr>
                      <a:picLocks noChangeArrowheads="1" noChangeAspect="1"/>
                    </pic:cNvPicPr>
                  </pic:nvPicPr>
                  <pic:blipFill>
                    <a:blip r:embed="rId71"/>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w:t>
      </w:r>
    </w:p>
    <w:tbl>
      <w:tblPr>
        <w:tblStyle w:val="Table"/>
        <w:tblW w:type="pct" w:w="5000"/>
        <w:tblLayout w:type="fixed"/>
        <w:tblLook w:firstRow="1" w:lastRow="0" w:firstColumn="0" w:lastColumn="0" w:noHBand="0" w:noVBand="0" w:val="0020"/>
        <w:tblCaption w:val="NIST SP 800-53 Rev 5 control closure — Part 12 Data Protection"/>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w:t>
            </w:r>
          </w:p>
        </w:tc>
        <w:tc>
          <w:tcPr/>
          <w:p>
            <w:pPr>
              <w:pStyle w:val="Compact"/>
            </w:pPr>
            <w:r>
              <w:t xml:space="preserve">With</w:t>
            </w:r>
          </w:p>
        </w:tc>
        <w:tc>
          <w:tcPr/>
          <w:p>
            <w:pPr>
              <w:pStyle w:val="Compact"/>
            </w:pPr>
            <w:r>
              <w:t xml:space="preserve">Authority</w:t>
            </w:r>
          </w:p>
        </w:tc>
      </w:tr>
      <w:tr>
        <w:tc>
          <w:tcPr/>
          <w:p>
            <w:pPr>
              <w:pStyle w:val="Compact"/>
            </w:pPr>
            <w:r>
              <w:t xml:space="preserve">AC-4</w:t>
            </w:r>
          </w:p>
        </w:tc>
        <w:tc>
          <w:tcPr/>
          <w:p>
            <w:pPr>
              <w:pStyle w:val="Compact"/>
            </w:pPr>
            <w:r>
              <w:t xml:space="preserve">Information Flow Enforcement (data layer)</w:t>
            </w:r>
          </w:p>
        </w:tc>
        <w:tc>
          <w:tcPr/>
          <w:p>
            <w:pPr>
              <w:pStyle w:val="Compac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pPr>
            <w:r>
              <w:t xml:space="preserve">NIST SP 800-53 Rev 5 AC-4; FedRAMP Moderate AC-4</w:t>
            </w:r>
          </w:p>
        </w:tc>
      </w:tr>
      <w:tr>
        <w:tc>
          <w:tcPr/>
          <w:p>
            <w:pPr>
              <w:pStyle w:val="Compact"/>
            </w:pPr>
            <w:r>
              <w:t xml:space="preserve">AU-10</w:t>
            </w:r>
          </w:p>
        </w:tc>
        <w:tc>
          <w:tcPr/>
          <w:p>
            <w:pPr>
              <w:pStyle w:val="Compact"/>
            </w:pPr>
            <w:r>
              <w:t xml:space="preserve">Non-repudiation</w:t>
            </w:r>
          </w:p>
        </w:tc>
        <w:tc>
          <w:tcPr/>
          <w:p>
            <w:pPr>
              <w:pStyle w:val="Compact"/>
            </w:pPr>
            <w:r>
              <w:t xml:space="preserve">Audit records are generated in the unified audit log but are mutable by a tenant Global Administrator. Standard audit log retention is 90 days. The irrefutability standard of AU-10 is not met.</w:t>
            </w:r>
          </w:p>
        </w:tc>
        <w:tc>
          <w:tcPr/>
          <w:p>
            <w:pPr>
              <w:pStyle w:val="Compact"/>
            </w:pPr>
            <w:r>
              <w:t xml:space="preserve">Purview Audit Premium provides immutable, signed audit records with 10-year retention. MailItemsAccessed and SearchQueryInitiated events provide non-repudiation for high-value data access operations.</w:t>
            </w:r>
          </w:p>
        </w:tc>
        <w:tc>
          <w:tcPr/>
          <w:p>
            <w:pPr>
              <w:pStyle w:val="Compact"/>
            </w:pPr>
            <w:r>
              <w:t xml:space="preserve">NIST SP 800-53 Rev 5 AU-10; FedRAMP Moderate AU-10</w:t>
            </w:r>
          </w:p>
        </w:tc>
      </w:tr>
      <w:tr>
        <w:tc>
          <w:tcPr/>
          <w:p>
            <w:pPr>
              <w:pStyle w:val="Compact"/>
            </w:pPr>
            <w:r>
              <w:t xml:space="preserve">MP-2</w:t>
            </w:r>
          </w:p>
        </w:tc>
        <w:tc>
          <w:tcPr/>
          <w:p>
            <w:pPr>
              <w:pStyle w:val="Compact"/>
            </w:pPr>
            <w:r>
              <w:t xml:space="preserve">Media Access</w:t>
            </w:r>
          </w:p>
        </w:tc>
        <w:tc>
          <w:tcPr/>
          <w:p>
            <w:pPr>
              <w:pStyle w:val="Compact"/>
            </w:pPr>
            <w:r>
              <w:t xml:space="preserve">SharePoint access permissions are applied at site or library level. A user with access to a SharePoint site has access to all content in that site regardless of sensitivity.</w:t>
            </w:r>
          </w:p>
        </w:tc>
        <w:tc>
          <w:tcPr/>
          <w:p>
            <w:pPr>
              <w:pStyle w:val="Compact"/>
            </w:pPr>
            <w:r>
              <w:t xml:space="preserve">Sensitivity labels enforce label-based access control. CUI-Basic and CUI-Specified labels restrict decryption to authorized holders even when the file is moved outside the SharePoint boundary.</w:t>
            </w:r>
          </w:p>
        </w:tc>
        <w:tc>
          <w:tcPr/>
          <w:p>
            <w:pPr>
              <w:pStyle w:val="Compact"/>
            </w:pPr>
            <w:r>
              <w:t xml:space="preserve">NIST SP 800-53 Rev 5 MP-2</w:t>
            </w:r>
          </w:p>
        </w:tc>
      </w:tr>
      <w:tr>
        <w:tc>
          <w:tcPr/>
          <w:p>
            <w:pPr>
              <w:pStyle w:val="Compact"/>
            </w:pPr>
            <w:r>
              <w:t xml:space="preserve">MP-3</w:t>
            </w:r>
          </w:p>
        </w:tc>
        <w:tc>
          <w:tcPr/>
          <w:p>
            <w:pPr>
              <w:pStyle w:val="Compact"/>
            </w:pPr>
            <w:r>
              <w:t xml:space="preserve">Media Marking</w:t>
            </w:r>
          </w:p>
        </w:tc>
        <w:tc>
          <w:tcPr/>
          <w:p>
            <w:pPr>
              <w:pStyle w:val="Compact"/>
            </w:pPr>
            <w:r>
              <w:t xml:space="preserve">Documents carry no machine-readable sensitivity markings. Manual classification is inconsistent and not auditable.</w:t>
            </w:r>
          </w:p>
        </w:tc>
        <w:tc>
          <w:tcPr/>
          <w:p>
            <w:pPr>
              <w:pStyle w:val="Compact"/>
            </w:pPr>
            <w:r>
              <w:t xml:space="preserve">Sensitivity labels applied automatically by classifier policies provide persistent, machine-readable marking. Labels survive file format conversion and movement across platforms.</w:t>
            </w:r>
          </w:p>
        </w:tc>
        <w:tc>
          <w:tcPr/>
          <w:p>
            <w:pPr>
              <w:pStyle w:val="Compact"/>
            </w:pPr>
            <w:r>
              <w:t xml:space="preserve">NIST SP 800-53 Rev 5 MP-3; NARA CUI Marking Handbook</w:t>
            </w:r>
          </w:p>
        </w:tc>
      </w:tr>
      <w:tr>
        <w:tc>
          <w:tcPr/>
          <w:p>
            <w:pPr>
              <w:pStyle w:val="Compact"/>
            </w:pPr>
            <w:r>
              <w:t xml:space="preserve">MP-4</w:t>
            </w:r>
          </w:p>
        </w:tc>
        <w:tc>
          <w:tcPr/>
          <w:p>
            <w:pPr>
              <w:pStyle w:val="Compact"/>
            </w:pPr>
            <w:r>
              <w:t xml:space="preserve">Media Storage</w:t>
            </w:r>
          </w:p>
        </w:tc>
        <w:tc>
          <w:tcPr/>
          <w:p>
            <w:pPr>
              <w:pStyle w:val="Compact"/>
            </w:pPr>
            <w:r>
              <w:t xml:space="preserve">No encryption differentiated by content sensitivity. All SharePoint content is encrypted by Microsoft-managed keys at the same tier.</w:t>
            </w:r>
          </w:p>
        </w:tc>
        <w:tc>
          <w:tcPr/>
          <w:p>
            <w:pPr>
              <w:pStyle w:val="Compact"/>
            </w:pPr>
            <w:r>
              <w:t xml:space="preserve">Customer-Managed Keys in Azure Key Vault provide agency-controlled encryption for CUI storage across SharePoint, OneDrive, and SQL Server.</w:t>
            </w:r>
          </w:p>
        </w:tc>
        <w:tc>
          <w:tcPr/>
          <w:p>
            <w:pPr>
              <w:pStyle w:val="Compact"/>
            </w:pPr>
            <w:r>
              <w:t xml:space="preserve">NIST SP 800-53 Rev 5 MP-4</w:t>
            </w:r>
          </w:p>
        </w:tc>
      </w:tr>
      <w:tr>
        <w:tc>
          <w:tcPr/>
          <w:p>
            <w:pPr>
              <w:pStyle w:val="Compact"/>
            </w:pPr>
            <w:r>
              <w:t xml:space="preserve">MP-5</w:t>
            </w:r>
          </w:p>
        </w:tc>
        <w:tc>
          <w:tcPr/>
          <w:p>
            <w:pPr>
              <w:pStyle w:val="Compact"/>
            </w:pPr>
            <w:r>
              <w:t xml:space="preserve">Media Transport</w:t>
            </w:r>
          </w:p>
        </w:tc>
        <w:tc>
          <w:tcPr/>
          <w:p>
            <w:pPr>
              <w:pStyle w:val="Compact"/>
            </w:pPr>
            <w:r>
              <w:t xml:space="preserve">No automated enforcement on external transfer of sensitive data. DLP policies may exist ad hoc but are not based on classification labels.</w:t>
            </w:r>
          </w:p>
        </w:tc>
        <w:tc>
          <w:tcPr/>
          <w:p>
            <w:pPr>
              <w:pStyle w:val="Compact"/>
            </w:pPr>
            <w:r>
              <w:t xml:space="preserve">DLP policies block external sharing and email transfer of labeled CUI. Endpoint DLP blocks USB and print transfer. CASB enforces at the network boundary using label metadata.</w:t>
            </w:r>
          </w:p>
        </w:tc>
        <w:tc>
          <w:tcPr/>
          <w:p>
            <w:pPr>
              <w:pStyle w:val="Compact"/>
            </w:pPr>
            <w:r>
              <w:t xml:space="preserve">NIST SP 800-53 Rev 5 MP-5</w:t>
            </w:r>
          </w:p>
        </w:tc>
      </w:tr>
      <w:tr>
        <w:tc>
          <w:tcPr/>
          <w:p>
            <w:pPr>
              <w:pStyle w:val="Compact"/>
            </w:pPr>
            <w:r>
              <w:t xml:space="preserve">SC-12</w:t>
            </w:r>
          </w:p>
        </w:tc>
        <w:tc>
          <w:tcPr/>
          <w:p>
            <w:pPr>
              <w:pStyle w:val="Compact"/>
            </w:pPr>
            <w:r>
              <w:t xml:space="preserve">Cryptographic Key Establishment and Management</w:t>
            </w:r>
          </w:p>
        </w:tc>
        <w:tc>
          <w:tcPr/>
          <w:p>
            <w:pPr>
              <w:pStyle w:val="Compact"/>
            </w:pPr>
            <w:r>
              <w:t xml:space="preserve">Keys managed by individual application owners without central inventory, rotation schedule, or access audit trail.</w:t>
            </w:r>
          </w:p>
        </w:tc>
        <w:tc>
          <w:tcPr/>
          <w:p>
            <w:pPr>
              <w:pStyle w:val="Compac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pPr>
            <w:r>
              <w:t xml:space="preserve">NIST SP 800-53 Rev 5 SC-12; NIST SP 800-57 Part 1</w:t>
            </w:r>
          </w:p>
        </w:tc>
      </w:tr>
      <w:tr>
        <w:tc>
          <w:tcPr/>
          <w:p>
            <w:pPr>
              <w:pStyle w:val="Compact"/>
            </w:pPr>
            <w:r>
              <w:t xml:space="preserve">SC-12(1)</w:t>
            </w:r>
          </w:p>
        </w:tc>
        <w:tc>
          <w:tcPr/>
          <w:p>
            <w:pPr>
              <w:pStyle w:val="Compact"/>
            </w:pPr>
            <w:r>
              <w:t xml:space="preserve">Cryptographic Key Availability</w:t>
            </w:r>
          </w:p>
        </w:tc>
        <w:tc>
          <w:tcPr/>
          <w:p>
            <w:pPr>
              <w:pStyle w:val="Compact"/>
            </w:pPr>
            <w:r>
              <w:t xml:space="preserve">No documented key recovery procedure. Loss of a key means loss of data.</w:t>
            </w:r>
          </w:p>
        </w:tc>
        <w:tc>
          <w:tcPr/>
          <w:p>
            <w:pPr>
              <w:pStyle w:val="Compact"/>
            </w:pPr>
            <w:r>
              <w:t xml:space="preserve">Key Vault soft-delete with 90-day retention and purge protection prevents accidental key deletion. Key Vault backup can be restored to a paired region.</w:t>
            </w:r>
          </w:p>
        </w:tc>
        <w:tc>
          <w:tcPr/>
          <w:p>
            <w:pPr>
              <w:pStyle w:val="Compact"/>
            </w:pPr>
            <w:r>
              <w:t xml:space="preserve">NIST SP 800-53 Rev 5 SC-12(1)</w:t>
            </w:r>
          </w:p>
        </w:tc>
      </w:tr>
      <w:tr>
        <w:tc>
          <w:tcPr/>
          <w:p>
            <w:pPr>
              <w:pStyle w:val="Compact"/>
            </w:pPr>
            <w:r>
              <w:t xml:space="preserve">SC-13</w:t>
            </w:r>
          </w:p>
        </w:tc>
        <w:tc>
          <w:tcPr/>
          <w:p>
            <w:pPr>
              <w:pStyle w:val="Compact"/>
            </w:pPr>
            <w:r>
              <w:t xml:space="preserve">Cryptographic Protection</w:t>
            </w:r>
          </w:p>
        </w:tc>
        <w:tc>
          <w:tcPr/>
          <w:p>
            <w:pPr>
              <w:pStyle w:val="Compact"/>
            </w:pPr>
            <w:r>
              <w:t xml:space="preserve">TDE enabled with Microsoft-managed keys. SharePoint encryption uses Microsoft-managed keys. No agency visibility into key operations.</w:t>
            </w:r>
          </w:p>
        </w:tc>
        <w:tc>
          <w:tcPr/>
          <w:p>
            <w:pPr>
              <w:pStyle w:val="Compact"/>
            </w:pPr>
            <w:r>
              <w:t xml:space="preserve">SQL TDE protector migrated to CMK in Key Vault. SharePoint BYOK and Exchange Customer Key extend agency-controlled CMK to Microsoft 365 workloads. All key operations are logged.</w:t>
            </w:r>
          </w:p>
        </w:tc>
        <w:tc>
          <w:tcPr/>
          <w:p>
            <w:pPr>
              <w:pStyle w:val="Compact"/>
            </w:pPr>
            <w:r>
              <w:t xml:space="preserve">NIST SP 800-53 Rev 5 SC-13; FIPS 140-2 Level 2</w:t>
            </w:r>
          </w:p>
        </w:tc>
      </w:tr>
      <w:tr>
        <w:tc>
          <w:tcPr/>
          <w:p>
            <w:pPr>
              <w:pStyle w:val="Compact"/>
            </w:pPr>
            <w:r>
              <w:t xml:space="preserve">SC-17</w:t>
            </w:r>
          </w:p>
        </w:tc>
        <w:tc>
          <w:tcPr/>
          <w:p>
            <w:pPr>
              <w:pStyle w:val="Compact"/>
            </w:pPr>
            <w:r>
              <w:t xml:space="preserve">PKI Certificates</w:t>
            </w:r>
          </w:p>
        </w:tc>
        <w:tc>
          <w:tcPr/>
          <w:p>
            <w:pPr>
              <w:pStyle w:val="Compact"/>
            </w:pPr>
            <w:r>
              <w:t xml:space="preserve">CA deployed and issuing certificates without a documented Certificate Practice Statement. No defined issuance, revocation, or key protection policy.</w:t>
            </w:r>
          </w:p>
        </w:tc>
        <w:tc>
          <w:tcPr/>
          <w:p>
            <w:pPr>
              <w:pStyle w:val="Compact"/>
            </w:pPr>
            <w:r>
              <w:t xml:space="preserve">CPS per RFC 3647 governs the full certificate lifecycle. Issuing CA private key stored in Key Vault HSM. CRL and OCSP endpoints registered in InfoBlox IPAM with verified DNS resolution.</w:t>
            </w:r>
          </w:p>
        </w:tc>
        <w:tc>
          <w:tcPr/>
          <w:p>
            <w:pPr>
              <w:pStyle w:val="Compact"/>
            </w:pPr>
            <w:r>
              <w:t xml:space="preserve">NIST SP 800-53 Rev 5 SC-17; RFC 3647</w:t>
            </w:r>
          </w:p>
        </w:tc>
      </w:tr>
      <w:tr>
        <w:tc>
          <w:tcPr/>
          <w:p>
            <w:pPr>
              <w:pStyle w:val="Compact"/>
            </w:pPr>
            <w:r>
              <w:t xml:space="preserve">SC-28</w:t>
            </w:r>
          </w:p>
        </w:tc>
        <w:tc>
          <w:tcPr/>
          <w:p>
            <w:pPr>
              <w:pStyle w:val="Compact"/>
            </w:pPr>
            <w:r>
              <w:t xml:space="preserve">Protection of Information at Rest (depth extension)</w:t>
            </w:r>
          </w:p>
        </w:tc>
        <w:tc>
          <w:tcPr/>
          <w:p>
            <w:pPr>
              <w:pStyle w:val="Compact"/>
            </w:pPr>
            <w:r>
              <w:t xml:space="preserve">SQL Server TDE (established in Part 7) protects database files at rest with Microsoft-managed keys. Label-enforced file encryption for Office documents not enabled.</w:t>
            </w:r>
          </w:p>
        </w:tc>
        <w:tc>
          <w:tcPr/>
          <w:p>
            <w:pPr>
              <w:pStyle w:val="Compac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pPr>
            <w:r>
              <w:t xml:space="preserve">NIST SP 800-53 Rev 5 SC-28</w:t>
            </w:r>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authorization from document-heavy assessment to continuous, evidence-based Key Security Indicators (KSIs). The controls established in this document contribute to the following KSIs:</w:t>
            </w:r>
          </w:p>
          <w:p>
            <w:pPr>
              <w:pStyle w:val="BodyText"/>
            </w:pPr>
            <w:r>
              <w:rPr>
                <w:b/>
                <w:bCs/>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
                <w:bCs/>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
                <w:bCs/>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
                <w:bCs/>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pPr>
              <w:spacing w:after="16"/>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2026-07-09T14:23:40Z</dcterms:created>
  <dcterms:modified xsi:type="dcterms:W3CDTF">2026-07-09T14:23:40Z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