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16 — Federal Application-Aware Networking — Part 16</w:t>
      </w:r>
    </w:p>
    <w:p>
      <w:pPr>
        <w:pStyle w:val="Subtitle"/>
      </w:pPr>
      <w:r>
        <w:t xml:space="preserve">Program Management Governance: Security Program Plan, POA&amp;M Framework, and SCRM Charter for FedRAMP 20x</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pStyle w:val="Compact"/>
        <w:numPr>
          <w:ilvl w:val="0"/>
          <w:numId w:val="1001"/>
        </w:numPr>
      </w:pPr>
      <w:r>
        <w:rPr>
          <w:b/>
          <w:bCs/>
        </w:rPr>
        <w:t xml:space="preserve">Information Security Program Plan (ISPP)</w:t>
      </w:r>
      <w:r>
        <w:t xml:space="preserve"> </w:t>
      </w:r>
      <w:r>
        <w:t xml:space="preserve">— a structured outline</w:t>
      </w:r>
      <w:r>
        <w:t xml:space="preserve"> </w:t>
      </w:r>
      <w:r>
        <w:t xml:space="preserve">satisfying PM-1, PM-7, PM-11 with a fillable template</w:t>
      </w:r>
    </w:p>
    <w:p>
      <w:pPr>
        <w:pStyle w:val="Compact"/>
        <w:numPr>
          <w:ilvl w:val="0"/>
          <w:numId w:val="1001"/>
        </w:numPr>
      </w:pPr>
      <w:r>
        <w:rPr>
          <w:b/>
          <w:bCs/>
        </w:rPr>
        <w:t xml:space="preserve">Program Leadership RACI</w:t>
      </w:r>
      <w:r>
        <w:t xml:space="preserve"> </w:t>
      </w:r>
      <w:r>
        <w:t xml:space="preserve">— roles, responsibilities, and accountability</w:t>
      </w:r>
      <w:r>
        <w:t xml:space="preserve"> </w:t>
      </w:r>
      <w:r>
        <w:t xml:space="preserve">matrix satisfying PM-2</w:t>
      </w:r>
    </w:p>
    <w:p>
      <w:pPr>
        <w:pStyle w:val="Compact"/>
        <w:numPr>
          <w:ilvl w:val="0"/>
          <w:numId w:val="1001"/>
        </w:numPr>
      </w:pPr>
      <w:r>
        <w:rPr>
          <w:b/>
          <w:bCs/>
        </w:rPr>
        <w:t xml:space="preserve">System Inventory Framework</w:t>
      </w:r>
      <w:r>
        <w:t xml:space="preserve"> </w:t>
      </w:r>
      <w:r>
        <w:t xml:space="preserve">— inventory methodology and automation</w:t>
      </w:r>
      <w:r>
        <w:t xml:space="preserve"> </w:t>
      </w:r>
      <w:r>
        <w:t xml:space="preserve">approach satisfying PM-5</w:t>
      </w:r>
    </w:p>
    <w:p>
      <w:pPr>
        <w:pStyle w:val="Compact"/>
        <w:numPr>
          <w:ilvl w:val="0"/>
          <w:numId w:val="1001"/>
        </w:numPr>
      </w:pPr>
      <w:r>
        <w:rPr>
          <w:b/>
          <w:bCs/>
        </w:rPr>
        <w:t xml:space="preserve">Risk Management Strategy</w:t>
      </w:r>
      <w:r>
        <w:t xml:space="preserve"> </w:t>
      </w:r>
      <w:r>
        <w:t xml:space="preserve">— risk register format and governance cadence</w:t>
      </w:r>
      <w:r>
        <w:t xml:space="preserve"> </w:t>
      </w:r>
      <w:r>
        <w:t xml:space="preserve">satisfying PM-9</w:t>
      </w:r>
    </w:p>
    <w:p>
      <w:pPr>
        <w:pStyle w:val="Compact"/>
        <w:numPr>
          <w:ilvl w:val="0"/>
          <w:numId w:val="1001"/>
        </w:numPr>
      </w:pPr>
      <w:r>
        <w:rPr>
          <w:b/>
          <w:bCs/>
        </w:rPr>
        <w:t xml:space="preserve">Testing, Training, and Monitoring (T&amp;T&amp;M) Plan</w:t>
      </w:r>
      <w:r>
        <w:t xml:space="preserve"> </w:t>
      </w:r>
      <w:r>
        <w:t xml:space="preserve">— tracker template</w:t>
      </w:r>
      <w:r>
        <w:t xml:space="preserve"> </w:t>
      </w:r>
      <w:r>
        <w:t xml:space="preserve">satisfying PM-14</w:t>
      </w:r>
    </w:p>
    <w:p>
      <w:pPr>
        <w:pStyle w:val="Compact"/>
        <w:numPr>
          <w:ilvl w:val="0"/>
          <w:numId w:val="1001"/>
        </w:numPr>
      </w:pPr>
      <w:r>
        <w:rPr>
          <w:b/>
          <w:bCs/>
        </w:rPr>
        <w:t xml:space="preserve">Security Contact Registry</w:t>
      </w:r>
      <w:r>
        <w:t xml:space="preserve"> </w:t>
      </w:r>
      <w:r>
        <w:t xml:space="preserve">— industry liaison contacts satisfying PM-15</w:t>
      </w:r>
    </w:p>
    <w:p>
      <w:pPr>
        <w:pStyle w:val="Compact"/>
        <w:numPr>
          <w:ilvl w:val="0"/>
          <w:numId w:val="1001"/>
        </w:numPr>
      </w:pPr>
      <w:r>
        <w:rPr>
          <w:b/>
          <w:bCs/>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12"/>
    <w:bookmarkStart w:id="18" w:name="X7058f7ad453c2890024bfad90a4cbe42e48ed2c"/>
    <w:p>
      <w:pPr>
        <w:pStyle w:val="Heading1"/>
      </w:pPr>
      <w:r>
        <w:t xml:space="preserve">1. Program Management Governance in the FedRAMP 20x Context</w:t>
      </w:r>
    </w:p>
    <w:bookmarkStart w:id="13" w:name="why-pm-controls-gate-authorization"/>
    <w:p>
      <w:pPr>
        <w:pStyle w:val="Heading2"/>
      </w:pPr>
      <w:r>
        <w:t xml:space="preserve">1.1 Why PM Controls Gate Authorization</w:t>
      </w:r>
    </w:p>
    <w:p>
      <w:pPr>
        <w:pStyle w:val="FirstParagraph"/>
      </w:pPr>
      <w:r>
        <w:t xml:space="preserve">FedRAMP 20x Key Security Indicators evaluate</w:t>
      </w:r>
      <w:r>
        <w:t xml:space="preserve"> </w:t>
      </w:r>
      <w:r>
        <w:rPr>
          <w:i/>
          <w:iCs/>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pStyle w:val="Compact"/>
        <w:numPr>
          <w:ilvl w:val="0"/>
          <w:numId w:val="1002"/>
        </w:numPr>
      </w:pPr>
      <w:r>
        <w:rPr>
          <w:b/>
          <w:bCs/>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pStyle w:val="Compact"/>
        <w:numPr>
          <w:ilvl w:val="0"/>
          <w:numId w:val="1002"/>
        </w:numPr>
      </w:pPr>
      <w:r>
        <w:rPr>
          <w:b/>
          <w:bCs/>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pStyle w:val="Compact"/>
        <w:numPr>
          <w:ilvl w:val="0"/>
          <w:numId w:val="1002"/>
        </w:numPr>
      </w:pPr>
      <w:r>
        <w:rPr>
          <w:b/>
          <w:bCs/>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13"/>
    <w:bookmarkStart w:id="17" w:name="pm-controls-closed-by-this-document"/>
    <w:p>
      <w:pPr>
        <w:pStyle w:val="Heading2"/>
      </w:pPr>
      <w:r>
        <w:t xml:space="preserve">1.2 PM Controls Closed by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Artifact</w:t>
            </w:r>
          </w:p>
        </w:tc>
      </w:tr>
      <w:tr>
        <w:tc>
          <w:tcPr/>
          <w:p>
            <w:pPr>
              <w:pStyle w:val="Compact"/>
            </w:pPr>
            <w:r>
              <w:t xml:space="preserve">PM-1</w:t>
            </w:r>
          </w:p>
        </w:tc>
        <w:tc>
          <w:tcPr/>
          <w:p>
            <w:pPr>
              <w:pStyle w:val="Compact"/>
            </w:pPr>
            <w:r>
              <w:t xml:space="preserve">Information Security Program Plan</w:t>
            </w:r>
          </w:p>
        </w:tc>
        <w:tc>
          <w:tcPr/>
          <w:p>
            <w:pPr>
              <w:pStyle w:val="Compact"/>
            </w:pPr>
            <w:r>
              <w:t xml:space="preserve">§2 ISPP Template</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 Leadership RACI</w:t>
            </w:r>
          </w:p>
        </w:tc>
      </w:tr>
      <w:tr>
        <w:tc>
          <w:tcPr/>
          <w:p>
            <w:pPr>
              <w:pStyle w:val="Compact"/>
            </w:pPr>
            <w:r>
              <w:t xml:space="preserve">PM-5</w:t>
            </w:r>
          </w:p>
        </w:tc>
        <w:tc>
          <w:tcPr/>
          <w:p>
            <w:pPr>
              <w:pStyle w:val="Compact"/>
            </w:pPr>
            <w:r>
              <w:t xml:space="preserve">System Inventory</w:t>
            </w:r>
          </w:p>
        </w:tc>
        <w:tc>
          <w:tcPr/>
          <w:p>
            <w:pPr>
              <w:pStyle w:val="Compact"/>
            </w:pPr>
            <w:r>
              <w:t xml:space="preserve">§4 Inventory Framework</w:t>
            </w:r>
          </w:p>
        </w:tc>
      </w:tr>
      <w:tr>
        <w:tc>
          <w:tcPr/>
          <w:p>
            <w:pPr>
              <w:pStyle w:val="Compact"/>
            </w:pPr>
            <w:r>
              <w:t xml:space="preserve">PM-7</w:t>
            </w:r>
          </w:p>
        </w:tc>
        <w:tc>
          <w:tcPr/>
          <w:p>
            <w:pPr>
              <w:pStyle w:val="Compact"/>
            </w:pPr>
            <w:r>
              <w:t xml:space="preserve">Enterprise Architecture</w:t>
            </w:r>
          </w:p>
        </w:tc>
        <w:tc>
          <w:tcPr/>
          <w:p>
            <w:pPr>
              <w:pStyle w:val="Compact"/>
            </w:pPr>
            <w:r>
              <w:t xml:space="preserve">§2.4 EA Integration</w:t>
            </w:r>
          </w:p>
        </w:tc>
      </w:tr>
      <w:tr>
        <w:tc>
          <w:tcPr/>
          <w:p>
            <w:pPr>
              <w:pStyle w:val="Compact"/>
            </w:pPr>
            <w:r>
              <w:t xml:space="preserve">PM-9</w:t>
            </w:r>
          </w:p>
        </w:tc>
        <w:tc>
          <w:tcPr/>
          <w:p>
            <w:pPr>
              <w:pStyle w:val="Compact"/>
            </w:pPr>
            <w:r>
              <w:t xml:space="preserve">Risk Management Strategy</w:t>
            </w:r>
          </w:p>
        </w:tc>
        <w:tc>
          <w:tcPr/>
          <w:p>
            <w:pPr>
              <w:pStyle w:val="Compact"/>
            </w:pPr>
            <w:r>
              <w:t xml:space="preserve">§5 Risk Register Framework</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 Mission Mapping</w:t>
            </w:r>
          </w:p>
        </w:tc>
      </w:tr>
      <w:tr>
        <w:tc>
          <w:tcPr/>
          <w:p>
            <w:pPr>
              <w:pStyle w:val="Compact"/>
            </w:pPr>
            <w:r>
              <w:t xml:space="preserve">PM-14</w:t>
            </w:r>
          </w:p>
        </w:tc>
        <w:tc>
          <w:tcPr/>
          <w:p>
            <w:pPr>
              <w:pStyle w:val="Compact"/>
            </w:pPr>
            <w:r>
              <w:t xml:space="preserve">Testing, Training, and Monitoring</w:t>
            </w:r>
          </w:p>
        </w:tc>
        <w:tc>
          <w:tcPr/>
          <w:p>
            <w:pPr>
              <w:pStyle w:val="Compact"/>
            </w:pPr>
            <w:r>
              <w:t xml:space="preserve">§6 T&amp;T&amp;M Plan</w:t>
            </w:r>
          </w:p>
        </w:tc>
      </w:tr>
      <w:tr>
        <w:tc>
          <w:tcPr/>
          <w:p>
            <w:pPr>
              <w:pStyle w:val="Compact"/>
            </w:pPr>
            <w:r>
              <w:t xml:space="preserve">PM-15</w:t>
            </w:r>
          </w:p>
        </w:tc>
        <w:tc>
          <w:tcPr/>
          <w:p>
            <w:pPr>
              <w:pStyle w:val="Compact"/>
            </w:pPr>
            <w:r>
              <w:t xml:space="preserve">Security/Privacy Contact with Groups</w:t>
            </w:r>
          </w:p>
        </w:tc>
        <w:tc>
          <w:tcPr/>
          <w:p>
            <w:pPr>
              <w:pStyle w:val="Compact"/>
            </w:pPr>
            <w:r>
              <w:t xml:space="preserve">§7 Contact Registry</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 SCRM Charter</w:t>
            </w:r>
          </w:p>
        </w:tc>
      </w:tr>
    </w:tbl>
    <w:p>
      <w:pPr>
        <w:pStyle w:val="BlockText"/>
      </w:pPr>
      <w:r>
        <w:rPr>
          <w:b/>
          <w:bCs/>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15" name="Picture"/>
            <a:graphic>
              <a:graphicData uri="http://schemas.openxmlformats.org/drawingml/2006/picture">
                <pic:pic>
                  <pic:nvPicPr>
                    <pic:cNvPr descr="figs/pmg-fig-01-pm-governanc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17"/>
    <w:bookmarkEnd w:id="18"/>
    <w:bookmarkStart w:id="24" w:name="Xadfec1205972c55c7f7da87cd313895defa5c9e"/>
    <w:p>
      <w:pPr>
        <w:pStyle w:val="Heading1"/>
      </w:pPr>
      <w:r>
        <w:t xml:space="preserve">2. Information Security Program Plan (PM-1, PM-7, PM-11)</w:t>
      </w:r>
    </w:p>
    <w:bookmarkStart w:id="20" w:name="ispp-document-template"/>
    <w:p>
      <w:pPr>
        <w:pStyle w:val="Heading2"/>
      </w:pPr>
      <w:r>
        <w:t xml:space="preserve">2.1 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19" w:name="ispp-section-outline"/>
    <w:p>
      <w:pPr>
        <w:pStyle w:val="Heading3"/>
      </w:pPr>
      <w:r>
        <w:t xml:space="preserve">2.1.1 ISPP Section Outline</w:t>
      </w:r>
    </w:p>
    <w:p>
      <w:pPr>
        <w:pStyle w:val="FirstParagraph"/>
      </w:pPr>
      <w:r>
        <w:rPr>
          <w:b/>
          <w:bCs/>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an agency RMF authorization (NIST SP 800-37), with</w:t>
      </w:r>
      <w:r>
        <w:t xml:space="preserve"> </w:t>
      </w:r>
      <w:r>
        <w:t xml:space="preserve">ConMon evidence modeled on the FedRAMP 20x KSI schema.</w:t>
      </w:r>
    </w:p>
    <w:p>
      <w:pPr>
        <w:pStyle w:val="BlockText"/>
      </w:pPr>
      <w:r>
        <w:rPr>
          <w:b/>
          <w:bCs/>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presented to the SSA Authorizing Official.]</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change</w:t>
      </w:r>
    </w:p>
    <w:p>
      <w:pPr>
        <w:pStyle w:val="BlockText"/>
      </w:pPr>
      <w:r>
        <w:rPr>
          <w:b/>
          <w:bCs/>
        </w:rPr>
        <w:t xml:space="preserve">Document 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3"/>
        </w:numPr>
      </w:pPr>
      <w:r>
        <w:t xml:space="preserve">Federal Information Security Modernization Act (FISMA) 2014, 44 U.S.C. §3551</w:t>
      </w:r>
    </w:p>
    <w:p>
      <w:pPr>
        <w:pStyle w:val="Compact"/>
        <w:numPr>
          <w:ilvl w:val="0"/>
          <w:numId w:val="1003"/>
        </w:numPr>
      </w:pPr>
      <w:r>
        <w:t xml:space="preserve">OMB Circular A-130, Managing Federal Information as a Strategic Resource</w:t>
      </w:r>
    </w:p>
    <w:p>
      <w:pPr>
        <w:pStyle w:val="Compact"/>
        <w:numPr>
          <w:ilvl w:val="0"/>
          <w:numId w:val="1003"/>
        </w:numPr>
      </w:pPr>
      <w:r>
        <w:t xml:space="preserve">NIST SP 800-53 Rev 5, Security and Privacy Controls for Information Systems</w:t>
      </w:r>
    </w:p>
    <w:p>
      <w:pPr>
        <w:pStyle w:val="Compact"/>
        <w:numPr>
          <w:ilvl w:val="0"/>
          <w:numId w:val="1003"/>
        </w:numPr>
      </w:pPr>
      <w:r>
        <w:t xml:space="preserve">FedRAMP 20x Authorization Framework (GSA, 2026)</w:t>
      </w:r>
    </w:p>
    <w:p>
      <w:pPr>
        <w:pStyle w:val="Compact"/>
        <w:numPr>
          <w:ilvl w:val="0"/>
          <w:numId w:val="1003"/>
        </w:numPr>
      </w:pPr>
      <w:r>
        <w:t xml:space="preserve">CISA Binding Operational Directive 26-04 (SBOM/VDR/VER, effective Dec 7, 2026)</w:t>
      </w:r>
    </w:p>
    <w:p>
      <w:pPr>
        <w:pStyle w:val="Compact"/>
        <w:numPr>
          <w:ilvl w:val="0"/>
          <w:numId w:val="1003"/>
        </w:numPr>
      </w:pPr>
      <w:r>
        <w:t xml:space="preserve">Executive Order 14028, Improving the Nation’s Cybersecurity (May 2021)</w:t>
      </w:r>
    </w:p>
    <w:p>
      <w:pPr>
        <w:pStyle w:val="FirstParagraph"/>
      </w:pPr>
      <w:r>
        <w:rPr>
          <w:b/>
          <w:bCs/>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pStyle w:val="Compact"/>
        <w:numPr>
          <w:ilvl w:val="0"/>
          <w:numId w:val="1004"/>
        </w:numPr>
      </w:pPr>
      <w:r>
        <w:t xml:space="preserve">Protect the confidentiality, integrity, and availability of citizen PII</w:t>
      </w:r>
      <w:r>
        <w:t xml:space="preserve"> </w:t>
      </w:r>
      <w:r>
        <w:t xml:space="preserve">and benefit payment data</w:t>
      </w:r>
    </w:p>
    <w:p>
      <w:pPr>
        <w:pStyle w:val="Compact"/>
        <w:numPr>
          <w:ilvl w:val="0"/>
          <w:numId w:val="1004"/>
        </w:numPr>
      </w:pPr>
      <w:r>
        <w:t xml:space="preserve">Maintain continuous FedRAMP Moderate authorization across all cloud</w:t>
      </w:r>
      <w:r>
        <w:t xml:space="preserve"> </w:t>
      </w:r>
      <w:r>
        <w:t xml:space="preserve">service offerings used to deliver [MISSION FUNCTIONS]</w:t>
      </w:r>
    </w:p>
    <w:p>
      <w:pPr>
        <w:pStyle w:val="Compact"/>
        <w:numPr>
          <w:ilvl w:val="0"/>
          <w:numId w:val="1004"/>
        </w:numPr>
      </w:pPr>
      <w:r>
        <w:t xml:space="preserve">Achieve and sustain KSI scores meeting the FedRAMP 20x Authorize</w:t>
      </w:r>
      <w:r>
        <w:t xml:space="preserve"> </w:t>
      </w:r>
      <w:r>
        <w:t xml:space="preserve">threshold across all 10 KSI themes by [DATE]</w:t>
      </w:r>
    </w:p>
    <w:p>
      <w:pPr>
        <w:pStyle w:val="Compact"/>
        <w:numPr>
          <w:ilvl w:val="0"/>
          <w:numId w:val="1004"/>
        </w:numPr>
      </w:pPr>
      <w:r>
        <w:t xml:space="preserve">Satisfy the BOD 26-04 SBOM/VDR/VER requirement by December 7, 2026</w:t>
      </w:r>
    </w:p>
    <w:p>
      <w:pPr>
        <w:pStyle w:val="FirstParagraph"/>
      </w:pPr>
      <w:r>
        <w:rPr>
          <w:b/>
          <w:bCs/>
        </w:rPr>
        <w:t xml:space="preserve">Section 4 — Program Resources and Budget</w:t>
      </w:r>
    </w:p>
    <w:p>
      <w:pPr>
        <w:pStyle w:val="BlockText"/>
      </w:pPr>
      <w:r>
        <w:t xml:space="preserve">[FILLABLE] Security program resources are allocated as follows:</w:t>
      </w:r>
    </w:p>
    <w:tbl>
      <w:tblPr>
        <w:tblStyle w:val="Table"/>
        <w:tblW w:type="pct" w:w="5000"/>
        <w:tblLayout w:type="fixed"/>
        <w:tblLook w:firstRow="1" w:lastRow="0" w:firstColumn="0" w:lastColumn="0" w:noHBand="0" w:noVBand="0" w:val="0020"/>
      </w:tblPr>
      <w:tblGrid>
        <w:gridCol w:w="3099"/>
        <w:gridCol w:w="3615"/>
        <w:gridCol w:w="1205"/>
      </w:tblGrid>
      <w:tr>
        <w:trPr>
          <w:tblHeader w:val="on"/>
        </w:trPr>
        <w:tc>
          <w:tcPr/>
          <w:p>
            <w:pPr>
              <w:pStyle w:val="Compact"/>
            </w:pPr>
            <w:r>
              <w:t xml:space="preserve">Resource Category</w:t>
            </w:r>
          </w:p>
        </w:tc>
        <w:tc>
          <w:tcPr/>
          <w:p>
            <w:pPr>
              <w:pStyle w:val="Compact"/>
            </w:pPr>
            <w:r>
              <w:t xml:space="preserve">FY[YEAR] Allocation</w:t>
            </w:r>
          </w:p>
        </w:tc>
        <w:tc>
          <w:tcPr/>
          <w:p>
            <w:pPr>
              <w:pStyle w:val="Compact"/>
            </w:pPr>
            <w:r>
              <w:t xml:space="preserve">Notes</w:t>
            </w:r>
          </w:p>
        </w:tc>
      </w:tr>
      <w:tr>
        <w:tc>
          <w:tcPr/>
          <w:p>
            <w:pPr>
              <w:pStyle w:val="Compact"/>
            </w:pPr>
            <w:r>
              <w:t xml:space="preserve">FTE (security staff)</w:t>
            </w:r>
          </w:p>
        </w:tc>
        <w:tc>
          <w:tcPr/>
          <w:p>
            <w:pPr>
              <w:pStyle w:val="Compact"/>
            </w:pPr>
            <w:r>
              <w:t xml:space="preserve">[N FTE]</w:t>
            </w:r>
          </w:p>
        </w:tc>
        <w:tc>
          <w:tcPr/>
          <w:p>
            <w:pPr>
              <w:pStyle w:val="Compact"/>
            </w:pPr>
            <w:r>
              <w:t xml:space="preserve">ISSO, Security Architect, DevSecOps</w:t>
            </w:r>
          </w:p>
        </w:tc>
      </w:tr>
      <w:tr>
        <w:tc>
          <w:tcPr/>
          <w:p>
            <w:pPr>
              <w:pStyle w:val="Compact"/>
            </w:pPr>
            <w:r>
              <w:t xml:space="preserve">Tools and licensing</w:t>
            </w:r>
          </w:p>
        </w:tc>
        <w:tc>
          <w:tcPr/>
          <w:p>
            <w:pPr>
              <w:pStyle w:val="Compact"/>
            </w:pPr>
            <w:r>
              <w:t xml:space="preserve">$[AMOUNT]</w:t>
            </w:r>
          </w:p>
        </w:tc>
        <w:tc>
          <w:tcPr/>
          <w:p>
            <w:pPr>
              <w:pStyle w:val="Compact"/>
            </w:pPr>
            <w:r>
              <w:t xml:space="preserve">SIEM, vulnerability scanning, SBOM tooling</w:t>
            </w:r>
          </w:p>
        </w:tc>
      </w:tr>
      <w:tr>
        <w:tc>
          <w:tcPr/>
          <w:p>
            <w:pPr>
              <w:pStyle w:val="Compact"/>
            </w:pPr>
            <w:r>
              <w:t xml:space="preserve">Training and certification</w:t>
            </w:r>
          </w:p>
        </w:tc>
        <w:tc>
          <w:tcPr/>
          <w:p>
            <w:pPr>
              <w:pStyle w:val="Compact"/>
            </w:pPr>
            <w:r>
              <w:t xml:space="preserve">$[AMOUNT]</w:t>
            </w:r>
          </w:p>
        </w:tc>
        <w:tc>
          <w:tcPr/>
          <w:p>
            <w:pPr>
              <w:pStyle w:val="Compact"/>
            </w:pPr>
            <w:r>
              <w:t xml:space="preserve">CISSP, FedRAMP training, vendor certs</w:t>
            </w:r>
          </w:p>
        </w:tc>
      </w:tr>
      <w:tr>
        <w:tc>
          <w:tcPr/>
          <w:p>
            <w:pPr>
              <w:pStyle w:val="Compact"/>
            </w:pPr>
            <w:r>
              <w:t xml:space="preserve">Third-party assessment (3PAO)</w:t>
            </w:r>
          </w:p>
        </w:tc>
        <w:tc>
          <w:tcPr/>
          <w:p>
            <w:pPr>
              <w:pStyle w:val="Compact"/>
            </w:pPr>
            <w:r>
              <w:t xml:space="preserve">$[AMOUNT]</w:t>
            </w:r>
          </w:p>
        </w:tc>
        <w:tc>
          <w:tcPr/>
          <w:p>
            <w:pPr>
              <w:pStyle w:val="Compact"/>
            </w:pPr>
            <w:r>
              <w:t xml:space="preserve">Annual assessment + readiness review</w:t>
            </w:r>
          </w:p>
        </w:tc>
      </w:tr>
      <w:tr>
        <w:tc>
          <w:tcPr/>
          <w:p>
            <w:pPr>
              <w:pStyle w:val="Compact"/>
            </w:pPr>
            <w:r>
              <w:t xml:space="preserve">Contingency / incident response</w:t>
            </w:r>
          </w:p>
        </w:tc>
        <w:tc>
          <w:tcPr/>
          <w:p>
            <w:pPr>
              <w:pStyle w:val="Compact"/>
            </w:pPr>
            <w:r>
              <w:t xml:space="preserve">$[AMOUNT]</w:t>
            </w:r>
          </w:p>
        </w:tc>
        <w:tc>
          <w:tcPr/>
          <w:p>
            <w:pPr>
              <w:pStyle w:val="Compact"/>
            </w:pPr>
            <w:r>
              <w:t xml:space="preserve">IR retainer + tabletop exercises</w:t>
            </w:r>
          </w:p>
        </w:tc>
      </w:tr>
    </w:tbl>
    <w:bookmarkEnd w:id="19"/>
    <w:bookmarkEnd w:id="20"/>
    <w:bookmarkStart w:id="21" w:name="enterprise-architecture-integration-pm-7"/>
    <w:p>
      <w:pPr>
        <w:pStyle w:val="Heading2"/>
      </w:pPr>
      <w:r>
        <w:t xml:space="preserve">2.2 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
          <w:bCs/>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
          <w:bCs/>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pStyle w:val="Compact"/>
        <w:numPr>
          <w:ilvl w:val="0"/>
          <w:numId w:val="1005"/>
        </w:numPr>
      </w:pPr>
      <w:r>
        <w:rPr>
          <w:b/>
          <w:bCs/>
        </w:rPr>
        <w:t xml:space="preserve">Concept</w:t>
      </w:r>
      <w:r>
        <w:t xml:space="preserve"> </w:t>
      </w:r>
      <w:r>
        <w:t xml:space="preserve">— security classification, boundary definition, data flow</w:t>
      </w:r>
    </w:p>
    <w:p>
      <w:pPr>
        <w:pStyle w:val="Compact"/>
        <w:numPr>
          <w:ilvl w:val="0"/>
          <w:numId w:val="1005"/>
        </w:numPr>
      </w:pPr>
      <w:r>
        <w:rPr>
          <w:b/>
          <w:bCs/>
        </w:rPr>
        <w:t xml:space="preserve">Design</w:t>
      </w:r>
      <w:r>
        <w:t xml:space="preserve"> </w:t>
      </w:r>
      <w:r>
        <w:t xml:space="preserve">— control selection, threat modeling, SBOM requirement binding</w:t>
      </w:r>
    </w:p>
    <w:p>
      <w:pPr>
        <w:pStyle w:val="Compact"/>
        <w:numPr>
          <w:ilvl w:val="0"/>
          <w:numId w:val="1005"/>
        </w:numPr>
      </w:pPr>
      <w:r>
        <w:rPr>
          <w:b/>
          <w:bCs/>
        </w:rPr>
        <w:t xml:space="preserve">Build</w:t>
      </w:r>
      <w:r>
        <w:t xml:space="preserve"> </w:t>
      </w:r>
      <w:r>
        <w:t xml:space="preserve">— security testing requirements, SBOM generation, CI gates</w:t>
      </w:r>
    </w:p>
    <w:p>
      <w:pPr>
        <w:pStyle w:val="Compact"/>
        <w:numPr>
          <w:ilvl w:val="0"/>
          <w:numId w:val="1005"/>
        </w:numPr>
      </w:pPr>
      <w:r>
        <w:rPr>
          <w:b/>
          <w:bCs/>
        </w:rPr>
        <w:t xml:space="preserve">Deploy</w:t>
      </w:r>
      <w:r>
        <w:t xml:space="preserve"> </w:t>
      </w:r>
      <w:r>
        <w:t xml:space="preserve">— ATO/P-ATO check, SBOM/VDR submission, KSI baseline</w:t>
      </w:r>
    </w:p>
    <w:p>
      <w:pPr>
        <w:pStyle w:val="Compact"/>
        <w:numPr>
          <w:ilvl w:val="0"/>
          <w:numId w:val="1005"/>
        </w:numPr>
      </w:pPr>
      <w:r>
        <w:rPr>
          <w:b/>
          <w:bCs/>
        </w:rPr>
        <w:t xml:space="preserve">Operate</w:t>
      </w:r>
      <w:r>
        <w:t xml:space="preserve"> </w:t>
      </w:r>
      <w:r>
        <w:t xml:space="preserve">— continuous monitoring, annual assessment, POA&amp;M management</w:t>
      </w:r>
    </w:p>
    <w:p>
      <w:pPr>
        <w:pStyle w:val="FirstParagraph"/>
      </w:pPr>
      <w:r>
        <w:rPr>
          <w:b/>
          <w:bCs/>
        </w:rPr>
        <w:t xml:space="preserve">EA Artifacts That Reference Security Architecture:</w:t>
      </w:r>
    </w:p>
    <w:p>
      <w:pPr>
        <w:pStyle w:val="Compact"/>
        <w:numPr>
          <w:ilvl w:val="0"/>
          <w:numId w:val="1006"/>
        </w:numPr>
      </w:pPr>
      <w:r>
        <w:t xml:space="preserve">Target Architecture Document (TAD) — references AAN Part 1-16 control mappings</w:t>
      </w:r>
    </w:p>
    <w:p>
      <w:pPr>
        <w:pStyle w:val="Compact"/>
        <w:numPr>
          <w:ilvl w:val="0"/>
          <w:numId w:val="1006"/>
        </w:numPr>
      </w:pPr>
      <w:r>
        <w:t xml:space="preserve">Data Architecture — references Part 12 (Purview/CMK) for data-at-rest controls</w:t>
      </w:r>
    </w:p>
    <w:p>
      <w:pPr>
        <w:pStyle w:val="Compact"/>
        <w:numPr>
          <w:ilvl w:val="0"/>
          <w:numId w:val="1006"/>
        </w:numPr>
      </w:pPr>
      <w:r>
        <w:t xml:space="preserve">Network Architecture — references Part 1-6, 9 for network security</w:t>
      </w:r>
    </w:p>
    <w:bookmarkEnd w:id="21"/>
    <w:bookmarkStart w:id="23" w:name="Xd0af50a3aadb5a78babad0afeac67d3d9549b2b"/>
    <w:p>
      <w:pPr>
        <w:pStyle w:val="Heading2"/>
      </w:pPr>
      <w:r>
        <w:t xml:space="preserve">2.3 Mission and Business Process Definition (PM-11)</w:t>
      </w:r>
    </w:p>
    <w:bookmarkStart w:id="22" w:name="critical-mission-functions"/>
    <w:p>
      <w:pPr>
        <w:pStyle w:val="Heading3"/>
      </w:pPr>
      <w:r>
        <w:t xml:space="preserve">2.3.1 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ayout w:type="fixed"/>
        <w:tblLook w:firstRow="1" w:lastRow="0" w:firstColumn="0" w:lastColumn="0" w:noHBand="0" w:noVBand="0" w:val="0020"/>
      </w:tblPr>
      <w:tblGrid>
        <w:gridCol w:w="1980"/>
        <w:gridCol w:w="2212"/>
        <w:gridCol w:w="2562"/>
        <w:gridCol w:w="582"/>
        <w:gridCol w:w="582"/>
      </w:tblGrid>
      <w:tr>
        <w:trPr>
          <w:tblHeader w:val="on"/>
        </w:trPr>
        <w:tc>
          <w:tcPr/>
          <w:p>
            <w:pPr>
              <w:pStyle w:val="Compact"/>
            </w:pPr>
            <w:r>
              <w:t xml:space="preserve">Mission Function</w:t>
            </w:r>
          </w:p>
        </w:tc>
        <w:tc>
          <w:tcPr/>
          <w:p>
            <w:pPr>
              <w:pStyle w:val="Compact"/>
            </w:pPr>
            <w:r>
              <w:t xml:space="preserve">System Dependency</w:t>
            </w:r>
          </w:p>
        </w:tc>
        <w:tc>
          <w:tcPr/>
          <w:p>
            <w:pPr>
              <w:pStyle w:val="Compact"/>
            </w:pPr>
            <w:r>
              <w:t xml:space="preserve">Impact if Unavailable</w:t>
            </w:r>
          </w:p>
        </w:tc>
        <w:tc>
          <w:tcPr/>
          <w:p>
            <w:pPr>
              <w:pStyle w:val="Compact"/>
            </w:pPr>
            <w:r>
              <w:t xml:space="preserve">RTO</w:t>
            </w:r>
          </w:p>
        </w:tc>
        <w:tc>
          <w:tcPr/>
          <w:p>
            <w:pPr>
              <w:pStyle w:val="Compact"/>
            </w:pPr>
            <w:r>
              <w:t xml:space="preserve">RPO</w:t>
            </w:r>
          </w:p>
        </w:tc>
      </w:tr>
      <w:tr>
        <w:tc>
          <w:tcPr/>
          <w:p>
            <w:pPr>
              <w:pStyle w:val="Compact"/>
            </w:pPr>
            <w:r>
              <w:t xml:space="preserve">Benefit payment disbursement</w:t>
            </w:r>
          </w:p>
        </w:tc>
        <w:tc>
          <w:tcPr/>
          <w:p>
            <w:pPr>
              <w:pStyle w:val="Compact"/>
            </w:pPr>
            <w:r>
              <w:t xml:space="preserve">[SYSTEM]</w:t>
            </w:r>
          </w:p>
        </w:tc>
        <w:tc>
          <w:tcPr/>
          <w:p>
            <w:pPr>
              <w:pStyle w:val="Compact"/>
            </w:pPr>
            <w:r>
              <w:t xml:space="preserve">Direct citizen harm</w:t>
            </w:r>
          </w:p>
        </w:tc>
        <w:tc>
          <w:tcPr/>
          <w:p>
            <w:pPr>
              <w:pStyle w:val="Compact"/>
            </w:pPr>
            <w:r>
              <w:t xml:space="preserve">4h</w:t>
            </w:r>
          </w:p>
        </w:tc>
        <w:tc>
          <w:tcPr/>
          <w:p>
            <w:pPr>
              <w:pStyle w:val="Compact"/>
            </w:pPr>
            <w:r>
              <w:t xml:space="preserve">1h</w:t>
            </w:r>
          </w:p>
        </w:tc>
      </w:tr>
      <w:tr>
        <w:tc>
          <w:tcPr/>
          <w:p>
            <w:pPr>
              <w:pStyle w:val="Compact"/>
            </w:pPr>
            <w:r>
              <w:t xml:space="preserve">Disability determination</w:t>
            </w:r>
          </w:p>
        </w:tc>
        <w:tc>
          <w:tcPr/>
          <w:p>
            <w:pPr>
              <w:pStyle w:val="Compact"/>
            </w:pPr>
            <w:r>
              <w:t xml:space="preserve">[SYSTEM]</w:t>
            </w:r>
          </w:p>
        </w:tc>
        <w:tc>
          <w:tcPr/>
          <w:p>
            <w:pPr>
              <w:pStyle w:val="Compact"/>
            </w:pPr>
            <w:r>
              <w:t xml:space="preserve">Service delay</w:t>
            </w:r>
          </w:p>
        </w:tc>
        <w:tc>
          <w:tcPr/>
          <w:p>
            <w:pPr>
              <w:pStyle w:val="Compact"/>
            </w:pPr>
            <w:r>
              <w:t xml:space="preserve">24h</w:t>
            </w:r>
          </w:p>
        </w:tc>
        <w:tc>
          <w:tcPr/>
          <w:p>
            <w:pPr>
              <w:pStyle w:val="Compact"/>
            </w:pPr>
            <w:r>
              <w:t xml:space="preserve">4h</w:t>
            </w:r>
          </w:p>
        </w:tc>
      </w:tr>
      <w:tr>
        <w:tc>
          <w:tcPr/>
          <w:p>
            <w:pPr>
              <w:pStyle w:val="Compact"/>
            </w:pPr>
            <w:r>
              <w:t xml:space="preserve">Online account services (my Social Security)</w:t>
            </w:r>
          </w:p>
        </w:tc>
        <w:tc>
          <w:tcPr/>
          <w:p>
            <w:pPr>
              <w:pStyle w:val="Compact"/>
            </w:pPr>
            <w:r>
              <w:t xml:space="preserve">[SYSTEM]</w:t>
            </w:r>
          </w:p>
        </w:tc>
        <w:tc>
          <w:tcPr/>
          <w:p>
            <w:pPr>
              <w:pStyle w:val="Compact"/>
            </w:pPr>
            <w:r>
              <w:t xml:space="preserve">Service degradation</w:t>
            </w:r>
          </w:p>
        </w:tc>
        <w:tc>
          <w:tcPr/>
          <w:p>
            <w:pPr>
              <w:pStyle w:val="Compact"/>
            </w:pPr>
            <w:r>
              <w:t xml:space="preserve">8h</w:t>
            </w:r>
          </w:p>
        </w:tc>
        <w:tc>
          <w:tcPr/>
          <w:p>
            <w:pPr>
              <w:pStyle w:val="Compact"/>
            </w:pPr>
            <w:r>
              <w:t xml:space="preserve">2h</w:t>
            </w:r>
          </w:p>
        </w:tc>
      </w:tr>
      <w:tr>
        <w:tc>
          <w:tcPr/>
          <w:p>
            <w:pPr>
              <w:pStyle w:val="Compact"/>
            </w:pPr>
            <w:r>
              <w:t xml:space="preserve">Contact center CRM</w:t>
            </w:r>
          </w:p>
        </w:tc>
        <w:tc>
          <w:tcPr/>
          <w:p>
            <w:pPr>
              <w:pStyle w:val="Compact"/>
            </w:pPr>
            <w:r>
              <w:t xml:space="preserve">[SYSTEM]</w:t>
            </w:r>
          </w:p>
        </w:tc>
        <w:tc>
          <w:tcPr/>
          <w:p>
            <w:pPr>
              <w:pStyle w:val="Compact"/>
            </w:pPr>
            <w:r>
              <w:t xml:space="preserve">Citizen service impact</w:t>
            </w:r>
          </w:p>
        </w:tc>
        <w:tc>
          <w:tcPr/>
          <w:p>
            <w:pPr>
              <w:pStyle w:val="Compact"/>
            </w:pPr>
            <w:r>
              <w:t xml:space="preserve">4h</w:t>
            </w:r>
          </w:p>
        </w:tc>
        <w:tc>
          <w:tcPr/>
          <w:p>
            <w:pPr>
              <w:pStyle w:val="Compac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22"/>
    <w:bookmarkEnd w:id="23"/>
    <w:bookmarkEnd w:id="24"/>
    <w:bookmarkStart w:id="28" w:name="Xc20d35fd8033d8726b77cf682068ef9b4ad18d8"/>
    <w:p>
      <w:pPr>
        <w:pStyle w:val="Heading1"/>
      </w:pPr>
      <w:r>
        <w:t xml:space="preserve">3. Program Leadership and Accountability (PM-2)</w:t>
      </w:r>
    </w:p>
    <w:bookmarkStart w:id="27" w:name="security-leadership-raci"/>
    <w:p>
      <w:pPr>
        <w:pStyle w:val="Heading2"/>
      </w:pPr>
      <w:r>
        <w:t xml:space="preserve">3.1 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25" w:name="role-definitions"/>
    <w:p>
      <w:pPr>
        <w:pStyle w:val="Heading3"/>
      </w:pPr>
      <w:r>
        <w:t xml:space="preserve">3.1.1 Role Definitions</w:t>
      </w:r>
    </w:p>
    <w:tbl>
      <w:tblPr>
        <w:tblStyle w:val="Table"/>
        <w:tblW w:type="pct" w:w="5000"/>
        <w:tblLayout w:type="fixed"/>
        <w:tblLook w:firstRow="1" w:lastRow="0" w:firstColumn="0" w:lastColumn="0" w:noHBand="0" w:noVBand="0" w:val="0020"/>
      </w:tblPr>
      <w:tblGrid>
        <w:gridCol w:w="1584"/>
        <w:gridCol w:w="1848"/>
        <w:gridCol w:w="4488"/>
      </w:tblGrid>
      <w:tr>
        <w:trPr>
          <w:tblHeader w:val="on"/>
        </w:trPr>
        <w:tc>
          <w:tcPr/>
          <w:p>
            <w:pPr>
              <w:pStyle w:val="Compact"/>
            </w:pPr>
            <w:r>
              <w:t xml:space="preserve">Role</w:t>
            </w:r>
          </w:p>
        </w:tc>
        <w:tc>
          <w:tcPr/>
          <w:p>
            <w:pPr>
              <w:pStyle w:val="Compact"/>
            </w:pPr>
            <w:r>
              <w:t xml:space="preserve">Title</w:t>
            </w:r>
          </w:p>
        </w:tc>
        <w:tc>
          <w:tcPr/>
          <w:p>
            <w:pPr>
              <w:pStyle w:val="Compact"/>
            </w:pPr>
            <w:r>
              <w:t xml:space="preserve">Responsibilities</w:t>
            </w:r>
          </w:p>
        </w:tc>
      </w:tr>
      <w:tr>
        <w:tc>
          <w:tcPr/>
          <w:p>
            <w:pPr>
              <w:pStyle w:val="Compact"/>
            </w:pPr>
            <w:r>
              <w:rPr>
                <w:b/>
                <w:bCs/>
              </w:rPr>
              <w:t xml:space="preserve">AO</w:t>
            </w:r>
          </w:p>
        </w:tc>
        <w:tc>
          <w:tcPr/>
          <w:p>
            <w:pPr>
              <w:pStyle w:val="Compact"/>
            </w:pPr>
            <w:r>
              <w:t xml:space="preserve">Authorizing Official</w:t>
            </w:r>
          </w:p>
        </w:tc>
        <w:tc>
          <w:tcPr/>
          <w:p>
            <w:pPr>
              <w:pStyle w:val="Compact"/>
            </w:pPr>
            <w:r>
              <w:t xml:space="preserve">Accepts organizational risk; signs ATO</w:t>
            </w:r>
          </w:p>
        </w:tc>
      </w:tr>
      <w:tr>
        <w:tc>
          <w:tcPr/>
          <w:p>
            <w:pPr>
              <w:pStyle w:val="Compact"/>
            </w:pPr>
            <w:r>
              <w:rPr>
                <w:b/>
                <w:bCs/>
              </w:rPr>
              <w:t xml:space="preserve">SAISO/CISO</w:t>
            </w:r>
          </w:p>
        </w:tc>
        <w:tc>
          <w:tcPr/>
          <w:p>
            <w:pPr>
              <w:pStyle w:val="Compact"/>
            </w:pPr>
            <w:r>
              <w:t xml:space="preserve">Chief Information Security Officer</w:t>
            </w:r>
          </w:p>
        </w:tc>
        <w:tc>
          <w:tcPr/>
          <w:p>
            <w:pPr>
              <w:pStyle w:val="Compact"/>
            </w:pPr>
            <w:r>
              <w:t xml:space="preserve">Owns the ISPP; chairs Security Council</w:t>
            </w:r>
          </w:p>
        </w:tc>
      </w:tr>
      <w:tr>
        <w:tc>
          <w:tcPr/>
          <w:p>
            <w:pPr>
              <w:pStyle w:val="Compact"/>
            </w:pPr>
            <w:r>
              <w:rPr>
                <w:b/>
                <w:bCs/>
              </w:rPr>
              <w:t xml:space="preserve">ISSO</w:t>
            </w:r>
          </w:p>
        </w:tc>
        <w:tc>
          <w:tcPr/>
          <w:p>
            <w:pPr>
              <w:pStyle w:val="Compact"/>
            </w:pPr>
            <w:r>
              <w:t xml:space="preserve">Information System Security Officer</w:t>
            </w:r>
          </w:p>
        </w:tc>
        <w:tc>
          <w:tcPr/>
          <w:p>
            <w:pPr>
              <w:pStyle w:val="Compact"/>
            </w:pPr>
            <w:r>
              <w:t xml:space="preserve">Day-to-day control operation; POA&amp;M</w:t>
            </w:r>
          </w:p>
        </w:tc>
      </w:tr>
      <w:tr>
        <w:tc>
          <w:tcPr/>
          <w:p>
            <w:pPr>
              <w:pStyle w:val="Compact"/>
            </w:pPr>
            <w:r>
              <w:rPr>
                <w:b/>
                <w:bCs/>
              </w:rPr>
              <w:t xml:space="preserve">AO Rep</w:t>
            </w:r>
          </w:p>
        </w:tc>
        <w:tc>
          <w:tcPr/>
          <w:p>
            <w:pPr>
              <w:pStyle w:val="Compact"/>
            </w:pPr>
            <w:r>
              <w:t xml:space="preserve">AO Representative</w:t>
            </w:r>
          </w:p>
        </w:tc>
        <w:tc>
          <w:tcPr/>
          <w:p>
            <w:pPr>
              <w:pStyle w:val="Compact"/>
            </w:pPr>
            <w:r>
              <w:t xml:space="preserve">Delegates AO oversight functions</w:t>
            </w:r>
          </w:p>
        </w:tc>
      </w:tr>
      <w:tr>
        <w:tc>
          <w:tcPr/>
          <w:p>
            <w:pPr>
              <w:pStyle w:val="Compact"/>
            </w:pPr>
            <w:r>
              <w:rPr>
                <w:b/>
                <w:bCs/>
              </w:rPr>
              <w:t xml:space="preserve">3PAO</w:t>
            </w:r>
          </w:p>
        </w:tc>
        <w:tc>
          <w:tcPr/>
          <w:p>
            <w:pPr>
              <w:pStyle w:val="Compact"/>
            </w:pPr>
            <w:r>
              <w:t xml:space="preserve">Third-Party Assessment Organization</w:t>
            </w:r>
          </w:p>
        </w:tc>
        <w:tc>
          <w:tcPr/>
          <w:p>
            <w:pPr>
              <w:pStyle w:val="Compact"/>
            </w:pPr>
            <w:r>
              <w:t xml:space="preserve">Annual security assessment</w:t>
            </w:r>
          </w:p>
        </w:tc>
      </w:tr>
      <w:tr>
        <w:tc>
          <w:tcPr/>
          <w:p>
            <w:pPr>
              <w:pStyle w:val="Compact"/>
            </w:pPr>
            <w:r>
              <w:rPr>
                <w:b/>
                <w:bCs/>
              </w:rPr>
              <w:t xml:space="preserve">Privacy Officer</w:t>
            </w:r>
          </w:p>
        </w:tc>
        <w:tc>
          <w:tcPr/>
          <w:p>
            <w:pPr>
              <w:pStyle w:val="Compact"/>
            </w:pPr>
            <w:r>
              <w:t xml:space="preserve">Privacy Program Manager</w:t>
            </w:r>
          </w:p>
        </w:tc>
        <w:tc>
          <w:tcPr/>
          <w:p>
            <w:pPr>
              <w:pStyle w:val="Compact"/>
            </w:pPr>
            <w:r>
              <w:t xml:space="preserve">PT controls; Privacy Impact Assessments</w:t>
            </w:r>
          </w:p>
        </w:tc>
      </w:tr>
      <w:tr>
        <w:tc>
          <w:tcPr/>
          <w:p>
            <w:pPr>
              <w:pStyle w:val="Compact"/>
            </w:pPr>
            <w:r>
              <w:rPr>
                <w:b/>
                <w:bCs/>
              </w:rPr>
              <w:t xml:space="preserve">DevSecOps Lead</w:t>
            </w:r>
          </w:p>
        </w:tc>
        <w:tc>
          <w:tcPr/>
          <w:p>
            <w:pPr>
              <w:pStyle w:val="Compact"/>
            </w:pPr>
            <w:r>
              <w:t xml:space="preserve">DevSecOps Team Lead</w:t>
            </w:r>
          </w:p>
        </w:tc>
        <w:tc>
          <w:tcPr/>
          <w:p>
            <w:pPr>
              <w:pStyle w:val="Compact"/>
            </w:pPr>
            <w:r>
              <w:t xml:space="preserve">CI/CD security gates; SBOM pipeline</w:t>
            </w:r>
          </w:p>
        </w:tc>
      </w:tr>
      <w:tr>
        <w:tc>
          <w:tcPr/>
          <w:p>
            <w:pPr>
              <w:pStyle w:val="Compact"/>
            </w:pPr>
            <w:r>
              <w:rPr>
                <w:b/>
                <w:bCs/>
              </w:rPr>
              <w:t xml:space="preserve">SOC Lead</w:t>
            </w:r>
          </w:p>
        </w:tc>
        <w:tc>
          <w:tcPr/>
          <w:p>
            <w:pPr>
              <w:pStyle w:val="Compact"/>
            </w:pPr>
            <w:r>
              <w:t xml:space="preserve">Security Operations Center Lead</w:t>
            </w:r>
          </w:p>
        </w:tc>
        <w:tc>
          <w:tcPr/>
          <w:p>
            <w:pPr>
              <w:pStyle w:val="Compact"/>
            </w:pPr>
            <w:r>
              <w:t xml:space="preserve">Sentinel monitoring; incident response</w:t>
            </w:r>
          </w:p>
        </w:tc>
      </w:tr>
    </w:tbl>
    <w:bookmarkEnd w:id="25"/>
    <w:bookmarkStart w:id="26" w:name="raci-matrix-key-program-activities"/>
    <w:p>
      <w:pPr>
        <w:pStyle w:val="Heading3"/>
      </w:pPr>
      <w:r>
        <w:t xml:space="preserve">3.1.2 RACI Matrix — Key Program Activities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Activity</w:t>
            </w:r>
          </w:p>
        </w:tc>
        <w:tc>
          <w:tcPr/>
          <w:p>
            <w:pPr>
              <w:pStyle w:val="Compact"/>
            </w:pPr>
            <w:r>
              <w:t xml:space="preserve">AO</w:t>
            </w:r>
          </w:p>
        </w:tc>
        <w:tc>
          <w:tcPr/>
          <w:p>
            <w:pPr>
              <w:pStyle w:val="Compact"/>
            </w:pPr>
            <w:r>
              <w:t xml:space="preserve">CISO</w:t>
            </w:r>
          </w:p>
        </w:tc>
        <w:tc>
          <w:tcPr/>
          <w:p>
            <w:pPr>
              <w:pStyle w:val="Compact"/>
            </w:pPr>
            <w:r>
              <w:t xml:space="preserve">ISSO</w:t>
            </w:r>
          </w:p>
        </w:tc>
        <w:tc>
          <w:tcPr/>
          <w:p>
            <w:pPr>
              <w:pStyle w:val="Compact"/>
            </w:pPr>
            <w:r>
              <w:t xml:space="preserve">DevSecOps</w:t>
            </w:r>
          </w:p>
        </w:tc>
        <w:tc>
          <w:tcPr/>
          <w:p>
            <w:pPr>
              <w:pStyle w:val="Compact"/>
            </w:pPr>
            <w:r>
              <w:t xml:space="preserve">SOC</w:t>
            </w:r>
          </w:p>
        </w:tc>
        <w:tc>
          <w:tcPr/>
          <w:p>
            <w:pPr>
              <w:pStyle w:val="Compact"/>
            </w:pPr>
            <w:r>
              <w:t xml:space="preserve">Privacy</w:t>
            </w:r>
          </w:p>
        </w:tc>
      </w:tr>
      <w:tr>
        <w:tc>
          <w:tcPr/>
          <w:p>
            <w:pPr>
              <w:pStyle w:val="Compact"/>
            </w:pPr>
            <w:r>
              <w:t xml:space="preserve">ATO decision</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Annual security assessment</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POA&amp;M management</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Incident response</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SBOM/VDR submission (BOD 26-04)</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KSI continuous monitoring</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r>
        <w:tc>
          <w:tcPr/>
          <w:p>
            <w:pPr>
              <w:pStyle w:val="Compact"/>
            </w:pPr>
            <w:r>
              <w:t xml:space="preserve">Privacy Impact Assessment</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Security training</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26"/>
    <w:bookmarkEnd w:id="27"/>
    <w:bookmarkEnd w:id="28"/>
    <w:bookmarkStart w:id="32" w:name="system-inventory-framework-pm-5"/>
    <w:p>
      <w:pPr>
        <w:pStyle w:val="Heading1"/>
      </w:pPr>
      <w:r>
        <w:t xml:space="preserve">4. System Inventory Framework (PM-5)</w:t>
      </w:r>
    </w:p>
    <w:bookmarkStart w:id="29" w:name="inventory-requirements"/>
    <w:p>
      <w:pPr>
        <w:pStyle w:val="Heading2"/>
      </w:pPr>
      <w:r>
        <w:t xml:space="preserve">4.1 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29"/>
    <w:bookmarkStart w:id="30" w:name="automation-approach"/>
    <w:p>
      <w:pPr>
        <w:pStyle w:val="Heading2"/>
      </w:pPr>
      <w:r>
        <w:t xml:space="preserve">4.2 Automation Approach</w:t>
      </w:r>
    </w:p>
    <w:p>
      <w:pPr>
        <w:pStyle w:val="FirstParagraph"/>
      </w:pPr>
      <w:r>
        <w:t xml:space="preserve">The SSA system inventory is maintained through a three-layer approach:</w:t>
      </w:r>
    </w:p>
    <w:p>
      <w:pPr>
        <w:pStyle w:val="BodyText"/>
      </w:pPr>
      <w:r>
        <w:rPr>
          <w:b/>
          <w:bCs/>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
          <w:bCs/>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
          <w:bCs/>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0"/>
    <w:bookmarkStart w:id="31" w:name="inventory-template"/>
    <w:p>
      <w:pPr>
        <w:pStyle w:val="Heading2"/>
      </w:pPr>
      <w:r>
        <w:t xml:space="preserve">4.3 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ayout w:type="fixed"/>
        <w:tblLook w:firstRow="1" w:lastRow="0" w:firstColumn="0" w:lastColumn="0" w:noHBand="0" w:noVBand="0" w:val="0020"/>
      </w:tblPr>
      <w:tblGrid>
        <w:gridCol w:w="1354"/>
        <w:gridCol w:w="1667"/>
        <w:gridCol w:w="625"/>
        <w:gridCol w:w="1042"/>
        <w:gridCol w:w="729"/>
        <w:gridCol w:w="937"/>
        <w:gridCol w:w="1563"/>
      </w:tblGrid>
      <w:tr>
        <w:trPr>
          <w:tblHeader w:val="on"/>
        </w:trPr>
        <w:tc>
          <w:tcPr/>
          <w:p>
            <w:pPr>
              <w:pStyle w:val="Compact"/>
            </w:pPr>
            <w:r>
              <w:t xml:space="preserve">Component ID</w:t>
            </w:r>
          </w:p>
        </w:tc>
        <w:tc>
          <w:tcPr/>
          <w:p>
            <w:pPr>
              <w:pStyle w:val="Compact"/>
            </w:pPr>
            <w:r>
              <w:t xml:space="preserve">Component Name</w:t>
            </w:r>
          </w:p>
        </w:tc>
        <w:tc>
          <w:tcPr/>
          <w:p>
            <w:pPr>
              <w:pStyle w:val="Compact"/>
            </w:pPr>
            <w:r>
              <w:t xml:space="preserve">Type</w:t>
            </w:r>
          </w:p>
        </w:tc>
        <w:tc>
          <w:tcPr/>
          <w:p>
            <w:pPr>
              <w:pStyle w:val="Compact"/>
            </w:pPr>
            <w:r>
              <w:t xml:space="preserve">Location</w:t>
            </w:r>
          </w:p>
        </w:tc>
        <w:tc>
          <w:tcPr/>
          <w:p>
            <w:pPr>
              <w:pStyle w:val="Compact"/>
            </w:pPr>
            <w:r>
              <w:t xml:space="preserve">Owner</w:t>
            </w:r>
          </w:p>
        </w:tc>
        <w:tc>
          <w:tcPr/>
          <w:p>
            <w:pPr>
              <w:pStyle w:val="Compact"/>
            </w:pPr>
            <w:r>
              <w:t xml:space="preserve">SBOM ID</w:t>
            </w:r>
          </w:p>
        </w:tc>
        <w:tc>
          <w:tcPr/>
          <w:p>
            <w:pPr>
              <w:pStyle w:val="Compact"/>
            </w:pPr>
            <w:r>
              <w:t xml:space="preserve">Last Reviewed</w:t>
            </w:r>
          </w:p>
        </w:tc>
      </w:tr>
      <w:tr>
        <w:tc>
          <w:tcPr/>
          <w:p>
            <w:pPr>
              <w:pStyle w:val="Compact"/>
            </w:pPr>
            <w:r>
              <w:t xml:space="preserve">[ID]</w:t>
            </w:r>
          </w:p>
        </w:tc>
        <w:tc>
          <w:tcPr/>
          <w:p>
            <w:pPr>
              <w:pStyle w:val="Compact"/>
            </w:pPr>
            <w:r>
              <w:t xml:space="preserve">[Name]</w:t>
            </w:r>
          </w:p>
        </w:tc>
        <w:tc>
          <w:tcPr/>
          <w:p>
            <w:pPr>
              <w:pStyle w:val="Compact"/>
            </w:pPr>
            <w:r>
              <w:t xml:space="preserve">[Server/Container/SaaS/Network]</w:t>
            </w:r>
          </w:p>
        </w:tc>
        <w:tc>
          <w:tcPr/>
          <w:p>
            <w:pPr>
              <w:pStyle w:val="Compact"/>
            </w:pPr>
            <w:r>
              <w:t xml:space="preserve">[Azure Region]</w:t>
            </w:r>
          </w:p>
        </w:tc>
        <w:tc>
          <w:tcPr/>
          <w:p>
            <w:pPr>
              <w:pStyle w:val="Compact"/>
            </w:pPr>
            <w:r>
              <w:t xml:space="preserve">[Team]</w:t>
            </w:r>
          </w:p>
        </w:tc>
        <w:tc>
          <w:tcPr/>
          <w:p>
            <w:pPr>
              <w:pStyle w:val="Compact"/>
            </w:pPr>
            <w:r>
              <w:t xml:space="preserve">[SHA256]</w:t>
            </w:r>
          </w:p>
        </w:tc>
        <w:tc>
          <w:tcPr/>
          <w:p>
            <w:pPr>
              <w:pStyle w:val="Compact"/>
            </w:pPr>
            <w:r>
              <w:t xml:space="preserve">[Date]</w:t>
            </w:r>
          </w:p>
        </w:tc>
      </w:tr>
    </w:tbl>
    <w:p>
      <w:r>
        <w:pict>
          <v:rect style="width:0;height:1.5pt" o:hralign="center" o:hrstd="t" o:hr="t"/>
        </w:pict>
      </w:r>
    </w:p>
    <w:bookmarkEnd w:id="31"/>
    <w:bookmarkEnd w:id="32"/>
    <w:bookmarkStart w:id="37" w:name="risk-management-strategy-pm-9"/>
    <w:p>
      <w:pPr>
        <w:pStyle w:val="Heading1"/>
      </w:pPr>
      <w:r>
        <w:t xml:space="preserve">5. Risk Management Strategy (PM-9)</w:t>
      </w:r>
    </w:p>
    <w:bookmarkStart w:id="33" w:name="risk-management-framework"/>
    <w:p>
      <w:pPr>
        <w:pStyle w:val="Heading2"/>
      </w:pPr>
      <w:r>
        <w:t xml:space="preserve">5.1 Risk Management Framework</w:t>
      </w:r>
    </w:p>
    <w:p>
      <w:pPr>
        <w:pStyle w:val="FirstParagraph"/>
      </w:pPr>
      <w:r>
        <w:t xml:space="preserve">SSA’s risk management strategy follows NIST SP 800-39 (Managing Information</w:t>
      </w:r>
      <w:r>
        <w:t xml:space="preserve"> </w:t>
      </w:r>
      <w:r>
        <w:t xml:space="preserve">Security Risk) at three tiers:</w:t>
      </w:r>
    </w:p>
    <w:p>
      <w:pPr>
        <w:pStyle w:val="Compact"/>
        <w:numPr>
          <w:ilvl w:val="0"/>
          <w:numId w:val="1007"/>
        </w:numPr>
      </w:pPr>
      <w:r>
        <w:rPr>
          <w:b/>
          <w:bCs/>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pStyle w:val="Compact"/>
        <w:numPr>
          <w:ilvl w:val="0"/>
          <w:numId w:val="1007"/>
        </w:numPr>
      </w:pPr>
      <w:r>
        <w:rPr>
          <w:b/>
          <w:bCs/>
        </w:rPr>
        <w:t xml:space="preserve">Tier 2 (Mission/Process):</w:t>
      </w:r>
      <w:r>
        <w:t xml:space="preserve"> </w:t>
      </w:r>
      <w:r>
        <w:t xml:space="preserve">Risk assessment — enterprise-level risk</w:t>
      </w:r>
      <w:r>
        <w:t xml:space="preserve"> </w:t>
      </w:r>
      <w:r>
        <w:t xml:space="preserve">register maintained by the CISO</w:t>
      </w:r>
    </w:p>
    <w:p>
      <w:pPr>
        <w:pStyle w:val="Compact"/>
        <w:numPr>
          <w:ilvl w:val="0"/>
          <w:numId w:val="1007"/>
        </w:numPr>
      </w:pPr>
      <w:r>
        <w:rPr>
          <w:b/>
          <w:bCs/>
        </w:rPr>
        <w:t xml:space="preserve">Tier 3 (System):</w:t>
      </w:r>
      <w:r>
        <w:t xml:space="preserve"> </w:t>
      </w:r>
      <w:r>
        <w:t xml:space="preserve">Risk response — system-level POA&amp;M, continuous</w:t>
      </w:r>
      <w:r>
        <w:t xml:space="preserve"> </w:t>
      </w:r>
      <w:r>
        <w:t xml:space="preserve">monitoring, authorization decisions</w:t>
      </w:r>
    </w:p>
    <w:bookmarkEnd w:id="33"/>
    <w:bookmarkStart w:id="34" w:name="risk-appetite-statement"/>
    <w:p>
      <w:pPr>
        <w:pStyle w:val="Heading2"/>
      </w:pPr>
      <w:r>
        <w:t xml:space="preserve">5.2 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ayout w:type="fixed"/>
        <w:tblLook w:firstRow="1" w:lastRow="0" w:firstColumn="0" w:lastColumn="0" w:noHBand="0" w:noVBand="0" w:val="0020"/>
      </w:tblPr>
      <w:tblGrid>
        <w:gridCol w:w="3210"/>
        <w:gridCol w:w="2354"/>
        <w:gridCol w:w="2354"/>
      </w:tblGrid>
      <w:tr>
        <w:trPr>
          <w:tblHeader w:val="on"/>
        </w:trPr>
        <w:tc>
          <w:tcPr/>
          <w:p>
            <w:pPr>
              <w:pStyle w:val="Compact"/>
            </w:pPr>
            <w:r>
              <w:t xml:space="preserve">Risk Category</w:t>
            </w:r>
          </w:p>
        </w:tc>
        <w:tc>
          <w:tcPr/>
          <w:p>
            <w:pPr>
              <w:pStyle w:val="Compact"/>
            </w:pPr>
            <w:r>
              <w:t xml:space="preserve">Tolerance</w:t>
            </w:r>
          </w:p>
        </w:tc>
        <w:tc>
          <w:tcPr/>
          <w:p>
            <w:pPr>
              <w:pStyle w:val="Compact"/>
            </w:pPr>
            <w:r>
              <w:t xml:space="preserve">Rationale</w:t>
            </w:r>
          </w:p>
        </w:tc>
      </w:tr>
      <w:tr>
        <w:tc>
          <w:tcPr/>
          <w:p>
            <w:pPr>
              <w:pStyle w:val="Compact"/>
            </w:pPr>
            <w:r>
              <w:t xml:space="preserve">Availability</w:t>
            </w:r>
          </w:p>
        </w:tc>
        <w:tc>
          <w:tcPr/>
          <w:p>
            <w:pPr>
              <w:pStyle w:val="Compact"/>
            </w:pPr>
            <w:r>
              <w:t xml:space="preserve">Low (RTO ≤ 4h for critical)</w:t>
            </w:r>
          </w:p>
        </w:tc>
        <w:tc>
          <w:tcPr/>
          <w:p>
            <w:pPr>
              <w:pStyle w:val="Compact"/>
            </w:pPr>
            <w:r>
              <w:t xml:space="preserve">Benefit payment continuity</w:t>
            </w:r>
          </w:p>
        </w:tc>
      </w:tr>
      <w:tr>
        <w:tc>
          <w:tcPr/>
          <w:p>
            <w:pPr>
              <w:pStyle w:val="Compact"/>
            </w:pPr>
            <w:r>
              <w:t xml:space="preserve">Confidentiality — PII</w:t>
            </w:r>
          </w:p>
        </w:tc>
        <w:tc>
          <w:tcPr/>
          <w:p>
            <w:pPr>
              <w:pStyle w:val="Compact"/>
            </w:pPr>
            <w:r>
              <w:t xml:space="preserve">Very Low</w:t>
            </w:r>
          </w:p>
        </w:tc>
        <w:tc>
          <w:tcPr/>
          <w:p>
            <w:pPr>
              <w:pStyle w:val="Compact"/>
            </w:pPr>
            <w:r>
              <w:t xml:space="preserve">Citizen trust; statutory obligation</w:t>
            </w:r>
          </w:p>
        </w:tc>
      </w:tr>
      <w:tr>
        <w:tc>
          <w:tcPr/>
          <w:p>
            <w:pPr>
              <w:pStyle w:val="Compact"/>
            </w:pPr>
            <w:r>
              <w:t xml:space="preserve">Confidentiality — Internal</w:t>
            </w:r>
          </w:p>
        </w:tc>
        <w:tc>
          <w:tcPr/>
          <w:p>
            <w:pPr>
              <w:pStyle w:val="Compact"/>
            </w:pPr>
            <w:r>
              <w:t xml:space="preserve">Moderate</w:t>
            </w:r>
          </w:p>
        </w:tc>
        <w:tc>
          <w:tcPr/>
          <w:p>
            <w:pPr>
              <w:pStyle w:val="Compact"/>
            </w:pPr>
            <w:r>
              <w:t xml:space="preserve">Business operations</w:t>
            </w:r>
          </w:p>
        </w:tc>
      </w:tr>
      <w:tr>
        <w:tc>
          <w:tcPr/>
          <w:p>
            <w:pPr>
              <w:pStyle w:val="Compact"/>
            </w:pPr>
            <w:r>
              <w:t xml:space="preserve">Integrity</w:t>
            </w:r>
          </w:p>
        </w:tc>
        <w:tc>
          <w:tcPr/>
          <w:p>
            <w:pPr>
              <w:pStyle w:val="Compact"/>
            </w:pPr>
            <w:r>
              <w:t xml:space="preserve">Low</w:t>
            </w:r>
          </w:p>
        </w:tc>
        <w:tc>
          <w:tcPr/>
          <w:p>
            <w:pPr>
              <w:pStyle w:val="Compact"/>
            </w:pPr>
            <w:r>
              <w:t xml:space="preserve">Payment accuracy; audit trail</w:t>
            </w:r>
          </w:p>
        </w:tc>
      </w:tr>
      <w:tr>
        <w:tc>
          <w:tcPr/>
          <w:p>
            <w:pPr>
              <w:pStyle w:val="Compact"/>
            </w:pPr>
            <w:r>
              <w:t xml:space="preserve">Supply Chain</w:t>
            </w:r>
          </w:p>
        </w:tc>
        <w:tc>
          <w:tcPr/>
          <w:p>
            <w:pPr>
              <w:pStyle w:val="Compact"/>
            </w:pPr>
            <w:r>
              <w:t xml:space="preserve">Low</w:t>
            </w:r>
          </w:p>
        </w:tc>
        <w:tc>
          <w:tcPr/>
          <w:p>
            <w:pPr>
              <w:pStyle w:val="Compact"/>
            </w:pPr>
            <w:r>
              <w:t xml:space="preserve">BOD 26-04 and EO 14028 mandate</w:t>
            </w:r>
          </w:p>
        </w:tc>
      </w:tr>
    </w:tbl>
    <w:bookmarkEnd w:id="34"/>
    <w:bookmarkStart w:id="35" w:name="risk-register-format"/>
    <w:p>
      <w:pPr>
        <w:pStyle w:val="Heading2"/>
      </w:pPr>
      <w:r>
        <w:t xml:space="preserve">5.3 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ayout w:type="fixed"/>
        <w:tblLook w:firstRow="1" w:lastRow="0" w:firstColumn="0" w:lastColumn="0" w:noHBand="0" w:noVBand="0" w:val="0020"/>
      </w:tblPr>
      <w:tblGrid>
        <w:gridCol w:w="925"/>
        <w:gridCol w:w="925"/>
        <w:gridCol w:w="1337"/>
        <w:gridCol w:w="1131"/>
        <w:gridCol w:w="822"/>
        <w:gridCol w:w="720"/>
        <w:gridCol w:w="720"/>
        <w:gridCol w:w="822"/>
        <w:gridCol w:w="514"/>
      </w:tblGrid>
      <w:tr>
        <w:trPr>
          <w:tblHeader w:val="on"/>
        </w:trPr>
        <w:tc>
          <w:tcPr/>
          <w:p>
            <w:pPr>
              <w:pStyle w:val="Compact"/>
            </w:pPr>
            <w:r>
              <w:t xml:space="preserve">Risk ID</w:t>
            </w:r>
          </w:p>
        </w:tc>
        <w:tc>
          <w:tcPr/>
          <w:p>
            <w:pPr>
              <w:pStyle w:val="Compact"/>
            </w:pPr>
            <w:r>
              <w:t xml:space="preserve">Control</w:t>
            </w:r>
          </w:p>
        </w:tc>
        <w:tc>
          <w:tcPr/>
          <w:p>
            <w:pPr>
              <w:pStyle w:val="Compact"/>
            </w:pPr>
            <w:r>
              <w:t xml:space="preserve">Description</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Owner</w:t>
            </w:r>
          </w:p>
        </w:tc>
        <w:tc>
          <w:tcPr/>
          <w:p>
            <w:pPr>
              <w:pStyle w:val="Compact"/>
            </w:pPr>
            <w:r>
              <w:t xml:space="preserve">Status</w:t>
            </w:r>
          </w:p>
        </w:tc>
        <w:tc>
          <w:tcPr/>
          <w:p>
            <w:pPr>
              <w:pStyle w:val="Compact"/>
            </w:pPr>
            <w:r>
              <w:t xml:space="preserve">Due</w:t>
            </w:r>
          </w:p>
        </w:tc>
      </w:tr>
      <w:tr>
        <w:tc>
          <w:tcPr/>
          <w:p>
            <w:pPr>
              <w:pStyle w:val="Compact"/>
            </w:pPr>
            <w:r>
              <w:t xml:space="preserve">[R-NNN]</w:t>
            </w:r>
          </w:p>
        </w:tc>
        <w:tc>
          <w:tcPr/>
          <w:p>
            <w:pPr>
              <w:pStyle w:val="Compact"/>
            </w:pPr>
            <w:r>
              <w:t xml:space="preserve">[ID]</w:t>
            </w:r>
          </w:p>
        </w:tc>
        <w:tc>
          <w:tcPr/>
          <w:p>
            <w:pPr>
              <w:pStyle w:val="Compact"/>
            </w:pPr>
            <w:r>
              <w:t xml:space="preserve">[Description]</w:t>
            </w:r>
          </w:p>
        </w:tc>
        <w:tc>
          <w:tcPr/>
          <w:p>
            <w:pPr>
              <w:pStyle w:val="Compact"/>
            </w:pPr>
            <w:r>
              <w:t xml:space="preserve">[1-5]</w:t>
            </w:r>
          </w:p>
        </w:tc>
        <w:tc>
          <w:tcPr/>
          <w:p>
            <w:pPr>
              <w:pStyle w:val="Compact"/>
            </w:pPr>
            <w:r>
              <w:t xml:space="preserve">[1-5]</w:t>
            </w:r>
          </w:p>
        </w:tc>
        <w:tc>
          <w:tcPr/>
          <w:p>
            <w:pPr>
              <w:pStyle w:val="Compact"/>
            </w:pPr>
            <w:r>
              <w:t xml:space="preserve">[L×I]</w:t>
            </w:r>
          </w:p>
        </w:tc>
        <w:tc>
          <w:tcPr/>
          <w:p>
            <w:pPr>
              <w:pStyle w:val="Compact"/>
            </w:pPr>
            <w:r>
              <w:t xml:space="preserve">[Name]</w:t>
            </w:r>
          </w:p>
        </w:tc>
        <w:tc>
          <w:tcPr/>
          <w:p>
            <w:pPr>
              <w:pStyle w:val="Compact"/>
            </w:pPr>
            <w:r>
              <w:t xml:space="preserve">Open/Closed</w:t>
            </w:r>
          </w:p>
        </w:tc>
        <w:tc>
          <w:tcPr/>
          <w:p>
            <w:pPr>
              <w:pStyle w:val="Compact"/>
            </w:pPr>
            <w:r>
              <w:t xml:space="preserve">[Date]</w:t>
            </w:r>
          </w:p>
        </w:tc>
      </w:tr>
    </w:tbl>
    <w:p>
      <w:pPr>
        <w:pStyle w:val="BodyText"/>
      </w:pPr>
      <w:r>
        <w:rPr>
          <w:b/>
          <w:bCs/>
        </w:rPr>
        <w:t xml:space="preserve">Scoring matrix:</w:t>
      </w:r>
      <w:r>
        <w:t xml:space="preserve"> </w:t>
      </w:r>
      <w:r>
        <w:t xml:space="preserve">Score = Likelihood (1=Rare, 5=Certain) × Impact (1=Negligible, 5=Catastrophic)</w:t>
      </w:r>
    </w:p>
    <w:p>
      <w:pPr>
        <w:pStyle w:val="Compact"/>
        <w:numPr>
          <w:ilvl w:val="0"/>
          <w:numId w:val="1008"/>
        </w:numPr>
      </w:pPr>
      <w:r>
        <w:t xml:space="preserve">Score 1–4: Accept (document and monitor)</w:t>
      </w:r>
    </w:p>
    <w:p>
      <w:pPr>
        <w:pStyle w:val="Compact"/>
        <w:numPr>
          <w:ilvl w:val="0"/>
          <w:numId w:val="1008"/>
        </w:numPr>
      </w:pPr>
      <w:r>
        <w:t xml:space="preserve">Score 5–9: Mitigate (POA&amp;M required within 90 days)</w:t>
      </w:r>
    </w:p>
    <w:p>
      <w:pPr>
        <w:pStyle w:val="Compact"/>
        <w:numPr>
          <w:ilvl w:val="0"/>
          <w:numId w:val="1008"/>
        </w:numPr>
      </w:pPr>
      <w:r>
        <w:t xml:space="preserve">Score 10–15: Mitigate urgently (POA&amp;M required within 30 days)</w:t>
      </w:r>
    </w:p>
    <w:p>
      <w:pPr>
        <w:pStyle w:val="Compact"/>
        <w:numPr>
          <w:ilvl w:val="0"/>
          <w:numId w:val="1008"/>
        </w:numPr>
      </w:pPr>
      <w:r>
        <w:t xml:space="preserve">Score 16–25: Escalate to AO (POA&amp;M required within 15 days)</w:t>
      </w:r>
    </w:p>
    <w:bookmarkEnd w:id="35"/>
    <w:bookmarkStart w:id="36" w:name="risk-response-options"/>
    <w:p>
      <w:pPr>
        <w:pStyle w:val="Heading2"/>
      </w:pPr>
      <w:r>
        <w:t xml:space="preserve">5.4 Risk Response Options</w:t>
      </w:r>
    </w:p>
    <w:p>
      <w:pPr>
        <w:pStyle w:val="FirstParagraph"/>
      </w:pPr>
      <w:r>
        <w:t xml:space="preserve">For each identified risk the ISSO documents the chosen response:</w:t>
      </w:r>
    </w:p>
    <w:p>
      <w:pPr>
        <w:pStyle w:val="Compact"/>
        <w:numPr>
          <w:ilvl w:val="0"/>
          <w:numId w:val="1009"/>
        </w:numPr>
      </w:pPr>
      <w:r>
        <w:rPr>
          <w:b/>
          <w:bCs/>
        </w:rPr>
        <w:t xml:space="preserve">Mitigate:</w:t>
      </w:r>
      <w:r>
        <w:t xml:space="preserve"> </w:t>
      </w:r>
      <w:r>
        <w:t xml:space="preserve">Implement or strengthen a control to reduce likelihood/impact</w:t>
      </w:r>
    </w:p>
    <w:p>
      <w:pPr>
        <w:pStyle w:val="Compact"/>
        <w:numPr>
          <w:ilvl w:val="0"/>
          <w:numId w:val="1009"/>
        </w:numPr>
      </w:pPr>
      <w:r>
        <w:rPr>
          <w:b/>
          <w:bCs/>
        </w:rPr>
        <w:t xml:space="preserve">Transfer:</w:t>
      </w:r>
      <w:r>
        <w:t xml:space="preserve"> </w:t>
      </w:r>
      <w:r>
        <w:t xml:space="preserve">Contractually shift risk to a cloud service provider or vendor</w:t>
      </w:r>
    </w:p>
    <w:p>
      <w:pPr>
        <w:pStyle w:val="Compact"/>
        <w:numPr>
          <w:ilvl w:val="0"/>
          <w:numId w:val="1009"/>
        </w:numPr>
      </w:pPr>
      <w:r>
        <w:rPr>
          <w:b/>
          <w:bCs/>
        </w:rPr>
        <w:t xml:space="preserve">Accept:</w:t>
      </w:r>
      <w:r>
        <w:t xml:space="preserve"> </w:t>
      </w:r>
      <w:r>
        <w:t xml:space="preserve">Document acceptance with AO concurrence (time-bounded for score &gt; 4)</w:t>
      </w:r>
    </w:p>
    <w:p>
      <w:pPr>
        <w:pStyle w:val="Compact"/>
        <w:numPr>
          <w:ilvl w:val="0"/>
          <w:numId w:val="1009"/>
        </w:numPr>
      </w:pPr>
      <w:r>
        <w:rPr>
          <w:b/>
          <w:bCs/>
        </w:rPr>
        <w:t xml:space="preserve">Avoid:</w:t>
      </w:r>
      <w:r>
        <w:t xml:space="preserve"> </w:t>
      </w:r>
      <w:r>
        <w:t xml:space="preserve">Remove the system component or functionality that generates the risk</w:t>
      </w:r>
    </w:p>
    <w:p>
      <w:r>
        <w:pict>
          <v:rect style="width:0;height:1.5pt" o:hralign="center" o:hrstd="t" o:hr="t"/>
        </w:pict>
      </w:r>
    </w:p>
    <w:bookmarkEnd w:id="36"/>
    <w:bookmarkEnd w:id="37"/>
    <w:bookmarkStart w:id="42" w:name="Xe72d98f2c6290eae65662920ae3e1fff22106c5"/>
    <w:p>
      <w:pPr>
        <w:pStyle w:val="Heading1"/>
      </w:pPr>
      <w:r>
        <w:t xml:space="preserve">6. Testing, Training, and Monitoring Plan (PM-14)</w:t>
      </w:r>
    </w:p>
    <w:bookmarkStart w:id="38" w:name="ttm-framework"/>
    <w:p>
      <w:pPr>
        <w:pStyle w:val="Heading2"/>
      </w:pPr>
      <w:r>
        <w:t xml:space="preserve">6.1 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38"/>
    <w:bookmarkStart w:id="39" w:name="testing-schedule"/>
    <w:p>
      <w:pPr>
        <w:pStyle w:val="Heading2"/>
      </w:pPr>
      <w:r>
        <w:t xml:space="preserve">6.2 Testing Schedule</w:t>
      </w:r>
    </w:p>
    <w:tbl>
      <w:tblPr>
        <w:tblStyle w:val="Table"/>
        <w:tblW w:type="pct" w:w="5000"/>
        <w:tblLayout w:type="fixed"/>
        <w:tblLook w:firstRow="1" w:lastRow="0" w:firstColumn="0" w:lastColumn="0" w:noHBand="0" w:noVBand="0" w:val="0020"/>
      </w:tblPr>
      <w:tblGrid>
        <w:gridCol w:w="1643"/>
        <w:gridCol w:w="1643"/>
        <w:gridCol w:w="1942"/>
        <w:gridCol w:w="2689"/>
      </w:tblGrid>
      <w:tr>
        <w:trPr>
          <w:tblHeader w:val="on"/>
        </w:trPr>
        <w:tc>
          <w:tcPr/>
          <w:p>
            <w:pPr>
              <w:pStyle w:val="Compact"/>
            </w:pPr>
            <w:r>
              <w:t xml:space="preserve">Test Type</w:t>
            </w:r>
          </w:p>
        </w:tc>
        <w:tc>
          <w:tcPr/>
          <w:p>
            <w:pPr>
              <w:pStyle w:val="Compact"/>
            </w:pPr>
            <w:r>
              <w:t xml:space="preserve">Frequency</w:t>
            </w:r>
          </w:p>
        </w:tc>
        <w:tc>
          <w:tcPr/>
          <w:p>
            <w:pPr>
              <w:pStyle w:val="Compact"/>
            </w:pPr>
            <w:r>
              <w:t xml:space="preserve">Responsible</w:t>
            </w:r>
          </w:p>
        </w:tc>
        <w:tc>
          <w:tcPr/>
          <w:p>
            <w:pPr>
              <w:pStyle w:val="Compact"/>
            </w:pPr>
            <w:r>
              <w:t xml:space="preserve">Evidence Artifact</w:t>
            </w:r>
          </w:p>
        </w:tc>
      </w:tr>
      <w:tr>
        <w:tc>
          <w:tcPr/>
          <w:p>
            <w:pPr>
              <w:pStyle w:val="Compact"/>
            </w:pPr>
            <w:r>
              <w:t xml:space="preserve">Annual security assessment (3PAO)</w:t>
            </w:r>
          </w:p>
        </w:tc>
        <w:tc>
          <w:tcPr/>
          <w:p>
            <w:pPr>
              <w:pStyle w:val="Compact"/>
            </w:pPr>
            <w:r>
              <w:t xml:space="preserve">Annual</w:t>
            </w:r>
          </w:p>
        </w:tc>
        <w:tc>
          <w:tcPr/>
          <w:p>
            <w:pPr>
              <w:pStyle w:val="Compact"/>
            </w:pPr>
            <w:r>
              <w:t xml:space="preserve">AO / CISO</w:t>
            </w:r>
          </w:p>
        </w:tc>
        <w:tc>
          <w:tcPr/>
          <w:p>
            <w:pPr>
              <w:pStyle w:val="Compact"/>
            </w:pPr>
            <w:r>
              <w:t xml:space="preserve">Assessment report</w:t>
            </w:r>
          </w:p>
        </w:tc>
      </w:tr>
      <w:tr>
        <w:tc>
          <w:tcPr/>
          <w:p>
            <w:pPr>
              <w:pStyle w:val="Compact"/>
            </w:pPr>
            <w:r>
              <w:t xml:space="preserve">Penetration test</w:t>
            </w:r>
          </w:p>
        </w:tc>
        <w:tc>
          <w:tcPr/>
          <w:p>
            <w:pPr>
              <w:pStyle w:val="Compact"/>
            </w:pPr>
            <w:r>
              <w:t xml:space="preserve">Annual</w:t>
            </w:r>
          </w:p>
        </w:tc>
        <w:tc>
          <w:tcPr/>
          <w:p>
            <w:pPr>
              <w:pStyle w:val="Compact"/>
            </w:pPr>
            <w:r>
              <w:t xml:space="preserve">3PAO</w:t>
            </w:r>
          </w:p>
        </w:tc>
        <w:tc>
          <w:tcPr/>
          <w:p>
            <w:pPr>
              <w:pStyle w:val="Compact"/>
            </w:pPr>
            <w:r>
              <w:t xml:space="preserve">Pen test report</w:t>
            </w:r>
          </w:p>
        </w:tc>
      </w:tr>
      <w:tr>
        <w:tc>
          <w:tcPr/>
          <w:p>
            <w:pPr>
              <w:pStyle w:val="Compact"/>
            </w:pPr>
            <w:r>
              <w:t xml:space="preserve">Tabletop incident response exercise</w:t>
            </w:r>
          </w:p>
        </w:tc>
        <w:tc>
          <w:tcPr/>
          <w:p>
            <w:pPr>
              <w:pStyle w:val="Compact"/>
            </w:pPr>
            <w:r>
              <w:t xml:space="preserve">Semi-annual</w:t>
            </w:r>
          </w:p>
        </w:tc>
        <w:tc>
          <w:tcPr/>
          <w:p>
            <w:pPr>
              <w:pStyle w:val="Compact"/>
            </w:pPr>
            <w:r>
              <w:t xml:space="preserve">ISSO / SOC</w:t>
            </w:r>
          </w:p>
        </w:tc>
        <w:tc>
          <w:tcPr/>
          <w:p>
            <w:pPr>
              <w:pStyle w:val="Compact"/>
            </w:pPr>
            <w:r>
              <w:t xml:space="preserve">Exercise after-action report</w:t>
            </w:r>
          </w:p>
        </w:tc>
      </w:tr>
      <w:tr>
        <w:tc>
          <w:tcPr/>
          <w:p>
            <w:pPr>
              <w:pStyle w:val="Compact"/>
            </w:pPr>
            <w:r>
              <w:t xml:space="preserve">Control spot-check (automated KSI monitoring)</w:t>
            </w:r>
          </w:p>
        </w:tc>
        <w:tc>
          <w:tcPr/>
          <w:p>
            <w:pPr>
              <w:pStyle w:val="Compact"/>
            </w:pPr>
            <w:r>
              <w:t xml:space="preserve">Continuous</w:t>
            </w:r>
          </w:p>
        </w:tc>
        <w:tc>
          <w:tcPr/>
          <w:p>
            <w:pPr>
              <w:pStyle w:val="Compact"/>
            </w:pPr>
            <w:r>
              <w:t xml:space="preserve">DevSecOps / SOC</w:t>
            </w:r>
          </w:p>
        </w:tc>
        <w:tc>
          <w:tcPr/>
          <w:p>
            <w:pPr>
              <w:pStyle w:val="Compact"/>
            </w:pPr>
            <w:r>
              <w:t xml:space="preserve">Sentinel dashboard</w:t>
            </w:r>
          </w:p>
        </w:tc>
      </w:tr>
      <w:tr>
        <w:tc>
          <w:tcPr/>
          <w:p>
            <w:pPr>
              <w:pStyle w:val="Compact"/>
            </w:pPr>
            <w:r>
              <w:t xml:space="preserve">Vulnerability scan (Defender VM)</w:t>
            </w:r>
          </w:p>
        </w:tc>
        <w:tc>
          <w:tcPr/>
          <w:p>
            <w:pPr>
              <w:pStyle w:val="Compact"/>
            </w:pPr>
            <w:r>
              <w:t xml:space="preserve">Continuous</w:t>
            </w:r>
          </w:p>
        </w:tc>
        <w:tc>
          <w:tcPr/>
          <w:p>
            <w:pPr>
              <w:pStyle w:val="Compact"/>
            </w:pPr>
            <w:r>
              <w:t xml:space="preserve">SOC</w:t>
            </w:r>
          </w:p>
        </w:tc>
        <w:tc>
          <w:tcPr/>
          <w:p>
            <w:pPr>
              <w:pStyle w:val="Compact"/>
            </w:pPr>
            <w:r>
              <w:t xml:space="preserve">Part 11 Defender VM output</w:t>
            </w:r>
          </w:p>
        </w:tc>
      </w:tr>
      <w:tr>
        <w:tc>
          <w:tcPr/>
          <w:p>
            <w:pPr>
              <w:pStyle w:val="Compact"/>
            </w:pPr>
            <w:r>
              <w:t xml:space="preserve">SBOM/VDR scan (Grype CI gate)</w:t>
            </w:r>
          </w:p>
        </w:tc>
        <w:tc>
          <w:tcPr/>
          <w:p>
            <w:pPr>
              <w:pStyle w:val="Compact"/>
            </w:pPr>
            <w:r>
              <w:t xml:space="preserve">Every PR merge</w:t>
            </w:r>
          </w:p>
        </w:tc>
        <w:tc>
          <w:tcPr/>
          <w:p>
            <w:pPr>
              <w:pStyle w:val="Compact"/>
            </w:pPr>
            <w:r>
              <w:t xml:space="preserve">DevSecOps</w:t>
            </w:r>
          </w:p>
        </w:tc>
        <w:tc>
          <w:tcPr/>
          <w:p>
            <w:pPr>
              <w:pStyle w:val="Compact"/>
            </w:pPr>
            <w:r>
              <w:t xml:space="preserve">Part 15 CI logs</w:t>
            </w:r>
          </w:p>
        </w:tc>
      </w:tr>
      <w:tr>
        <w:tc>
          <w:tcPr/>
          <w:p>
            <w:pPr>
              <w:pStyle w:val="Compact"/>
            </w:pPr>
            <w:r>
              <w:t xml:space="preserve">Contingency plan test</w:t>
            </w:r>
          </w:p>
        </w:tc>
        <w:tc>
          <w:tcPr/>
          <w:p>
            <w:pPr>
              <w:pStyle w:val="Compact"/>
            </w:pPr>
            <w:r>
              <w:t xml:space="preserve">Annual</w:t>
            </w:r>
          </w:p>
        </w:tc>
        <w:tc>
          <w:tcPr/>
          <w:p>
            <w:pPr>
              <w:pStyle w:val="Compact"/>
            </w:pPr>
            <w:r>
              <w:t xml:space="preserve">ISSO</w:t>
            </w:r>
          </w:p>
        </w:tc>
        <w:tc>
          <w:tcPr/>
          <w:p>
            <w:pPr>
              <w:pStyle w:val="Compact"/>
            </w:pPr>
            <w:r>
              <w:t xml:space="preserve">CP-4 test results</w:t>
            </w:r>
          </w:p>
        </w:tc>
      </w:tr>
      <w:tr>
        <w:tc>
          <w:tcPr/>
          <w:p>
            <w:pPr>
              <w:pStyle w:val="Compact"/>
            </w:pPr>
            <w:r>
              <w:t xml:space="preserve">Configuration baseline review</w:t>
            </w:r>
          </w:p>
        </w:tc>
        <w:tc>
          <w:tcPr/>
          <w:p>
            <w:pPr>
              <w:pStyle w:val="Compact"/>
            </w:pPr>
            <w:r>
              <w:t xml:space="preserve">Quarterly</w:t>
            </w:r>
          </w:p>
        </w:tc>
        <w:tc>
          <w:tcPr/>
          <w:p>
            <w:pPr>
              <w:pStyle w:val="Compact"/>
            </w:pPr>
            <w:r>
              <w:t xml:space="preserve">DevSecOps</w:t>
            </w:r>
          </w:p>
        </w:tc>
        <w:tc>
          <w:tcPr/>
          <w:p>
            <w:pPr>
              <w:pStyle w:val="Compact"/>
            </w:pPr>
            <w:r>
              <w:t xml:space="preserve">GitHub baseline diff</w:t>
            </w:r>
          </w:p>
        </w:tc>
      </w:tr>
    </w:tbl>
    <w:bookmarkEnd w:id="39"/>
    <w:bookmarkStart w:id="40" w:name="training-requirements"/>
    <w:p>
      <w:pPr>
        <w:pStyle w:val="Heading2"/>
      </w:pPr>
      <w:r>
        <w:t xml:space="preserve">6.3 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ayout w:type="fixed"/>
        <w:tblLook w:firstRow="1" w:lastRow="0" w:firstColumn="0" w:lastColumn="0" w:noHBand="0" w:noVBand="0" w:val="0020"/>
      </w:tblPr>
      <w:tblGrid>
        <w:gridCol w:w="1685"/>
        <w:gridCol w:w="1853"/>
        <w:gridCol w:w="1685"/>
        <w:gridCol w:w="2696"/>
      </w:tblGrid>
      <w:tr>
        <w:trPr>
          <w:tblHeader w:val="on"/>
        </w:trPr>
        <w:tc>
          <w:tcPr/>
          <w:p>
            <w:pPr>
              <w:pStyle w:val="Compact"/>
            </w:pPr>
            <w:r>
              <w:t xml:space="preserve">Training</w:t>
            </w:r>
          </w:p>
        </w:tc>
        <w:tc>
          <w:tcPr/>
          <w:p>
            <w:pPr>
              <w:pStyle w:val="Compact"/>
            </w:pPr>
            <w:r>
              <w:t xml:space="preserve">Frequency</w:t>
            </w:r>
          </w:p>
        </w:tc>
        <w:tc>
          <w:tcPr/>
          <w:p>
            <w:pPr>
              <w:pStyle w:val="Compact"/>
            </w:pPr>
            <w:r>
              <w:t xml:space="preserve">Audience</w:t>
            </w:r>
          </w:p>
        </w:tc>
        <w:tc>
          <w:tcPr/>
          <w:p>
            <w:pPr>
              <w:pStyle w:val="Compact"/>
            </w:pPr>
            <w:r>
              <w:t xml:space="preserve">Tracking System</w:t>
            </w:r>
          </w:p>
        </w:tc>
      </w:tr>
      <w:tr>
        <w:tc>
          <w:tcPr/>
          <w:p>
            <w:pPr>
              <w:pStyle w:val="Compact"/>
            </w:pPr>
            <w:r>
              <w:t xml:space="preserve">Security awareness (role-based)</w:t>
            </w:r>
          </w:p>
        </w:tc>
        <w:tc>
          <w:tcPr/>
          <w:p>
            <w:pPr>
              <w:pStyle w:val="Compact"/>
            </w:pPr>
            <w:r>
              <w:t xml:space="preserve">Annual</w:t>
            </w:r>
          </w:p>
        </w:tc>
        <w:tc>
          <w:tcPr/>
          <w:p>
            <w:pPr>
              <w:pStyle w:val="Compact"/>
            </w:pPr>
            <w:r>
              <w:t xml:space="preserve">All users</w:t>
            </w:r>
          </w:p>
        </w:tc>
        <w:tc>
          <w:tcPr/>
          <w:p>
            <w:pPr>
              <w:pStyle w:val="Compact"/>
            </w:pPr>
            <w:r>
              <w:t xml:space="preserve">[LMS NAME]</w:t>
            </w:r>
          </w:p>
        </w:tc>
      </w:tr>
      <w:tr>
        <w:tc>
          <w:tcPr/>
          <w:p>
            <w:pPr>
              <w:pStyle w:val="Compact"/>
            </w:pPr>
            <w:r>
              <w:t xml:space="preserve">FedRAMP procedures</w:t>
            </w:r>
          </w:p>
        </w:tc>
        <w:tc>
          <w:tcPr/>
          <w:p>
            <w:pPr>
              <w:pStyle w:val="Compact"/>
            </w:pPr>
            <w:r>
              <w:t xml:space="preserve">Annual</w:t>
            </w:r>
          </w:p>
        </w:tc>
        <w:tc>
          <w:tcPr/>
          <w:p>
            <w:pPr>
              <w:pStyle w:val="Compact"/>
            </w:pPr>
            <w:r>
              <w:t xml:space="preserve">ISSO, security team</w:t>
            </w:r>
          </w:p>
        </w:tc>
        <w:tc>
          <w:tcPr/>
          <w:p>
            <w:pPr>
              <w:pStyle w:val="Compact"/>
            </w:pPr>
            <w:r>
              <w:t xml:space="preserve">[LMS NAME]</w:t>
            </w:r>
          </w:p>
        </w:tc>
      </w:tr>
      <w:tr>
        <w:tc>
          <w:tcPr/>
          <w:p>
            <w:pPr>
              <w:pStyle w:val="Compact"/>
            </w:pPr>
            <w:r>
              <w:t xml:space="preserve">Incident response procedures</w:t>
            </w:r>
          </w:p>
        </w:tc>
        <w:tc>
          <w:tcPr/>
          <w:p>
            <w:pPr>
              <w:pStyle w:val="Compact"/>
            </w:pPr>
            <w:r>
              <w:t xml:space="preserve">Semi-annual</w:t>
            </w:r>
          </w:p>
        </w:tc>
        <w:tc>
          <w:tcPr/>
          <w:p>
            <w:pPr>
              <w:pStyle w:val="Compact"/>
            </w:pPr>
            <w:r>
              <w:t xml:space="preserve">ISSO, SOC, DevSecOps</w:t>
            </w:r>
          </w:p>
        </w:tc>
        <w:tc>
          <w:tcPr/>
          <w:p>
            <w:pPr>
              <w:pStyle w:val="Compact"/>
            </w:pPr>
            <w:r>
              <w:t xml:space="preserve">Tabletop exercise roster</w:t>
            </w:r>
          </w:p>
        </w:tc>
      </w:tr>
      <w:tr>
        <w:tc>
          <w:tcPr/>
          <w:p>
            <w:pPr>
              <w:pStyle w:val="Compact"/>
            </w:pPr>
            <w:r>
              <w:t xml:space="preserve">SBOM/supply chain awareness</w:t>
            </w:r>
          </w:p>
        </w:tc>
        <w:tc>
          <w:tcPr/>
          <w:p>
            <w:pPr>
              <w:pStyle w:val="Compact"/>
            </w:pPr>
            <w:r>
              <w:t xml:space="preserve">Annual</w:t>
            </w:r>
          </w:p>
        </w:tc>
        <w:tc>
          <w:tcPr/>
          <w:p>
            <w:pPr>
              <w:pStyle w:val="Compact"/>
            </w:pPr>
            <w:r>
              <w:t xml:space="preserve">DevSecOps, procurement</w:t>
            </w:r>
          </w:p>
        </w:tc>
        <w:tc>
          <w:tcPr/>
          <w:p>
            <w:pPr>
              <w:pStyle w:val="Compact"/>
            </w:pPr>
            <w:r>
              <w:t xml:space="preserve">[LMS NAME]</w:t>
            </w:r>
          </w:p>
        </w:tc>
      </w:tr>
      <w:tr>
        <w:tc>
          <w:tcPr/>
          <w:p>
            <w:pPr>
              <w:pStyle w:val="Compact"/>
            </w:pPr>
            <w:r>
              <w:t xml:space="preserve">Privacy (PII handling)</w:t>
            </w:r>
          </w:p>
        </w:tc>
        <w:tc>
          <w:tcPr/>
          <w:p>
            <w:pPr>
              <w:pStyle w:val="Compact"/>
            </w:pPr>
            <w:r>
              <w:t xml:space="preserve">Annual</w:t>
            </w:r>
          </w:p>
        </w:tc>
        <w:tc>
          <w:tcPr/>
          <w:p>
            <w:pPr>
              <w:pStyle w:val="Compact"/>
            </w:pPr>
            <w:r>
              <w:t xml:space="preserve">All users with PII access</w:t>
            </w:r>
          </w:p>
        </w:tc>
        <w:tc>
          <w:tcPr/>
          <w:p>
            <w:pPr>
              <w:pStyle w:val="Compact"/>
            </w:pPr>
            <w:r>
              <w:t xml:space="preserve">[LMS NAME]</w:t>
            </w:r>
          </w:p>
        </w:tc>
      </w:tr>
    </w:tbl>
    <w:bookmarkEnd w:id="40"/>
    <w:bookmarkStart w:id="41" w:name="continuous-monitoring-program"/>
    <w:p>
      <w:pPr>
        <w:pStyle w:val="Heading2"/>
      </w:pPr>
      <w:r>
        <w:t xml:space="preserve">6.4 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ayout w:type="fixed"/>
        <w:tblLook w:firstRow="1" w:lastRow="0" w:firstColumn="0" w:lastColumn="0" w:noHBand="0" w:noVBand="0" w:val="0020"/>
      </w:tblPr>
      <w:tblGrid>
        <w:gridCol w:w="1584"/>
        <w:gridCol w:w="1584"/>
        <w:gridCol w:w="2592"/>
        <w:gridCol w:w="2160"/>
      </w:tblGrid>
      <w:tr>
        <w:trPr>
          <w:tblHeader w:val="on"/>
        </w:trPr>
        <w:tc>
          <w:tcPr/>
          <w:p>
            <w:pPr>
              <w:pStyle w:val="Compact"/>
            </w:pPr>
            <w:r>
              <w:t xml:space="preserve">Dimension</w:t>
            </w:r>
          </w:p>
        </w:tc>
        <w:tc>
          <w:tcPr/>
          <w:p>
            <w:pPr>
              <w:pStyle w:val="Compact"/>
            </w:pPr>
            <w:r>
              <w:t xml:space="preserve">KSI Theme</w:t>
            </w:r>
          </w:p>
        </w:tc>
        <w:tc>
          <w:tcPr/>
          <w:p>
            <w:pPr>
              <w:pStyle w:val="Compact"/>
            </w:pPr>
            <w:r>
              <w:t xml:space="preserve">Sentinel Workbook</w:t>
            </w:r>
          </w:p>
        </w:tc>
        <w:tc>
          <w:tcPr/>
          <w:p>
            <w:pPr>
              <w:pStyle w:val="Compact"/>
            </w:pPr>
            <w:r>
              <w:t xml:space="preserve">Alert Cadence</w:t>
            </w:r>
          </w:p>
        </w:tc>
      </w:tr>
      <w:tr>
        <w:tc>
          <w:tcPr/>
          <w:p>
            <w:pPr>
              <w:pStyle w:val="Compact"/>
            </w:pPr>
            <w:r>
              <w:t xml:space="preserve">Identity anomalies</w:t>
            </w:r>
          </w:p>
        </w:tc>
        <w:tc>
          <w:tcPr/>
          <w:p>
            <w:pPr>
              <w:pStyle w:val="Compact"/>
            </w:pPr>
            <w:r>
              <w:t xml:space="preserve">KSI-IAM</w:t>
            </w:r>
          </w:p>
        </w:tc>
        <w:tc>
          <w:tcPr/>
          <w:p>
            <w:pPr>
              <w:pStyle w:val="Compact"/>
            </w:pPr>
            <w:r>
              <w:t xml:space="preserve">Identity &amp; Access</w:t>
            </w:r>
          </w:p>
        </w:tc>
        <w:tc>
          <w:tcPr/>
          <w:p>
            <w:pPr>
              <w:pStyle w:val="Compact"/>
            </w:pPr>
            <w:r>
              <w:t xml:space="preserve">Real-time</w:t>
            </w:r>
          </w:p>
        </w:tc>
      </w:tr>
      <w:tr>
        <w:tc>
          <w:tcPr/>
          <w:p>
            <w:pPr>
              <w:pStyle w:val="Compact"/>
            </w:pPr>
            <w:r>
              <w:t xml:space="preserve">Network anomalies</w:t>
            </w:r>
          </w:p>
        </w:tc>
        <w:tc>
          <w:tcPr/>
          <w:p>
            <w:pPr>
              <w:pStyle w:val="Compact"/>
            </w:pPr>
            <w:r>
              <w:t xml:space="preserve">KSI-CNA</w:t>
            </w:r>
          </w:p>
        </w:tc>
        <w:tc>
          <w:tcPr/>
          <w:p>
            <w:pPr>
              <w:pStyle w:val="Compact"/>
            </w:pPr>
            <w:r>
              <w:t xml:space="preserve">Network Security</w:t>
            </w:r>
          </w:p>
        </w:tc>
        <w:tc>
          <w:tcPr/>
          <w:p>
            <w:pPr>
              <w:pStyle w:val="Compact"/>
            </w:pPr>
            <w:r>
              <w:t xml:space="preserve">Real-time</w:t>
            </w:r>
          </w:p>
        </w:tc>
      </w:tr>
      <w:tr>
        <w:tc>
          <w:tcPr/>
          <w:p>
            <w:pPr>
              <w:pStyle w:val="Compact"/>
            </w:pPr>
            <w:r>
              <w:t xml:space="preserve">Endpoint threats</w:t>
            </w:r>
          </w:p>
        </w:tc>
        <w:tc>
          <w:tcPr/>
          <w:p>
            <w:pPr>
              <w:pStyle w:val="Compact"/>
            </w:pPr>
            <w:r>
              <w:t xml:space="preserve">KSI-PIY</w:t>
            </w:r>
          </w:p>
        </w:tc>
        <w:tc>
          <w:tcPr/>
          <w:p>
            <w:pPr>
              <w:pStyle w:val="Compact"/>
            </w:pPr>
            <w:r>
              <w:t xml:space="preserve">Endpoint Protection</w:t>
            </w:r>
          </w:p>
        </w:tc>
        <w:tc>
          <w:tcPr/>
          <w:p>
            <w:pPr>
              <w:pStyle w:val="Compact"/>
            </w:pPr>
            <w:r>
              <w:t xml:space="preserve">Real-time</w:t>
            </w:r>
          </w:p>
        </w:tc>
      </w:tr>
      <w:tr>
        <w:tc>
          <w:tcPr/>
          <w:p>
            <w:pPr>
              <w:pStyle w:val="Compact"/>
            </w:pPr>
            <w:r>
              <w:t xml:space="preserve">Vulnerability posture</w:t>
            </w:r>
          </w:p>
        </w:tc>
        <w:tc>
          <w:tcPr/>
          <w:p>
            <w:pPr>
              <w:pStyle w:val="Compact"/>
            </w:pPr>
            <w:r>
              <w:t xml:space="preserve">KSI-MLA</w:t>
            </w:r>
          </w:p>
        </w:tc>
        <w:tc>
          <w:tcPr/>
          <w:p>
            <w:pPr>
              <w:pStyle w:val="Compact"/>
            </w:pPr>
            <w:r>
              <w:t xml:space="preserve">Vulnerability Dashboard</w:t>
            </w:r>
          </w:p>
        </w:tc>
        <w:tc>
          <w:tcPr/>
          <w:p>
            <w:pPr>
              <w:pStyle w:val="Compact"/>
            </w:pPr>
            <w:r>
              <w:t xml:space="preserve">Daily</w:t>
            </w:r>
          </w:p>
        </w:tc>
      </w:tr>
      <w:tr>
        <w:tc>
          <w:tcPr/>
          <w:p>
            <w:pPr>
              <w:pStyle w:val="Compact"/>
            </w:pPr>
            <w:r>
              <w:t xml:space="preserve">SBOM drift / CVE ingestion</w:t>
            </w:r>
          </w:p>
        </w:tc>
        <w:tc>
          <w:tcPr/>
          <w:p>
            <w:pPr>
              <w:pStyle w:val="Compact"/>
            </w:pPr>
            <w:r>
              <w:t xml:space="preserve">KSI-CMT / KSI-SCR</w:t>
            </w:r>
          </w:p>
        </w:tc>
        <w:tc>
          <w:tcPr/>
          <w:p>
            <w:pPr>
              <w:pStyle w:val="Compact"/>
            </w:pPr>
            <w:r>
              <w:t xml:space="preserve">SBOM Dashboard</w:t>
            </w:r>
          </w:p>
        </w:tc>
        <w:tc>
          <w:tcPr/>
          <w:p>
            <w:pPr>
              <w:pStyle w:val="Compact"/>
            </w:pPr>
            <w:r>
              <w:t xml:space="preserve">Per-commit</w:t>
            </w:r>
          </w:p>
        </w:tc>
      </w:tr>
      <w:tr>
        <w:tc>
          <w:tcPr/>
          <w:p>
            <w:pPr>
              <w:pStyle w:val="Compact"/>
            </w:pPr>
            <w:r>
              <w:t xml:space="preserve">Log completeness</w:t>
            </w:r>
          </w:p>
        </w:tc>
        <w:tc>
          <w:tcPr/>
          <w:p>
            <w:pPr>
              <w:pStyle w:val="Compact"/>
            </w:pPr>
            <w:r>
              <w:t xml:space="preserve">KSI-MLA</w:t>
            </w:r>
          </w:p>
        </w:tc>
        <w:tc>
          <w:tcPr/>
          <w:p>
            <w:pPr>
              <w:pStyle w:val="Compact"/>
            </w:pPr>
            <w:r>
              <w:t xml:space="preserve">Log Analytics Health</w:t>
            </w:r>
          </w:p>
        </w:tc>
        <w:tc>
          <w:tcPr/>
          <w:p>
            <w:pPr>
              <w:pStyle w:val="Compact"/>
            </w:pPr>
            <w:r>
              <w:t xml:space="preserve">Hourly</w:t>
            </w:r>
          </w:p>
        </w:tc>
      </w:tr>
    </w:tbl>
    <w:p>
      <w:r>
        <w:pict>
          <v:rect style="width:0;height:1.5pt" o:hralign="center" o:hrstd="t" o:hr="t"/>
        </w:pict>
      </w:r>
    </w:p>
    <w:bookmarkEnd w:id="41"/>
    <w:bookmarkEnd w:id="42"/>
    <w:bookmarkStart w:id="47" w:name="security-contact-registry-pm-15"/>
    <w:p>
      <w:pPr>
        <w:pStyle w:val="Heading1"/>
      </w:pPr>
      <w:r>
        <w:t xml:space="preserve">7. Security Contact Registry (PM-15)</w:t>
      </w:r>
    </w:p>
    <w:bookmarkStart w:id="46" w:name="industry-and-government-liaison-contacts"/>
    <w:p>
      <w:pPr>
        <w:pStyle w:val="Heading2"/>
      </w:pPr>
      <w:r>
        <w:t xml:space="preserve">7.1 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43" w:name="government-contacts"/>
    <w:p>
      <w:pPr>
        <w:pStyle w:val="Heading3"/>
      </w:pPr>
      <w:r>
        <w:t xml:space="preserve">7.1.1 Government Contacts</w:t>
      </w:r>
    </w:p>
    <w:tbl>
      <w:tblPr>
        <w:tblStyle w:val="Table"/>
        <w:tblW w:type="pct" w:w="5000"/>
        <w:tblLayout w:type="fixed"/>
        <w:tblLook w:firstRow="1" w:lastRow="0" w:firstColumn="0" w:lastColumn="0" w:noHBand="0" w:noVBand="0" w:val="0020"/>
      </w:tblPr>
      <w:tblGrid>
        <w:gridCol w:w="1634"/>
        <w:gridCol w:w="1634"/>
        <w:gridCol w:w="2640"/>
        <w:gridCol w:w="2011"/>
      </w:tblGrid>
      <w:tr>
        <w:trPr>
          <w:tblHeader w:val="on"/>
        </w:trPr>
        <w:tc>
          <w:tcPr/>
          <w:p>
            <w:pPr>
              <w:pStyle w:val="Compact"/>
            </w:pPr>
            <w:r>
              <w:t xml:space="preserve">Organization</w:t>
            </w:r>
          </w:p>
        </w:tc>
        <w:tc>
          <w:tcPr/>
          <w:p>
            <w:pPr>
              <w:pStyle w:val="Compact"/>
            </w:pPr>
            <w:r>
              <w:t xml:space="preserve">Contact Type</w:t>
            </w:r>
          </w:p>
        </w:tc>
        <w:tc>
          <w:tcPr/>
          <w:p>
            <w:pPr>
              <w:pStyle w:val="Compact"/>
            </w:pPr>
            <w:r>
              <w:t xml:space="preserve">Notification Trigger</w:t>
            </w:r>
          </w:p>
        </w:tc>
        <w:tc>
          <w:tcPr/>
          <w:p>
            <w:pPr>
              <w:pStyle w:val="Compact"/>
            </w:pPr>
            <w:r>
              <w:t xml:space="preserve">Contact Method</w:t>
            </w:r>
          </w:p>
        </w:tc>
      </w:tr>
      <w:tr>
        <w:tc>
          <w:tcPr/>
          <w:p>
            <w:pPr>
              <w:pStyle w:val="Compact"/>
            </w:pPr>
            <w:r>
              <w:t xml:space="preserve">CISA (US-CERT)</w:t>
            </w:r>
          </w:p>
        </w:tc>
        <w:tc>
          <w:tcPr/>
          <w:p>
            <w:pPr>
              <w:pStyle w:val="Compact"/>
            </w:pPr>
            <w:r>
              <w:t xml:space="preserve">Incident reporting</w:t>
            </w:r>
          </w:p>
        </w:tc>
        <w:tc>
          <w:tcPr/>
          <w:p>
            <w:pPr>
              <w:pStyle w:val="Compact"/>
            </w:pPr>
            <w:r>
              <w:t xml:space="preserve">All incidents meeting FISMA thresholds</w:t>
            </w:r>
          </w:p>
        </w:tc>
        <w:tc>
          <w:tcPr/>
          <w:p>
            <w:pPr>
              <w:pStyle w:val="Compact"/>
            </w:pPr>
            <w:r>
              <w:t xml:space="preserve">ir@cisa.dhs.gov</w:t>
            </w:r>
          </w:p>
        </w:tc>
      </w:tr>
      <w:tr>
        <w:tc>
          <w:tcPr/>
          <w:p>
            <w:pPr>
              <w:pStyle w:val="Compact"/>
            </w:pPr>
            <w:r>
              <w:t xml:space="preserve">CISA KEV team</w:t>
            </w:r>
          </w:p>
        </w:tc>
        <w:tc>
          <w:tcPr/>
          <w:p>
            <w:pPr>
              <w:pStyle w:val="Compact"/>
            </w:pPr>
            <w:r>
              <w:t xml:space="preserve">Vulnerability intel</w:t>
            </w:r>
          </w:p>
        </w:tc>
        <w:tc>
          <w:tcPr/>
          <w:p>
            <w:pPr>
              <w:pStyle w:val="Compact"/>
            </w:pPr>
            <w:r>
              <w:t xml:space="preserve">KEV additions affecting SSA SBOM components</w:t>
            </w:r>
          </w:p>
        </w:tc>
        <w:tc>
          <w:tcPr/>
          <w:p>
            <w:pPr>
              <w:pStyle w:val="Compact"/>
            </w:pPr>
            <w:r>
              <w:t xml:space="preserve">kev@cisa.dhs.gov</w:t>
            </w:r>
          </w:p>
        </w:tc>
      </w:tr>
      <w:tr>
        <w:tc>
          <w:tcPr/>
          <w:p>
            <w:pPr>
              <w:pStyle w:val="Compact"/>
            </w:pPr>
            <w:r>
              <w:t xml:space="preserve">FedRAMP PMO</w:t>
            </w:r>
          </w:p>
        </w:tc>
        <w:tc>
          <w:tcPr/>
          <w:p>
            <w:pPr>
              <w:pStyle w:val="Compact"/>
            </w:pPr>
            <w:r>
              <w:t xml:space="preserve">Inherited CSO authorizations (M365 GCC, GovCloud, DDI SaaS)</w:t>
            </w:r>
          </w:p>
        </w:tc>
        <w:tc>
          <w:tcPr/>
          <w:p>
            <w:pPr>
              <w:pStyle w:val="Compact"/>
            </w:pPr>
            <w:r>
              <w:t xml:space="preserve">Change in an inherited authorization’s status or 20x transition timeline</w:t>
            </w:r>
          </w:p>
        </w:tc>
        <w:tc>
          <w:tcPr/>
          <w:p>
            <w:pPr>
              <w:pStyle w:val="Compact"/>
            </w:pPr>
            <w:r>
              <w:t xml:space="preserve">info@fedramp.gov</w:t>
            </w:r>
          </w:p>
        </w:tc>
      </w:tr>
      <w:tr>
        <w:tc>
          <w:tcPr/>
          <w:p>
            <w:pPr>
              <w:pStyle w:val="Compact"/>
            </w:pPr>
            <w:r>
              <w:t xml:space="preserve">OMB Cyber</w:t>
            </w:r>
          </w:p>
        </w:tc>
        <w:tc>
          <w:tcPr/>
          <w:p>
            <w:pPr>
              <w:pStyle w:val="Compact"/>
            </w:pPr>
            <w:r>
              <w:t xml:space="preserve">Policy guidance</w:t>
            </w:r>
          </w:p>
        </w:tc>
        <w:tc>
          <w:tcPr/>
          <w:p>
            <w:pPr>
              <w:pStyle w:val="Compact"/>
            </w:pPr>
            <w:r>
              <w:t xml:space="preserve">Major policy changes</w:t>
            </w:r>
          </w:p>
        </w:tc>
        <w:tc>
          <w:tcPr/>
          <w:p>
            <w:pPr>
              <w:pStyle w:val="Compact"/>
            </w:pPr>
            <w:r>
              <w:t xml:space="preserve">[OMB POC]</w:t>
            </w:r>
          </w:p>
        </w:tc>
      </w:tr>
      <w:tr>
        <w:tc>
          <w:tcPr/>
          <w:p>
            <w:pPr>
              <w:pStyle w:val="Compact"/>
            </w:pPr>
            <w:r>
              <w:t xml:space="preserve">SSA IG</w:t>
            </w:r>
          </w:p>
        </w:tc>
        <w:tc>
          <w:tcPr/>
          <w:p>
            <w:pPr>
              <w:pStyle w:val="Compact"/>
            </w:pPr>
            <w:r>
              <w:t xml:space="preserve">Audit coordination</w:t>
            </w:r>
          </w:p>
        </w:tc>
        <w:tc>
          <w:tcPr/>
          <w:p>
            <w:pPr>
              <w:pStyle w:val="Compact"/>
            </w:pPr>
            <w:r>
              <w:t xml:space="preserve">Audit notification, investigation referral</w:t>
            </w:r>
          </w:p>
        </w:tc>
        <w:tc>
          <w:tcPr/>
          <w:p>
            <w:pPr>
              <w:pStyle w:val="Compact"/>
            </w:pPr>
            <w:r>
              <w:t xml:space="preserve">[IG POC]</w:t>
            </w:r>
          </w:p>
        </w:tc>
      </w:tr>
    </w:tbl>
    <w:bookmarkEnd w:id="43"/>
    <w:bookmarkStart w:id="44" w:name="industry-and-isac-contacts"/>
    <w:p>
      <w:pPr>
        <w:pStyle w:val="Heading3"/>
      </w:pPr>
      <w:r>
        <w:t xml:space="preserve">7.1.2 Industry and ISAC Contacts</w:t>
      </w:r>
    </w:p>
    <w:tbl>
      <w:tblPr>
        <w:tblStyle w:val="Table"/>
        <w:tblW w:type="pct" w:w="5000"/>
        <w:tblLayout w:type="fixed"/>
        <w:tblLook w:firstRow="1" w:lastRow="0" w:firstColumn="0" w:lastColumn="0" w:noHBand="0" w:noVBand="0" w:val="0020"/>
      </w:tblPr>
      <w:tblGrid>
        <w:gridCol w:w="2101"/>
        <w:gridCol w:w="1777"/>
        <w:gridCol w:w="2586"/>
        <w:gridCol w:w="1454"/>
      </w:tblGrid>
      <w:tr>
        <w:trPr>
          <w:tblHeader w:val="on"/>
        </w:trPr>
        <w:tc>
          <w:tcPr/>
          <w:p>
            <w:pPr>
              <w:pStyle w:val="Compact"/>
            </w:pPr>
            <w:r>
              <w:t xml:space="preserve">Organization</w:t>
            </w:r>
          </w:p>
        </w:tc>
        <w:tc>
          <w:tcPr/>
          <w:p>
            <w:pPr>
              <w:pStyle w:val="Compact"/>
            </w:pPr>
            <w:r>
              <w:t xml:space="preserve">Membership</w:t>
            </w:r>
          </w:p>
        </w:tc>
        <w:tc>
          <w:tcPr/>
          <w:p>
            <w:pPr>
              <w:pStyle w:val="Compact"/>
            </w:pPr>
            <w:r>
              <w:t xml:space="preserve">Contact Purpose</w:t>
            </w:r>
          </w:p>
        </w:tc>
        <w:tc>
          <w:tcPr/>
          <w:p>
            <w:pPr>
              <w:pStyle w:val="Compact"/>
            </w:pPr>
            <w:r>
              <w:t xml:space="preserve">Cadence</w:t>
            </w:r>
          </w:p>
        </w:tc>
      </w:tr>
      <w:tr>
        <w:tc>
          <w:tcPr/>
          <w:p>
            <w:pPr>
              <w:pStyle w:val="Compact"/>
            </w:pPr>
            <w:r>
              <w:t xml:space="preserve">MS-ISAC</w:t>
            </w:r>
          </w:p>
        </w:tc>
        <w:tc>
          <w:tcPr/>
          <w:p>
            <w:pPr>
              <w:pStyle w:val="Compact"/>
            </w:pPr>
            <w:r>
              <w:t xml:space="preserve">Active member</w:t>
            </w:r>
          </w:p>
        </w:tc>
        <w:tc>
          <w:tcPr/>
          <w:p>
            <w:pPr>
              <w:pStyle w:val="Compact"/>
            </w:pPr>
            <w:r>
              <w:t xml:space="preserve">Threat intelligence sharing</w:t>
            </w:r>
          </w:p>
        </w:tc>
        <w:tc>
          <w:tcPr/>
          <w:p>
            <w:pPr>
              <w:pStyle w:val="Compact"/>
            </w:pPr>
            <w:r>
              <w:t xml:space="preserve">Monthly briefing</w:t>
            </w:r>
          </w:p>
        </w:tc>
      </w:tr>
      <w:tr>
        <w:tc>
          <w:tcPr/>
          <w:p>
            <w:pPr>
              <w:pStyle w:val="Compact"/>
            </w:pPr>
            <w:r>
              <w:t xml:space="preserve">IT-ISAC</w:t>
            </w:r>
          </w:p>
        </w:tc>
        <w:tc>
          <w:tcPr/>
          <w:p>
            <w:pPr>
              <w:pStyle w:val="Compact"/>
            </w:pPr>
            <w:r>
              <w:t xml:space="preserve">Liaison</w:t>
            </w:r>
          </w:p>
        </w:tc>
        <w:tc>
          <w:tcPr/>
          <w:p>
            <w:pPr>
              <w:pStyle w:val="Compact"/>
            </w:pPr>
            <w:r>
              <w:t xml:space="preserve">Federal IT threat feeds</w:t>
            </w:r>
          </w:p>
        </w:tc>
        <w:tc>
          <w:tcPr/>
          <w:p>
            <w:pPr>
              <w:pStyle w:val="Compact"/>
            </w:pPr>
            <w:r>
              <w:t xml:space="preserve">Quarterly</w:t>
            </w:r>
          </w:p>
        </w:tc>
      </w:tr>
      <w:tr>
        <w:tc>
          <w:tcPr/>
          <w:p>
            <w:pPr>
              <w:pStyle w:val="Compact"/>
            </w:pPr>
            <w:r>
              <w:t xml:space="preserve">Microsoft MSRC</w:t>
            </w:r>
          </w:p>
        </w:tc>
        <w:tc>
          <w:tcPr/>
          <w:p>
            <w:pPr>
              <w:pStyle w:val="Compact"/>
            </w:pPr>
            <w:r>
              <w:t xml:space="preserve">Vendor subscription</w:t>
            </w:r>
          </w:p>
        </w:tc>
        <w:tc>
          <w:tcPr/>
          <w:p>
            <w:pPr>
              <w:pStyle w:val="Compact"/>
            </w:pPr>
            <w:r>
              <w:t xml:space="preserve">CVE notification for Azure/M365</w:t>
            </w:r>
          </w:p>
        </w:tc>
        <w:tc>
          <w:tcPr/>
          <w:p>
            <w:pPr>
              <w:pStyle w:val="Compact"/>
            </w:pPr>
            <w:r>
              <w:t xml:space="preserve">Automatic (RSS)</w:t>
            </w:r>
          </w:p>
        </w:tc>
      </w:tr>
      <w:tr>
        <w:tc>
          <w:tcPr/>
          <w:p>
            <w:pPr>
              <w:pStyle w:val="Compact"/>
            </w:pPr>
            <w:r>
              <w:t xml:space="preserve">CISA PSIRT feeds</w:t>
            </w:r>
          </w:p>
        </w:tc>
        <w:tc>
          <w:tcPr/>
          <w:p>
            <w:pPr>
              <w:pStyle w:val="Compact"/>
            </w:pPr>
            <w:r>
              <w:t xml:space="preserve">Subscription</w:t>
            </w:r>
          </w:p>
        </w:tc>
        <w:tc>
          <w:tcPr/>
          <w:p>
            <w:pPr>
              <w:pStyle w:val="Compact"/>
            </w:pPr>
            <w:r>
              <w:t xml:space="preserve">VEX/VDR-relevant vendor advisories</w:t>
            </w:r>
          </w:p>
        </w:tc>
        <w:tc>
          <w:tcPr/>
          <w:p>
            <w:pPr>
              <w:pStyle w:val="Compact"/>
            </w:pPr>
            <w:r>
              <w:t xml:space="preserve">Automatic</w:t>
            </w:r>
          </w:p>
        </w:tc>
      </w:tr>
      <w:tr>
        <w:tc>
          <w:tcPr/>
          <w:p>
            <w:pPr>
              <w:pStyle w:val="Compact"/>
            </w:pPr>
            <w:r>
              <w:t xml:space="preserve">NIST NVD</w:t>
            </w:r>
          </w:p>
        </w:tc>
        <w:tc>
          <w:tcPr/>
          <w:p>
            <w:pPr>
              <w:pStyle w:val="Compact"/>
            </w:pPr>
            <w:r>
              <w:t xml:space="preserve">Data consumer</w:t>
            </w:r>
          </w:p>
        </w:tc>
        <w:tc>
          <w:tcPr/>
          <w:p>
            <w:pPr>
              <w:pStyle w:val="Compact"/>
            </w:pPr>
            <w:r>
              <w:t xml:space="preserve">CVE/CVSS feed for SBOM VDR generation</w:t>
            </w:r>
          </w:p>
        </w:tc>
        <w:tc>
          <w:tcPr/>
          <w:p>
            <w:pPr>
              <w:pStyle w:val="Compact"/>
            </w:pPr>
            <w:r>
              <w:t xml:space="preserve">Daily automated pull</w:t>
            </w:r>
          </w:p>
        </w:tc>
      </w:tr>
    </w:tbl>
    <w:bookmarkEnd w:id="44"/>
    <w:bookmarkStart w:id="45" w:name="security-industry-contacts"/>
    <w:p>
      <w:pPr>
        <w:pStyle w:val="Heading3"/>
      </w:pPr>
      <w:r>
        <w:t xml:space="preserve">7.1.3 Security Industry Contacts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Organization</w:t>
            </w:r>
          </w:p>
        </w:tc>
        <w:tc>
          <w:tcPr/>
          <w:p>
            <w:pPr>
              <w:pStyle w:val="Compact"/>
            </w:pPr>
            <w:r>
              <w:t xml:space="preserve">Purpose</w:t>
            </w:r>
          </w:p>
        </w:tc>
      </w:tr>
      <w:tr>
        <w:tc>
          <w:tcPr/>
          <w:p>
            <w:pPr>
              <w:pStyle w:val="Compact"/>
            </w:pPr>
            <w:r>
              <w:t xml:space="preserve">Cloud Security Alliance (CSA)</w:t>
            </w:r>
          </w:p>
        </w:tc>
        <w:tc>
          <w:tcPr/>
          <w:p>
            <w:pPr>
              <w:pStyle w:val="Compact"/>
            </w:pPr>
            <w:r>
              <w:t xml:space="preserve">FedRAMP best practices; STAR registry</w:t>
            </w:r>
          </w:p>
        </w:tc>
      </w:tr>
      <w:tr>
        <w:tc>
          <w:tcPr/>
          <w:p>
            <w:pPr>
              <w:pStyle w:val="Compact"/>
            </w:pPr>
            <w:r>
              <w:t xml:space="preserve">ACT-IAC</w:t>
            </w:r>
          </w:p>
        </w:tc>
        <w:tc>
          <w:tcPr/>
          <w:p>
            <w:pPr>
              <w:pStyle w:val="Compact"/>
            </w:pPr>
            <w:r>
              <w:t xml:space="preserve">Federal IT policy; FedRAMP 20x working groups</w:t>
            </w:r>
          </w:p>
        </w:tc>
      </w:tr>
      <w:tr>
        <w:tc>
          <w:tcPr/>
          <w:p>
            <w:pPr>
              <w:pStyle w:val="Compact"/>
            </w:pPr>
            <w:r>
              <w:t xml:space="preserve">ISACA</w:t>
            </w:r>
          </w:p>
        </w:tc>
        <w:tc>
          <w:tcPr/>
          <w:p>
            <w:pPr>
              <w:pStyle w:val="Compact"/>
            </w:pPr>
            <w:r>
              <w:t xml:space="preserve">Audit frameworks; COBIT alignment</w:t>
            </w:r>
          </w:p>
        </w:tc>
      </w:tr>
    </w:tbl>
    <w:p>
      <w:r>
        <w:pict>
          <v:rect style="width:0;height:1.5pt" o:hralign="center" o:hrstd="t" o:hr="t"/>
        </w:pict>
      </w:r>
    </w:p>
    <w:bookmarkEnd w:id="45"/>
    <w:bookmarkEnd w:id="46"/>
    <w:bookmarkEnd w:id="47"/>
    <w:bookmarkStart w:id="56" w:name="Xcb7d7a12a521ad2f34fcbc9b78b5c55b738633c"/>
    <w:p>
      <w:pPr>
        <w:pStyle w:val="Heading1"/>
      </w:pPr>
      <w:r>
        <w:t xml:space="preserve">8. Supply Chain Risk Management Governance Charter (PM-30)</w:t>
      </w:r>
    </w:p>
    <w:bookmarkStart w:id="48" w:name="charter-purpose-and-authority"/>
    <w:p>
      <w:pPr>
        <w:pStyle w:val="Heading2"/>
      </w:pPr>
      <w:r>
        <w:t xml:space="preserve">8.1 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
          <w:bCs/>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
          <w:bCs/>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48"/>
    <w:bookmarkStart w:id="49" w:name="scrm-organizational-structure"/>
    <w:p>
      <w:pPr>
        <w:pStyle w:val="Heading2"/>
      </w:pPr>
      <w:r>
        <w:t xml:space="preserve">8.2 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49"/>
    <w:bookmarkStart w:id="50" w:name="scrm-risk-categories"/>
    <w:p>
      <w:pPr>
        <w:pStyle w:val="Heading2"/>
      </w:pPr>
      <w:r>
        <w:t xml:space="preserve">8.3 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ayout w:type="fixed"/>
        <w:tblLook w:firstRow="1" w:lastRow="0" w:firstColumn="0" w:lastColumn="0" w:noHBand="0" w:noVBand="0" w:val="0020"/>
      </w:tblPr>
      <w:tblGrid>
        <w:gridCol w:w="1650"/>
        <w:gridCol w:w="1485"/>
        <w:gridCol w:w="1650"/>
        <w:gridCol w:w="3135"/>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Controls</w:t>
            </w:r>
          </w:p>
        </w:tc>
        <w:tc>
          <w:tcPr/>
          <w:p>
            <w:pPr>
              <w:pStyle w:val="Compact"/>
            </w:pPr>
            <w:r>
              <w:t xml:space="preserve">Part 15/16 Evidence</w:t>
            </w:r>
          </w:p>
        </w:tc>
      </w:tr>
      <w:tr>
        <w:tc>
          <w:tcPr/>
          <w:p>
            <w:pPr>
              <w:pStyle w:val="Compact"/>
            </w:pPr>
            <w:r>
              <w:rPr>
                <w:b/>
                <w:bCs/>
              </w:rPr>
              <w:t xml:space="preserve">Counterfeit components</w:t>
            </w:r>
          </w:p>
        </w:tc>
        <w:tc>
          <w:tcPr/>
          <w:p>
            <w:pPr>
              <w:pStyle w:val="Compact"/>
            </w:pPr>
            <w:r>
              <w:t xml:space="preserve">Fake open-source packages, typosquatting</w:t>
            </w:r>
          </w:p>
        </w:tc>
        <w:tc>
          <w:tcPr/>
          <w:p>
            <w:pPr>
              <w:pStyle w:val="Compact"/>
            </w:pPr>
            <w:r>
              <w:t xml:space="preserve">SR-3, SR-10</w:t>
            </w:r>
          </w:p>
        </w:tc>
        <w:tc>
          <w:tcPr/>
          <w:p>
            <w:pPr>
              <w:pStyle w:val="Compact"/>
            </w:pPr>
            <w:r>
              <w:t xml:space="preserve">SBOM + Cosign verification</w:t>
            </w:r>
          </w:p>
        </w:tc>
      </w:tr>
      <w:tr>
        <w:tc>
          <w:tcPr/>
          <w:p>
            <w:pPr>
              <w:pStyle w:val="Compact"/>
            </w:pPr>
            <w:r>
              <w:rPr>
                <w:b/>
                <w:bCs/>
              </w:rPr>
              <w:t xml:space="preserve">Tampered components</w:t>
            </w:r>
          </w:p>
        </w:tc>
        <w:tc>
          <w:tcPr/>
          <w:p>
            <w:pPr>
              <w:pStyle w:val="Compact"/>
            </w:pPr>
            <w:r>
              <w:t xml:space="preserve">Compromised build pipeline, malicious update</w:t>
            </w:r>
          </w:p>
        </w:tc>
        <w:tc>
          <w:tcPr/>
          <w:p>
            <w:pPr>
              <w:pStyle w:val="Compact"/>
            </w:pPr>
            <w:r>
              <w:t xml:space="preserve">SR-3, SA-10, SA-11</w:t>
            </w:r>
          </w:p>
        </w:tc>
        <w:tc>
          <w:tcPr/>
          <w:p>
            <w:pPr>
              <w:pStyle w:val="Compact"/>
            </w:pPr>
            <w:r>
              <w:t xml:space="preserve">SLSA provenance, Grype CI gate</w:t>
            </w:r>
          </w:p>
        </w:tc>
      </w:tr>
      <w:tr>
        <w:tc>
          <w:tcPr/>
          <w:p>
            <w:pPr>
              <w:pStyle w:val="Compact"/>
            </w:pPr>
            <w:r>
              <w:rPr>
                <w:b/>
                <w:bCs/>
              </w:rPr>
              <w:t xml:space="preserve">Vulnerable components</w:t>
            </w:r>
          </w:p>
        </w:tc>
        <w:tc>
          <w:tcPr/>
          <w:p>
            <w:pPr>
              <w:pStyle w:val="Compact"/>
            </w:pPr>
            <w:r>
              <w:t xml:space="preserve">Known CVEs in SBOM dependencies</w:t>
            </w:r>
          </w:p>
        </w:tc>
        <w:tc>
          <w:tcPr/>
          <w:p>
            <w:pPr>
              <w:pStyle w:val="Compact"/>
            </w:pPr>
            <w:r>
              <w:t xml:space="preserve">SR-5, SR-6, SR-11</w:t>
            </w:r>
          </w:p>
        </w:tc>
        <w:tc>
          <w:tcPr/>
          <w:p>
            <w:pPr>
              <w:pStyle w:val="Compact"/>
            </w:pPr>
            <w:r>
              <w:t xml:space="preserve">VDR (Grype output), KEV integration</w:t>
            </w:r>
          </w:p>
        </w:tc>
      </w:tr>
      <w:tr>
        <w:tc>
          <w:tcPr/>
          <w:p>
            <w:pPr>
              <w:pStyle w:val="Compact"/>
            </w:pPr>
            <w:r>
              <w:rPr>
                <w:b/>
                <w:bCs/>
              </w:rPr>
              <w:t xml:space="preserve">Unauthorized access by supplier</w:t>
            </w:r>
          </w:p>
        </w:tc>
        <w:tc>
          <w:tcPr/>
          <w:p>
            <w:pPr>
              <w:pStyle w:val="Compact"/>
            </w:pPr>
            <w:r>
              <w:t xml:space="preserve">Vendor with excessive access</w:t>
            </w:r>
          </w:p>
        </w:tc>
        <w:tc>
          <w:tcPr/>
          <w:p>
            <w:pPr>
              <w:pStyle w:val="Compact"/>
            </w:pPr>
            <w:r>
              <w:t xml:space="preserve">SR-6, AC-21</w:t>
            </w:r>
          </w:p>
        </w:tc>
        <w:tc>
          <w:tcPr/>
          <w:p>
            <w:pPr>
              <w:pStyle w:val="Compact"/>
            </w:pPr>
            <w:r>
              <w:t xml:space="preserve">Part 5 vendor access review</w:t>
            </w:r>
          </w:p>
        </w:tc>
      </w:tr>
      <w:tr>
        <w:tc>
          <w:tcPr/>
          <w:p>
            <w:pPr>
              <w:pStyle w:val="Compact"/>
            </w:pPr>
            <w:r>
              <w:rPr>
                <w:b/>
                <w:bCs/>
              </w:rPr>
              <w:t xml:space="preserve">Vendor financial/operational risk</w:t>
            </w:r>
          </w:p>
        </w:tc>
        <w:tc>
          <w:tcPr/>
          <w:p>
            <w:pPr>
              <w:pStyle w:val="Compact"/>
            </w:pPr>
            <w:r>
              <w:t xml:space="preserve">Vendor bankruptcy, PSIRT closure</w:t>
            </w:r>
          </w:p>
        </w:tc>
        <w:tc>
          <w:tcPr/>
          <w:p>
            <w:pPr>
              <w:pStyle w:val="Compact"/>
            </w:pPr>
            <w:r>
              <w:t xml:space="preserve">SR-8, PM-9</w:t>
            </w:r>
          </w:p>
        </w:tc>
        <w:tc>
          <w:tcPr/>
          <w:p>
            <w:pPr>
              <w:pStyle w:val="Compact"/>
            </w:pPr>
            <w:r>
              <w:t xml:space="preserve">Vendor disclosure matrix (Part 15)</w:t>
            </w:r>
          </w:p>
        </w:tc>
      </w:tr>
    </w:tbl>
    <w:bookmarkEnd w:id="50"/>
    <w:bookmarkStart w:id="51" w:name="scrm-risk-assessment-process"/>
    <w:p>
      <w:pPr>
        <w:pStyle w:val="Heading2"/>
      </w:pPr>
      <w:r>
        <w:t xml:space="preserve">8.4 SCRM Risk Assessment Process</w:t>
      </w:r>
    </w:p>
    <w:p>
      <w:pPr>
        <w:pStyle w:val="FirstParagraph"/>
      </w:pPr>
      <w:r>
        <w:t xml:space="preserve">The SCRM risk assessment is performed:</w:t>
      </w:r>
      <w:r>
        <w:t xml:space="preserve"> </w:t>
      </w:r>
      <w:r>
        <w:t xml:space="preserve">-</w:t>
      </w:r>
      <w:r>
        <w:t xml:space="preserve"> </w:t>
      </w:r>
      <w:r>
        <w:rPr>
          <w:b/>
          <w:bCs/>
        </w:rPr>
        <w:t xml:space="preserve">Annually</w:t>
      </w:r>
      <w:r>
        <w:t xml:space="preserve"> </w:t>
      </w:r>
      <w:r>
        <w:t xml:space="preserve">— full assessment of all critical suppliers</w:t>
      </w:r>
      <w:r>
        <w:t xml:space="preserve"> </w:t>
      </w:r>
      <w:r>
        <w:t xml:space="preserve">-</w:t>
      </w:r>
      <w:r>
        <w:t xml:space="preserve"> </w:t>
      </w:r>
      <w:r>
        <w:rPr>
          <w:b/>
          <w:bCs/>
        </w:rPr>
        <w:t xml:space="preserve">On new procurement</w:t>
      </w:r>
      <w:r>
        <w:t xml:space="preserve"> </w:t>
      </w:r>
      <w:r>
        <w:t xml:space="preserve">— for any new third-party software component</w:t>
      </w:r>
      <w:r>
        <w:t xml:space="preserve"> </w:t>
      </w:r>
      <w:r>
        <w:t xml:space="preserve">-</w:t>
      </w:r>
      <w:r>
        <w:t xml:space="preserve"> </w:t>
      </w:r>
      <w:r>
        <w:rPr>
          <w:b/>
          <w:bCs/>
        </w:rPr>
        <w:t xml:space="preserve">On CVE disclosure</w:t>
      </w:r>
      <w:r>
        <w:t xml:space="preserve"> </w:t>
      </w:r>
      <w:r>
        <w:t xml:space="preserve">— triggered by KEV additions or vendor PSIRT advisories</w:t>
      </w:r>
      <w:r>
        <w:t xml:space="preserve"> </w:t>
      </w:r>
      <w:r>
        <w:t xml:space="preserve">-</w:t>
      </w:r>
      <w:r>
        <w:t xml:space="preserve"> </w:t>
      </w:r>
      <w:r>
        <w:rPr>
          <w:b/>
          <w:bCs/>
        </w:rPr>
        <w:t xml:space="preserve">On change</w:t>
      </w:r>
      <w:r>
        <w:t xml:space="preserve"> </w:t>
      </w:r>
      <w:r>
        <w:t xml:space="preserve">— when the SBOM diff shows a new dependency or version bump</w:t>
      </w:r>
    </w:p>
    <w:p>
      <w:pPr>
        <w:pStyle w:val="BodyText"/>
      </w:pPr>
      <w:r>
        <w:rPr>
          <w:b/>
          <w:bCs/>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
          <w:bCs/>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51"/>
    <w:bookmarkStart w:id="52" w:name="supplier-requirements"/>
    <w:p>
      <w:pPr>
        <w:pStyle w:val="Heading2"/>
      </w:pPr>
      <w:r>
        <w:t xml:space="preserve">8.5 Supplier Requirements</w:t>
      </w:r>
    </w:p>
    <w:p>
      <w:pPr>
        <w:pStyle w:val="FirstParagraph"/>
      </w:pPr>
      <w:r>
        <w:t xml:space="preserve">All suppliers of software components within the authorization boundary must:</w:t>
      </w:r>
    </w:p>
    <w:p>
      <w:pPr>
        <w:pStyle w:val="Compact"/>
        <w:numPr>
          <w:ilvl w:val="0"/>
          <w:numId w:val="1010"/>
        </w:numPr>
      </w:pPr>
      <w:r>
        <w:rPr>
          <w:b/>
          <w:bCs/>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pStyle w:val="Compact"/>
        <w:numPr>
          <w:ilvl w:val="0"/>
          <w:numId w:val="1010"/>
        </w:numPr>
      </w:pPr>
      <w:r>
        <w:rPr>
          <w:b/>
          <w:bCs/>
        </w:rPr>
        <w:t xml:space="preserve">Maintain a PSIRT</w:t>
      </w:r>
      <w:r>
        <w:t xml:space="preserve"> </w:t>
      </w:r>
      <w:r>
        <w:t xml:space="preserve">or designate a security contact reachable within</w:t>
      </w:r>
      <w:r>
        <w:t xml:space="preserve"> </w:t>
      </w:r>
      <w:r>
        <w:t xml:space="preserve">24 hours of a critical CVE disclosure</w:t>
      </w:r>
    </w:p>
    <w:p>
      <w:pPr>
        <w:pStyle w:val="Compact"/>
        <w:numPr>
          <w:ilvl w:val="0"/>
          <w:numId w:val="1010"/>
        </w:numPr>
      </w:pPr>
      <w:r>
        <w:rPr>
          <w:b/>
          <w:bCs/>
        </w:rPr>
        <w:t xml:space="preserve">Notify SSA</w:t>
      </w:r>
      <w:r>
        <w:t xml:space="preserve"> </w:t>
      </w:r>
      <w:r>
        <w:t xml:space="preserve">within 72 hours of discovery of any security incident that</w:t>
      </w:r>
      <w:r>
        <w:t xml:space="preserve"> </w:t>
      </w:r>
      <w:r>
        <w:t xml:space="preserve">may affect components in SSA’s production environment</w:t>
      </w:r>
    </w:p>
    <w:p>
      <w:pPr>
        <w:pStyle w:val="Compact"/>
        <w:numPr>
          <w:ilvl w:val="0"/>
          <w:numId w:val="1010"/>
        </w:numPr>
      </w:pPr>
      <w:r>
        <w:rPr>
          <w:b/>
          <w:bCs/>
        </w:rPr>
        <w:t xml:space="preserve">Submit VEX assertions</w:t>
      </w:r>
      <w:r>
        <w:t xml:space="preserve"> </w:t>
      </w:r>
      <w:r>
        <w:t xml:space="preserve">for CVEs identified in their components within</w:t>
      </w:r>
      <w:r>
        <w:t xml:space="preserve"> </w:t>
      </w:r>
      <w:r>
        <w:t xml:space="preserve">30 days of CISA CVE publication</w:t>
      </w:r>
    </w:p>
    <w:p>
      <w:pPr>
        <w:pStyle w:val="Compact"/>
        <w:numPr>
          <w:ilvl w:val="0"/>
          <w:numId w:val="1010"/>
        </w:numPr>
      </w:pPr>
      <w:r>
        <w:rPr>
          <w:b/>
          <w:bCs/>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52"/>
    <w:bookmarkStart w:id="53" w:name="bod-26-04-compliance-posture"/>
    <w:p>
      <w:pPr>
        <w:pStyle w:val="Heading2"/>
      </w:pPr>
      <w:r>
        <w:t xml:space="preserve">8.6 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
          <w:bCs/>
        </w:rPr>
        <w:t xml:space="preserve">December 7, 2026</w:t>
      </w:r>
      <w:r>
        <w:t xml:space="preserve">.</w:t>
      </w:r>
    </w:p>
    <w:tbl>
      <w:tblPr>
        <w:tblStyle w:val="Table"/>
        <w:tblW w:type="pct" w:w="5000"/>
        <w:tblLayout w:type="fixed"/>
        <w:tblLook w:firstRow="1" w:lastRow="0" w:firstColumn="0" w:lastColumn="0" w:noHBand="0" w:noVBand="0" w:val="0020"/>
      </w:tblPr>
      <w:tblGrid>
        <w:gridCol w:w="2376"/>
        <w:gridCol w:w="2059"/>
        <w:gridCol w:w="1900"/>
        <w:gridCol w:w="1584"/>
      </w:tblGrid>
      <w:tr>
        <w:trPr>
          <w:tblHeader w:val="on"/>
        </w:trPr>
        <w:tc>
          <w:tcPr/>
          <w:p>
            <w:pPr>
              <w:pStyle w:val="Compact"/>
            </w:pPr>
            <w:r>
              <w:t xml:space="preserve">BOD 26-04 Tier</w:t>
            </w:r>
          </w:p>
        </w:tc>
        <w:tc>
          <w:tcPr/>
          <w:p>
            <w:pPr>
              <w:pStyle w:val="Compact"/>
            </w:pPr>
            <w:r>
              <w:t xml:space="preserve">Requirement</w:t>
            </w:r>
          </w:p>
        </w:tc>
        <w:tc>
          <w:tcPr/>
          <w:p>
            <w:pPr>
              <w:pStyle w:val="Compact"/>
            </w:pPr>
            <w:r>
              <w:t xml:space="preserve">SSA Status</w:t>
            </w:r>
          </w:p>
        </w:tc>
        <w:tc>
          <w:tcPr/>
          <w:p>
            <w:pPr>
              <w:pStyle w:val="Compact"/>
            </w:pPr>
            <w:r>
              <w:t xml:space="preserve">Evidence</w:t>
            </w:r>
          </w:p>
        </w:tc>
      </w:tr>
      <w:tr>
        <w:tc>
          <w:tcPr/>
          <w:p>
            <w:pPr>
              <w:pStyle w:val="Compact"/>
            </w:pPr>
            <w:r>
              <w:t xml:space="preserve">Tier 1: SBOM</w:t>
            </w:r>
          </w:p>
        </w:tc>
        <w:tc>
          <w:tcPr/>
          <w:p>
            <w:pPr>
              <w:pStyle w:val="Compact"/>
            </w:pPr>
            <w:r>
              <w:t xml:space="preserve">Machine-readable SBOM for all systems</w:t>
            </w:r>
          </w:p>
        </w:tc>
        <w:tc>
          <w:tcPr/>
          <w:p>
            <w:pPr>
              <w:pStyle w:val="Compact"/>
            </w:pPr>
            <w:r>
              <w:t xml:space="preserve">Implemented</w:t>
            </w:r>
          </w:p>
        </w:tc>
        <w:tc>
          <w:tcPr/>
          <w:p>
            <w:pPr>
              <w:pStyle w:val="Compact"/>
            </w:pPr>
            <w:r>
              <w:t xml:space="preserve">Part 15, Syft pipeline</w:t>
            </w:r>
          </w:p>
        </w:tc>
      </w:tr>
      <w:tr>
        <w:tc>
          <w:tcPr/>
          <w:p>
            <w:pPr>
              <w:pStyle w:val="Compact"/>
            </w:pPr>
            <w:r>
              <w:t xml:space="preserve">Tier 2: VDR</w:t>
            </w:r>
          </w:p>
        </w:tc>
        <w:tc>
          <w:tcPr/>
          <w:p>
            <w:pPr>
              <w:pStyle w:val="Compact"/>
            </w:pPr>
            <w:r>
              <w:t xml:space="preserve">Vulnerability Disclosure Report</w:t>
            </w:r>
          </w:p>
        </w:tc>
        <w:tc>
          <w:tcPr/>
          <w:p>
            <w:pPr>
              <w:pStyle w:val="Compact"/>
            </w:pPr>
            <w:r>
              <w:t xml:space="preserve">Implemented</w:t>
            </w:r>
          </w:p>
        </w:tc>
        <w:tc>
          <w:tcPr/>
          <w:p>
            <w:pPr>
              <w:pStyle w:val="Compact"/>
            </w:pPr>
            <w:r>
              <w:t xml:space="preserve">Part 15, Grype output</w:t>
            </w:r>
          </w:p>
        </w:tc>
      </w:tr>
      <w:tr>
        <w:tc>
          <w:tcPr/>
          <w:p>
            <w:pPr>
              <w:pStyle w:val="Compact"/>
            </w:pPr>
            <w:r>
              <w:t xml:space="preserve">Tier 3: VER</w:t>
            </w:r>
          </w:p>
        </w:tc>
        <w:tc>
          <w:tcPr/>
          <w:p>
            <w:pPr>
              <w:pStyle w:val="Compact"/>
            </w:pPr>
            <w:r>
              <w:t xml:space="preserve">Vulnerability Exploitability eXchange</w:t>
            </w:r>
          </w:p>
        </w:tc>
        <w:tc>
          <w:tcPr/>
          <w:p>
            <w:pPr>
              <w:pStyle w:val="Compact"/>
            </w:pPr>
            <w:r>
              <w:t xml:space="preserve">Implemented</w:t>
            </w:r>
          </w:p>
        </w:tc>
        <w:tc>
          <w:tcPr/>
          <w:p>
            <w:pPr>
              <w:pStyle w:val="Compac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53"/>
    <w:bookmarkStart w:id="54" w:name="scrm-governance-cadence"/>
    <w:p>
      <w:pPr>
        <w:pStyle w:val="Heading2"/>
      </w:pPr>
      <w:r>
        <w:t xml:space="preserve">8.7 SCRM Governance Cadence</w:t>
      </w:r>
    </w:p>
    <w:tbl>
      <w:tblPr>
        <w:tblStyle w:val="Table"/>
        <w:tblW w:type="pct" w:w="5000"/>
        <w:tblLayout w:type="fixed"/>
        <w:tblLook w:firstRow="1" w:lastRow="0" w:firstColumn="0" w:lastColumn="0" w:noHBand="0" w:noVBand="0" w:val="0020"/>
      </w:tblPr>
      <w:tblGrid>
        <w:gridCol w:w="2200"/>
        <w:gridCol w:w="2420"/>
        <w:gridCol w:w="1540"/>
        <w:gridCol w:w="176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Owner</w:t>
            </w:r>
          </w:p>
        </w:tc>
        <w:tc>
          <w:tcPr/>
          <w:p>
            <w:pPr>
              <w:pStyle w:val="Compact"/>
            </w:pPr>
            <w:r>
              <w:t xml:space="preserve">Output</w:t>
            </w:r>
          </w:p>
        </w:tc>
      </w:tr>
      <w:tr>
        <w:tc>
          <w:tcPr/>
          <w:p>
            <w:pPr>
              <w:pStyle w:val="Compact"/>
            </w:pPr>
            <w:r>
              <w:t xml:space="preserve">SBOM scan (CI gate)</w:t>
            </w:r>
          </w:p>
        </w:tc>
        <w:tc>
          <w:tcPr/>
          <w:p>
            <w:pPr>
              <w:pStyle w:val="Compact"/>
            </w:pPr>
            <w:r>
              <w:t xml:space="preserve">Every PR merge</w:t>
            </w:r>
          </w:p>
        </w:tc>
        <w:tc>
          <w:tcPr/>
          <w:p>
            <w:pPr>
              <w:pStyle w:val="Compact"/>
            </w:pPr>
            <w:r>
              <w:t xml:space="preserve">DevSecOps</w:t>
            </w:r>
          </w:p>
        </w:tc>
        <w:tc>
          <w:tcPr/>
          <w:p>
            <w:pPr>
              <w:pStyle w:val="Compact"/>
            </w:pPr>
            <w:r>
              <w:t xml:space="preserve">VDR (Grype)</w:t>
            </w:r>
          </w:p>
        </w:tc>
      </w:tr>
      <w:tr>
        <w:tc>
          <w:tcPr/>
          <w:p>
            <w:pPr>
              <w:pStyle w:val="Compact"/>
            </w:pPr>
            <w:r>
              <w:t xml:space="preserve">VEX assertion review</w:t>
            </w:r>
          </w:p>
        </w:tc>
        <w:tc>
          <w:tcPr/>
          <w:p>
            <w:pPr>
              <w:pStyle w:val="Compact"/>
            </w:pPr>
            <w:r>
              <w:t xml:space="preserve">90-day cycle</w:t>
            </w:r>
          </w:p>
        </w:tc>
        <w:tc>
          <w:tcPr/>
          <w:p>
            <w:pPr>
              <w:pStyle w:val="Compact"/>
            </w:pPr>
            <w:r>
              <w:t xml:space="preserve">ISSO</w:t>
            </w:r>
          </w:p>
        </w:tc>
        <w:tc>
          <w:tcPr/>
          <w:p>
            <w:pPr>
              <w:pStyle w:val="Compact"/>
            </w:pPr>
            <w:r>
              <w:t xml:space="preserve">Signed VEX JSON</w:t>
            </w:r>
          </w:p>
        </w:tc>
      </w:tr>
      <w:tr>
        <w:tc>
          <w:tcPr/>
          <w:p>
            <w:pPr>
              <w:pStyle w:val="Compact"/>
            </w:pPr>
            <w:r>
              <w:t xml:space="preserve">Vendor disclosure matrix review</w:t>
            </w:r>
          </w:p>
        </w:tc>
        <w:tc>
          <w:tcPr/>
          <w:p>
            <w:pPr>
              <w:pStyle w:val="Compact"/>
            </w:pPr>
            <w:r>
              <w:t xml:space="preserve">Annual + on change</w:t>
            </w:r>
          </w:p>
        </w:tc>
        <w:tc>
          <w:tcPr/>
          <w:p>
            <w:pPr>
              <w:pStyle w:val="Compact"/>
            </w:pPr>
            <w:r>
              <w:t xml:space="preserve">Vendor Risk Analyst</w:t>
            </w:r>
          </w:p>
        </w:tc>
        <w:tc>
          <w:tcPr/>
          <w:p>
            <w:pPr>
              <w:pStyle w:val="Compact"/>
            </w:pPr>
            <w:r>
              <w:t xml:space="preserve">Updated matrix</w:t>
            </w:r>
          </w:p>
        </w:tc>
      </w:tr>
      <w:tr>
        <w:tc>
          <w:tcPr/>
          <w:p>
            <w:pPr>
              <w:pStyle w:val="Compact"/>
            </w:pPr>
            <w:r>
              <w:t xml:space="preserve">SCRM risk register review</w:t>
            </w:r>
          </w:p>
        </w:tc>
        <w:tc>
          <w:tcPr/>
          <w:p>
            <w:pPr>
              <w:pStyle w:val="Compact"/>
            </w:pPr>
            <w:r>
              <w:t xml:space="preserve">Quarterly</w:t>
            </w:r>
          </w:p>
        </w:tc>
        <w:tc>
          <w:tcPr/>
          <w:p>
            <w:pPr>
              <w:pStyle w:val="Compact"/>
            </w:pPr>
            <w:r>
              <w:t xml:space="preserve">ISSO</w:t>
            </w:r>
          </w:p>
        </w:tc>
        <w:tc>
          <w:tcPr/>
          <w:p>
            <w:pPr>
              <w:pStyle w:val="Compact"/>
            </w:pPr>
            <w:r>
              <w:t xml:space="preserve">Risk register update</w:t>
            </w:r>
          </w:p>
        </w:tc>
      </w:tr>
      <w:tr>
        <w:tc>
          <w:tcPr/>
          <w:p>
            <w:pPr>
              <w:pStyle w:val="Compact"/>
            </w:pPr>
            <w:r>
              <w:t xml:space="preserve">Supplier SBOM receipt</w:t>
            </w:r>
          </w:p>
        </w:tc>
        <w:tc>
          <w:tcPr/>
          <w:p>
            <w:pPr>
              <w:pStyle w:val="Compact"/>
            </w:pPr>
            <w:r>
              <w:t xml:space="preserve">On delivery + quarterly</w:t>
            </w:r>
          </w:p>
        </w:tc>
        <w:tc>
          <w:tcPr/>
          <w:p>
            <w:pPr>
              <w:pStyle w:val="Compact"/>
            </w:pPr>
            <w:r>
              <w:t xml:space="preserve">Procurement Liaison</w:t>
            </w:r>
          </w:p>
        </w:tc>
        <w:tc>
          <w:tcPr/>
          <w:p>
            <w:pPr>
              <w:pStyle w:val="Compact"/>
            </w:pPr>
            <w:r>
              <w:t xml:space="preserve">Supplier SBOM log</w:t>
            </w:r>
          </w:p>
        </w:tc>
      </w:tr>
      <w:tr>
        <w:tc>
          <w:tcPr/>
          <w:p>
            <w:pPr>
              <w:pStyle w:val="Compact"/>
            </w:pPr>
            <w:r>
              <w:t xml:space="preserve">PSIRT subscription check</w:t>
            </w:r>
          </w:p>
        </w:tc>
        <w:tc>
          <w:tcPr/>
          <w:p>
            <w:pPr>
              <w:pStyle w:val="Compact"/>
            </w:pPr>
            <w:r>
              <w:t xml:space="preserve">Monthly</w:t>
            </w:r>
          </w:p>
        </w:tc>
        <w:tc>
          <w:tcPr/>
          <w:p>
            <w:pPr>
              <w:pStyle w:val="Compact"/>
            </w:pPr>
            <w:r>
              <w:t xml:space="preserve">DevSecOps</w:t>
            </w:r>
          </w:p>
        </w:tc>
        <w:tc>
          <w:tcPr/>
          <w:p>
            <w:pPr>
              <w:pStyle w:val="Compact"/>
            </w:pPr>
            <w:r>
              <w:t xml:space="preserve">Subscription roster</w:t>
            </w:r>
          </w:p>
        </w:tc>
      </w:tr>
      <w:tr>
        <w:tc>
          <w:tcPr/>
          <w:p>
            <w:pPr>
              <w:pStyle w:val="Compact"/>
            </w:pPr>
            <w:r>
              <w:t xml:space="preserve">SCRM charter review</w:t>
            </w:r>
          </w:p>
        </w:tc>
        <w:tc>
          <w:tcPr/>
          <w:p>
            <w:pPr>
              <w:pStyle w:val="Compact"/>
            </w:pPr>
            <w:r>
              <w:t xml:space="preserve">Annual</w:t>
            </w:r>
          </w:p>
        </w:tc>
        <w:tc>
          <w:tcPr/>
          <w:p>
            <w:pPr>
              <w:pStyle w:val="Compact"/>
            </w:pPr>
            <w:r>
              <w:t xml:space="preserve">CISO</w:t>
            </w:r>
          </w:p>
        </w:tc>
        <w:tc>
          <w:tcPr/>
          <w:p>
            <w:pPr>
              <w:pStyle w:val="Compact"/>
            </w:pPr>
            <w:r>
              <w:t xml:space="preserve">Approved charter revision</w:t>
            </w:r>
          </w:p>
        </w:tc>
      </w:tr>
      <w:tr>
        <w:tc>
          <w:tcPr/>
          <w:p>
            <w:pPr>
              <w:pStyle w:val="Compact"/>
            </w:pPr>
            <w:r>
              <w:t xml:space="preserve">BOD 26-04 submission check</w:t>
            </w:r>
          </w:p>
        </w:tc>
        <w:tc>
          <w:tcPr/>
          <w:p>
            <w:pPr>
              <w:pStyle w:val="Compact"/>
            </w:pPr>
            <w:r>
              <w:t xml:space="preserve">Pre-deadline (Oct 1)</w:t>
            </w:r>
          </w:p>
        </w:tc>
        <w:tc>
          <w:tcPr/>
          <w:p>
            <w:pPr>
              <w:pStyle w:val="Compact"/>
            </w:pPr>
            <w:r>
              <w:t xml:space="preserve">CISO / AO</w:t>
            </w:r>
          </w:p>
        </w:tc>
        <w:tc>
          <w:tcPr/>
          <w:p>
            <w:pPr>
              <w:pStyle w:val="Compact"/>
            </w:pPr>
            <w:r>
              <w:t xml:space="preserve">VDR/VER submission package</w:t>
            </w:r>
          </w:p>
        </w:tc>
      </w:tr>
    </w:tbl>
    <w:bookmarkEnd w:id="54"/>
    <w:bookmarkStart w:id="55" w:name="charter-approval"/>
    <w:p>
      <w:pPr>
        <w:pStyle w:val="Heading2"/>
      </w:pPr>
      <w:r>
        <w:t xml:space="preserve">8.8 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 / SAISO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Privacy Officer</w:t>
            </w:r>
          </w:p>
        </w:tc>
        <w:tc>
          <w:tcPr/>
          <w:p>
            <w:pPr>
              <w:pStyle w:val="Compact"/>
            </w:pPr>
            <w:r>
              <w:t xml:space="preserve">[NAME]</w:t>
            </w:r>
          </w:p>
        </w:tc>
        <w:tc>
          <w:tcPr/>
          <w:p>
            <w:pPr>
              <w:pStyle w:val="Compact"/>
            </w:pPr>
            <w:r>
              <w:t xml:space="preserve">[SIGNATURE]</w:t>
            </w:r>
          </w:p>
        </w:tc>
        <w:tc>
          <w:tcPr/>
          <w:p>
            <w:pPr>
              <w:pStyle w:val="Compac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55"/>
    <w:bookmarkEnd w:id="56"/>
    <w:bookmarkStart w:id="57" w:name="X9a8cc4156c444ad790bcefa1d9b65ee3c9d9279"/>
    <w:p>
      <w:pPr>
        <w:pStyle w:val="Heading1"/>
      </w:pPr>
      <w:r>
        <w:t xml:space="preserve">9. Appendix A — PM Control Traceability Matrix</w:t>
      </w:r>
    </w:p>
    <w:tbl>
      <w:tblPr>
        <w:tblStyle w:val="Table"/>
        <w:tblW w:type="pct" w:w="5000"/>
        <w:tblLayout w:type="fixed"/>
        <w:tblLook w:firstRow="1" w:lastRow="0" w:firstColumn="0" w:lastColumn="0" w:noHBand="0" w:noVBand="0" w:val="0020"/>
      </w:tblPr>
      <w:tblGrid>
        <w:gridCol w:w="1620"/>
        <w:gridCol w:w="1260"/>
        <w:gridCol w:w="1980"/>
        <w:gridCol w:w="1620"/>
        <w:gridCol w:w="1440"/>
      </w:tblGrid>
      <w:tr>
        <w:trPr>
          <w:tblHeader w:val="on"/>
        </w:trPr>
        <w:tc>
          <w:tcPr/>
          <w:p>
            <w:pPr>
              <w:pStyle w:val="Compact"/>
            </w:pPr>
            <w:r>
              <w:t xml:space="preserve">Control</w:t>
            </w:r>
          </w:p>
        </w:tc>
        <w:tc>
          <w:tcPr/>
          <w:p>
            <w:pPr>
              <w:pStyle w:val="Compact"/>
            </w:pPr>
            <w:r>
              <w:t xml:space="preserve">Title</w:t>
            </w:r>
          </w:p>
        </w:tc>
        <w:tc>
          <w:tcPr/>
          <w:p>
            <w:pPr>
              <w:pStyle w:val="Compact"/>
            </w:pPr>
            <w:r>
              <w:t xml:space="preserve">§Reference</w:t>
            </w:r>
          </w:p>
        </w:tc>
        <w:tc>
          <w:tcPr/>
          <w:p>
            <w:pPr>
              <w:pStyle w:val="Compact"/>
            </w:pPr>
            <w:r>
              <w:t xml:space="preserve">Artifact</w:t>
            </w:r>
          </w:p>
        </w:tc>
        <w:tc>
          <w:tcPr/>
          <w:p>
            <w:pPr>
              <w:pStyle w:val="Compact"/>
            </w:pPr>
            <w:r>
              <w:t xml:space="preserve">Status</w:t>
            </w:r>
          </w:p>
        </w:tc>
      </w:tr>
      <w:tr>
        <w:tc>
          <w:tcPr/>
          <w:p>
            <w:pPr>
              <w:pStyle w:val="Compact"/>
            </w:pPr>
            <w:r>
              <w:t xml:space="preserve">PM-1</w:t>
            </w:r>
          </w:p>
        </w:tc>
        <w:tc>
          <w:tcPr/>
          <w:p>
            <w:pPr>
              <w:pStyle w:val="Compact"/>
            </w:pPr>
            <w:r>
              <w:t xml:space="preserve">Information Security Program Plan</w:t>
            </w:r>
          </w:p>
        </w:tc>
        <w:tc>
          <w:tcPr/>
          <w:p>
            <w:pPr>
              <w:pStyle w:val="Compact"/>
            </w:pPr>
            <w:r>
              <w:t xml:space="preserve">§2</w:t>
            </w:r>
          </w:p>
        </w:tc>
        <w:tc>
          <w:tcPr/>
          <w:p>
            <w:pPr>
              <w:pStyle w:val="Compact"/>
            </w:pPr>
            <w:r>
              <w:t xml:space="preserve">ISPP Template</w:t>
            </w:r>
          </w:p>
        </w:tc>
        <w:tc>
          <w:tcPr/>
          <w:p>
            <w:pPr>
              <w:pStyle w:val="Compact"/>
            </w:pPr>
            <w:r>
              <w:t xml:space="preserve">✅ Template provided</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w:t>
            </w:r>
          </w:p>
        </w:tc>
        <w:tc>
          <w:tcPr/>
          <w:p>
            <w:pPr>
              <w:pStyle w:val="Compact"/>
            </w:pPr>
            <w:r>
              <w:t xml:space="preserve">Leadership RACI</w:t>
            </w:r>
          </w:p>
        </w:tc>
        <w:tc>
          <w:tcPr/>
          <w:p>
            <w:pPr>
              <w:pStyle w:val="Compact"/>
            </w:pPr>
            <w:r>
              <w:t xml:space="preserve">✅ Template provided</w:t>
            </w:r>
          </w:p>
        </w:tc>
      </w:tr>
      <w:tr>
        <w:tc>
          <w:tcPr/>
          <w:p>
            <w:pPr>
              <w:pStyle w:val="Compact"/>
            </w:pPr>
            <w:r>
              <w:t xml:space="preserve">PM-5</w:t>
            </w:r>
          </w:p>
        </w:tc>
        <w:tc>
          <w:tcPr/>
          <w:p>
            <w:pPr>
              <w:pStyle w:val="Compact"/>
            </w:pPr>
            <w:r>
              <w:t xml:space="preserve">System Inventory</w:t>
            </w:r>
          </w:p>
        </w:tc>
        <w:tc>
          <w:tcPr/>
          <w:p>
            <w:pPr>
              <w:pStyle w:val="Compact"/>
            </w:pPr>
            <w:r>
              <w:t xml:space="preserve">§4</w:t>
            </w:r>
          </w:p>
        </w:tc>
        <w:tc>
          <w:tcPr/>
          <w:p>
            <w:pPr>
              <w:pStyle w:val="Compact"/>
            </w:pPr>
            <w:r>
              <w:t xml:space="preserve">Inventory Framework</w:t>
            </w:r>
          </w:p>
        </w:tc>
        <w:tc>
          <w:tcPr/>
          <w:p>
            <w:pPr>
              <w:pStyle w:val="Compact"/>
            </w:pPr>
            <w:r>
              <w:t xml:space="preserve">✅ Template + automation</w:t>
            </w:r>
          </w:p>
        </w:tc>
      </w:tr>
      <w:tr>
        <w:tc>
          <w:tcPr/>
          <w:p>
            <w:pPr>
              <w:pStyle w:val="Compact"/>
            </w:pPr>
            <w:r>
              <w:t xml:space="preserve">PM-7</w:t>
            </w:r>
          </w:p>
        </w:tc>
        <w:tc>
          <w:tcPr/>
          <w:p>
            <w:pPr>
              <w:pStyle w:val="Compact"/>
            </w:pPr>
            <w:r>
              <w:t xml:space="preserve">Enterprise Architecture</w:t>
            </w:r>
          </w:p>
        </w:tc>
        <w:tc>
          <w:tcPr/>
          <w:p>
            <w:pPr>
              <w:pStyle w:val="Compact"/>
            </w:pPr>
            <w:r>
              <w:t xml:space="preserve">§2.4</w:t>
            </w:r>
          </w:p>
        </w:tc>
        <w:tc>
          <w:tcPr/>
          <w:p>
            <w:pPr>
              <w:pStyle w:val="Compact"/>
            </w:pPr>
            <w:r>
              <w:t xml:space="preserve">EA Integration</w:t>
            </w:r>
          </w:p>
        </w:tc>
        <w:tc>
          <w:tcPr/>
          <w:p>
            <w:pPr>
              <w:pStyle w:val="Compact"/>
            </w:pPr>
            <w:r>
              <w:t xml:space="preserve">✅ Architecture gates</w:t>
            </w:r>
          </w:p>
        </w:tc>
      </w:tr>
      <w:tr>
        <w:tc>
          <w:tcPr/>
          <w:p>
            <w:pPr>
              <w:pStyle w:val="Compact"/>
            </w:pPr>
            <w:r>
              <w:t xml:space="preserve">PM-9</w:t>
            </w:r>
          </w:p>
        </w:tc>
        <w:tc>
          <w:tcPr/>
          <w:p>
            <w:pPr>
              <w:pStyle w:val="Compact"/>
            </w:pPr>
            <w:r>
              <w:t xml:space="preserve">Risk Management Strategy</w:t>
            </w:r>
          </w:p>
        </w:tc>
        <w:tc>
          <w:tcPr/>
          <w:p>
            <w:pPr>
              <w:pStyle w:val="Compact"/>
            </w:pPr>
            <w:r>
              <w:t xml:space="preserve">§5</w:t>
            </w:r>
          </w:p>
        </w:tc>
        <w:tc>
          <w:tcPr/>
          <w:p>
            <w:pPr>
              <w:pStyle w:val="Compact"/>
            </w:pPr>
            <w:r>
              <w:t xml:space="preserve">Risk Register</w:t>
            </w:r>
          </w:p>
        </w:tc>
        <w:tc>
          <w:tcPr/>
          <w:p>
            <w:pPr>
              <w:pStyle w:val="Compact"/>
            </w:pPr>
            <w:r>
              <w:t xml:space="preserve">✅ Template provided</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w:t>
            </w:r>
          </w:p>
        </w:tc>
        <w:tc>
          <w:tcPr/>
          <w:p>
            <w:pPr>
              <w:pStyle w:val="Compact"/>
            </w:pPr>
            <w:r>
              <w:t xml:space="preserve">Mission Map</w:t>
            </w:r>
          </w:p>
        </w:tc>
        <w:tc>
          <w:tcPr/>
          <w:p>
            <w:pPr>
              <w:pStyle w:val="Compact"/>
            </w:pPr>
            <w:r>
              <w:t xml:space="preserve">✅ Template provided</w:t>
            </w:r>
          </w:p>
        </w:tc>
      </w:tr>
      <w:tr>
        <w:tc>
          <w:tcPr/>
          <w:p>
            <w:pPr>
              <w:pStyle w:val="Compact"/>
            </w:pPr>
            <w:r>
              <w:t xml:space="preserve">PM-14</w:t>
            </w:r>
          </w:p>
        </w:tc>
        <w:tc>
          <w:tcPr/>
          <w:p>
            <w:pPr>
              <w:pStyle w:val="Compact"/>
            </w:pPr>
            <w:r>
              <w:t xml:space="preserve">Testing, Training, and Monitoring</w:t>
            </w:r>
          </w:p>
        </w:tc>
        <w:tc>
          <w:tcPr/>
          <w:p>
            <w:pPr>
              <w:pStyle w:val="Compact"/>
            </w:pPr>
            <w:r>
              <w:t xml:space="preserve">§6</w:t>
            </w:r>
          </w:p>
        </w:tc>
        <w:tc>
          <w:tcPr/>
          <w:p>
            <w:pPr>
              <w:pStyle w:val="Compact"/>
            </w:pPr>
            <w:r>
              <w:t xml:space="preserve">T&amp;T&amp;M Plan</w:t>
            </w:r>
          </w:p>
        </w:tc>
        <w:tc>
          <w:tcPr/>
          <w:p>
            <w:pPr>
              <w:pStyle w:val="Compact"/>
            </w:pPr>
            <w:r>
              <w:t xml:space="preserve">✅ Template provided</w:t>
            </w:r>
          </w:p>
        </w:tc>
      </w:tr>
      <w:tr>
        <w:tc>
          <w:tcPr/>
          <w:p>
            <w:pPr>
              <w:pStyle w:val="Compact"/>
            </w:pPr>
            <w:r>
              <w:t xml:space="preserve">PM-15</w:t>
            </w:r>
          </w:p>
        </w:tc>
        <w:tc>
          <w:tcPr/>
          <w:p>
            <w:pPr>
              <w:pStyle w:val="Compact"/>
            </w:pPr>
            <w:r>
              <w:t xml:space="preserve">Security Contact with Groups</w:t>
            </w:r>
          </w:p>
        </w:tc>
        <w:tc>
          <w:tcPr/>
          <w:p>
            <w:pPr>
              <w:pStyle w:val="Compact"/>
            </w:pPr>
            <w:r>
              <w:t xml:space="preserve">§7</w:t>
            </w:r>
          </w:p>
        </w:tc>
        <w:tc>
          <w:tcPr/>
          <w:p>
            <w:pPr>
              <w:pStyle w:val="Compact"/>
            </w:pPr>
            <w:r>
              <w:t xml:space="preserve">Contact Registry</w:t>
            </w:r>
          </w:p>
        </w:tc>
        <w:tc>
          <w:tcPr/>
          <w:p>
            <w:pPr>
              <w:pStyle w:val="Compact"/>
            </w:pPr>
            <w:r>
              <w:t xml:space="preserve">✅ Template provided</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w:t>
            </w:r>
          </w:p>
        </w:tc>
        <w:tc>
          <w:tcPr/>
          <w:p>
            <w:pPr>
              <w:pStyle w:val="Compact"/>
            </w:pPr>
            <w:r>
              <w:t xml:space="preserve">SCRM Charter</w:t>
            </w:r>
          </w:p>
        </w:tc>
        <w:tc>
          <w:tcPr/>
          <w:p>
            <w:pPr>
              <w:pStyle w:val="Compact"/>
            </w:pPr>
            <w:r>
              <w:t xml:space="preserve">✅ Template provided</w:t>
            </w:r>
          </w:p>
        </w:tc>
      </w:tr>
    </w:tbl>
    <w:p>
      <w:r>
        <w:pict>
          <v:rect style="width:0;height:1.5pt" o:hralign="center" o:hrstd="t" o:hr="t"/>
        </w:pict>
      </w:r>
    </w:p>
    <w:bookmarkEnd w:id="57"/>
    <w:bookmarkStart w:id="58" w:name="X1ee99e825fea4562699de3ef6af8c2d280fddae"/>
    <w:p>
      <w:pPr>
        <w:pStyle w:val="Heading1"/>
      </w:pPr>
      <w:r>
        <w:t xml:space="preserve">10. Appendix B — Integration with AAN Technical Series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AAN Part</w:t>
            </w:r>
          </w:p>
        </w:tc>
        <w:tc>
          <w:tcPr/>
          <w:p>
            <w:pPr>
              <w:pStyle w:val="Compact"/>
            </w:pPr>
            <w:r>
              <w:t xml:space="preserve">PM Control Dependencies</w:t>
            </w:r>
          </w:p>
        </w:tc>
      </w:tr>
      <w:tr>
        <w:tc>
          <w:tcPr/>
          <w:p>
            <w:pPr>
              <w:pStyle w:val="Compact"/>
            </w:pPr>
            <w:r>
              <w:t xml:space="preserve">Part 5 (Entra ID / ZTNA)</w:t>
            </w:r>
          </w:p>
        </w:tc>
        <w:tc>
          <w:tcPr/>
          <w:p>
            <w:pPr>
              <w:pStyle w:val="Compact"/>
            </w:pPr>
            <w:r>
              <w:t xml:space="preserve">PM-5 (system inventory — identity plane)</w:t>
            </w:r>
          </w:p>
        </w:tc>
      </w:tr>
      <w:tr>
        <w:tc>
          <w:tcPr/>
          <w:p>
            <w:pPr>
              <w:pStyle w:val="Compact"/>
            </w:pPr>
            <w:r>
              <w:t xml:space="preserve">Part 11 (Defender VM)</w:t>
            </w:r>
          </w:p>
        </w:tc>
        <w:tc>
          <w:tcPr/>
          <w:p>
            <w:pPr>
              <w:pStyle w:val="Compact"/>
            </w:pPr>
            <w:r>
              <w:t xml:space="preserve">PM-14 (testing — vulnerability scan cadence)</w:t>
            </w:r>
          </w:p>
        </w:tc>
      </w:tr>
      <w:tr>
        <w:tc>
          <w:tcPr/>
          <w:p>
            <w:pPr>
              <w:pStyle w:val="Compact"/>
            </w:pPr>
            <w:r>
              <w:t xml:space="preserve">Part 12 (Purview / Key Vault)</w:t>
            </w:r>
          </w:p>
        </w:tc>
        <w:tc>
          <w:tcPr/>
          <w:p>
            <w:pPr>
              <w:pStyle w:val="Compact"/>
            </w:pPr>
            <w:r>
              <w:t xml:space="preserve">PM-11 (mission mapping — PII-bearing processes)</w:t>
            </w:r>
          </w:p>
        </w:tc>
      </w:tr>
      <w:tr>
        <w:tc>
          <w:tcPr/>
          <w:p>
            <w:pPr>
              <w:pStyle w:val="Compact"/>
            </w:pPr>
            <w:r>
              <w:t xml:space="preserve">Part 13 (Sentinel)</w:t>
            </w:r>
          </w:p>
        </w:tc>
        <w:tc>
          <w:tcPr/>
          <w:p>
            <w:pPr>
              <w:pStyle w:val="Compact"/>
            </w:pPr>
            <w:r>
              <w:t xml:space="preserve">PM-14 (monitoring program — Sentinel workbooks)</w:t>
            </w:r>
          </w:p>
        </w:tc>
      </w:tr>
      <w:tr>
        <w:tc>
          <w:tcPr/>
          <w:p>
            <w:pPr>
              <w:pStyle w:val="Compact"/>
            </w:pPr>
            <w:r>
              <w:t xml:space="preserve">Part 14 (Contingency)</w:t>
            </w:r>
          </w:p>
        </w:tc>
        <w:tc>
          <w:tcPr/>
          <w:p>
            <w:pPr>
              <w:pStyle w:val="Compact"/>
            </w:pPr>
            <w:r>
              <w:t xml:space="preserve">PM-9 (risk register — RTO/RPO inputs)</w:t>
            </w:r>
          </w:p>
        </w:tc>
      </w:tr>
      <w:tr>
        <w:tc>
          <w:tcPr/>
          <w:p>
            <w:pPr>
              <w:pStyle w:val="Compact"/>
            </w:pPr>
            <w:r>
              <w:t xml:space="preserve">Part 15 (SBOM/VDR/VEX)</w:t>
            </w:r>
          </w:p>
        </w:tc>
        <w:tc>
          <w:tcPr/>
          <w:p>
            <w:pPr>
              <w:pStyle w:val="Compact"/>
            </w:pPr>
            <w:r>
              <w:t xml:space="preserve">PM-30 (SCRM charter — technical backbone)</w:t>
            </w:r>
          </w:p>
        </w:tc>
      </w:tr>
      <w:tr>
        <w:tc>
          <w:tcPr/>
          <w:p>
            <w:pPr>
              <w:pStyle w:val="Compact"/>
            </w:pPr>
            <w:r>
              <w:rPr>
                <w:b/>
                <w:bCs/>
              </w:rPr>
              <w:t xml:space="preserve">Part 16 (this document)</w:t>
            </w:r>
          </w:p>
        </w:tc>
        <w:tc>
          <w:tcPr/>
          <w:p>
            <w:pPr>
              <w:pStyle w:val="Compac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agency RMF authorization package (ConMon evidence modeled on the</w:t>
      </w:r>
      <w:r>
        <w:t xml:space="preserve"> </w:t>
      </w:r>
      <w:r>
        <w:t xml:space="preserve">FedRAMP 20x KSI schema) for the PM and SR control families.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2026-07-09T14:23:49Z</dcterms:created>
  <dcterms:modified xsi:type="dcterms:W3CDTF">2026-07-09T14:23:49Z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Program Management Governance: Security Program Plan, POA&amp;M Framework, and SCRM Charter for FedRAMP 20x</vt:lpwstr>
  </property>
  <property fmtid="{D5CDD505-2E9C-101B-9397-08002B2CF9AE}" pid="14" name="toc-title">
    <vt:lpwstr>Table of contents</vt:lpwstr>
  </property>
</Properties>
</file>