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60.png" ContentType="image/png"/>
  <Override PartName="/word/media/rId32.png" ContentType="image/png"/>
  <Override PartName="/word/media/rId50.png" ContentType="image/png"/>
  <Override PartName="/word/media/rId21.png" ContentType="image/png"/>
  <Override PartName="/word/media/rId29.png" ContentType="image/png"/>
  <Override PartName="/word/media/rId41.png" ContentType="image/png"/>
  <Override PartName="/word/media/rId47.png" ContentType="image/png"/>
  <Override PartName="/word/media/rId110.png" ContentType="image/png"/>
  <Override PartName="/word/media/rId64.png" ContentType="image/png"/>
  <Override PartName="/word/media/rId55.png" ContentType="image/png"/>
  <Override PartName="/word/media/rId26.png" ContentType="image/png"/>
  <Override PartName="/word/media/rId72.png" ContentType="image/png"/>
  <Override PartName="/word/media/rId13.png" ContentType="image/png"/>
  <Override PartName="/word/media/rId99.png" ContentType="image/png"/>
  <Override PartName="/word/media/rId18.png" ContentType="image/png"/>
  <Override PartName="/word/media/rId44.png" ContentType="image/png"/>
  <Override PartName="/word/media/rId124.png" ContentType="image/png"/>
  <Override PartName="/word/media/rId107.png" ContentType="image/png"/>
  <Override PartName="/word/media/rId81.svg" ContentType="image/svg+xml"/>
  <Override PartName="/word/media/rId8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the only DDI platform with its own FedRAMP Moderate CSO authorization,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rPr>
          <w:b/>
          <w:bCs/>
        </w:rPr>
        <w:t xml:space="preserve">The recommendation is clear: procure InfoBlox DDI via the AWS GovCloud Marketplace</w:t>
      </w:r>
      <w:r>
        <w:t xml:space="preserve"> </w:t>
      </w:r>
      <w:r>
        <w:t xml:space="preserve">(no separate IDIQ required), deploy Grid Members in each environment, and build the landing zone DNS and IPAM layer on InfoBlox from day one. Every workload deployed after that point inherits FedRAMP-compliant DNS, IP management, and certificate lifecycle automatically.</w:t>
      </w:r>
    </w:p>
    <w:p>
      <w:r>
        <w:pict>
          <v:rect style="width:0;height:1.5pt" o:hralign="center" o:hrstd="t" o:hr="t"/>
        </w:pict>
      </w:r>
    </w:p>
    <w:bookmarkEnd w:id="9"/>
    <w:bookmarkStart w:id="25"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4" name="Picture"/>
            <a:graphic>
              <a:graphicData uri="http://schemas.openxmlformats.org/drawingml/2006/picture">
                <pic:pic>
                  <pic:nvPicPr>
                    <pic:cNvPr descr="figs/lz-fig-10-fedramp-20x.png" id="15" name="Picture"/>
                    <pic:cNvPicPr>
                      <a:picLocks noChangeArrowheads="1" noChangeAspect="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4"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19" name="Picture"/>
            <a:graphic>
              <a:graphicData uri="http://schemas.openxmlformats.org/drawingml/2006/picture">
                <pic:pic>
                  <pic:nvPicPr>
                    <pic:cNvPr descr="figs/lz-fig-12-four-env.png" id="20" name="Picture"/>
                    <pic:cNvPicPr>
                      <a:picLocks noChangeArrowheads="1" noChangeAspect="1"/>
                    </pic:cNvPicPr>
                  </pic:nvPicPr>
                  <pic:blipFill>
                    <a:blip r:embed="rId1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2" name="Picture"/>
            <a:graphic>
              <a:graphicData uri="http://schemas.openxmlformats.org/drawingml/2006/picture">
                <pic:pic>
                  <pic:nvPicPr>
                    <pic:cNvPr descr="figs/lz-fig-01-control-hub.png" id="23" name="Picture"/>
                    <pic:cNvPicPr>
                      <a:picLocks noChangeArrowheads="1" noChangeAspect="1"/>
                    </pic:cNvPicPr>
                  </pic:nvPicPr>
                  <pic:blipFill>
                    <a:blip r:embed="rId2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4"/>
    <w:bookmarkEnd w:id="25"/>
    <w:bookmarkStart w:id="39"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27" name="Picture"/>
            <a:graphic>
              <a:graphicData uri="http://schemas.openxmlformats.org/drawingml/2006/picture">
                <pic:pic>
                  <pic:nvPicPr>
                    <pic:cNvPr descr="figs/lz-fig-08-dns-journey.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0" name="Picture"/>
            <a:graphic>
              <a:graphicData uri="http://schemas.openxmlformats.org/drawingml/2006/picture">
                <pic:pic>
                  <pic:nvPicPr>
                    <pic:cNvPr descr="figs/lz-fig-02-sdn-dhcp.png" id="31" name="Picture"/>
                    <pic:cNvPicPr>
                      <a:picLocks noChangeArrowheads="1" noChangeAspect="1"/>
                    </pic:cNvPicPr>
                  </pic:nvPicPr>
                  <pic:blipFill>
                    <a:blip r:embed="rId2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5"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5"/>
    <w:bookmarkStart w:id="36"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6"/>
    <w:bookmarkStart w:id="37"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37"/>
    <w:bookmarkStart w:id="38"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38"/>
    <w:bookmarkEnd w:id="39"/>
    <w:bookmarkStart w:id="70"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bookmarkStart w:id="40"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0"/>
    <w:bookmarkStart w:id="54" w:name="sec-microsoft"/>
    <w:p>
      <w:pPr>
        <w:pStyle w:val="Heading3"/>
      </w:pPr>
      <w:r>
        <w:t xml:space="preserve">3.2 Microsoft Partnership: M365 GCC Endpoint Lifecycle</w:t>
      </w:r>
    </w:p>
    <w:p>
      <w:pPr>
        <w:pStyle w:val="CaptionedFigure"/>
      </w:pPr>
      <w:r>
        <w:drawing>
          <wp:inline>
            <wp:extent cx="5334000" cy="3022600"/>
            <wp:effectExtent b="0" l="0" r="0" t="0"/>
            <wp:docPr descr="Microsoft × InfoBlox Technology Partnership — Six Integration Points" title="" id="42" name="Picture"/>
            <a:graphic>
              <a:graphicData uri="http://schemas.openxmlformats.org/drawingml/2006/picture">
                <pic:pic>
                  <pic:nvPicPr>
                    <pic:cNvPr descr="figs/lz-fig-03-ms-partnership.png" id="43" name="Picture"/>
                    <pic:cNvPicPr>
                      <a:picLocks noChangeArrowheads="1" noChangeAspect="1"/>
                    </pic:cNvPicPr>
                  </pic:nvPicPr>
                  <pic:blipFill>
                    <a:blip r:embed="rId41"/>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53" w:name="m365-gcc-boundary-enforcement"/>
    <w:p>
      <w:pPr>
        <w:pStyle w:val="Heading4"/>
      </w:pPr>
      <w:r>
        <w:t xml:space="preserve">3.2.1 M365 GCC Boundary Enforcement</w:t>
      </w:r>
    </w:p>
    <w:p>
      <w:pPr>
        <w:pStyle w:val="CaptionedFigure"/>
      </w:pPr>
      <w:r>
        <w:drawing>
          <wp:inline>
            <wp:extent cx="5334000" cy="2963333"/>
            <wp:effectExtent b="0" l="0" r="0" t="0"/>
            <wp:docPr descr="M365 GCC Boundary Gap: Manual vs. Automated Enforcement" title="" id="45" name="Picture"/>
            <a:graphic>
              <a:graphicData uri="http://schemas.openxmlformats.org/drawingml/2006/picture">
                <pic:pic>
                  <pic:nvPicPr>
                    <pic:cNvPr descr="figs/lz-fig-13-boundary-gap.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48" name="Picture"/>
            <a:graphic>
              <a:graphicData uri="http://schemas.openxmlformats.org/drawingml/2006/picture">
                <pic:pic>
                  <pic:nvPicPr>
                    <pic:cNvPr descr="figs/lz-fig-04-m365-pipeline.png" id="49" name="Picture"/>
                    <pic:cNvPicPr>
                      <a:picLocks noChangeArrowheads="1" noChangeAspect="1"/>
                    </pic:cNvPicPr>
                  </pic:nvPicPr>
                  <pic:blipFill>
                    <a:blip r:embed="rId47"/>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3"/>
        </w:numPr>
      </w:pPr>
      <w:r>
        <w:rPr>
          <w:b/>
          <w:bCs/>
        </w:rPr>
        <w:t xml:space="preserve">Daily poll</w:t>
      </w:r>
      <w:r>
        <w:t xml:space="preserve"> </w:t>
      </w:r>
      <w:r>
        <w:t xml:space="preserve">of the Microsoft M365 GCC endpoint API (version-change detection)</w:t>
      </w:r>
    </w:p>
    <w:p>
      <w:pPr>
        <w:pStyle w:val="Compact"/>
        <w:numPr>
          <w:ilvl w:val="0"/>
          <w:numId w:val="1003"/>
        </w:numPr>
      </w:pPr>
      <w:r>
        <w:rPr>
          <w:b/>
          <w:bCs/>
        </w:rPr>
        <w:t xml:space="preserve">RPZ passthrough allow-list</w:t>
      </w:r>
      <w:r>
        <w:t xml:space="preserve"> </w:t>
      </w:r>
      <w:r>
        <w:t xml:space="preserve">— GCC FQDNs explicitly allowed through threat blocking</w:t>
      </w:r>
    </w:p>
    <w:p>
      <w:pPr>
        <w:pStyle w:val="Compact"/>
        <w:numPr>
          <w:ilvl w:val="0"/>
          <w:numId w:val="1003"/>
        </w:numPr>
      </w:pPr>
      <w:r>
        <w:rPr>
          <w:b/>
          <w:bCs/>
        </w:rPr>
        <w:t xml:space="preserve">RPZ block list</w:t>
      </w:r>
      <w:r>
        <w:t xml:space="preserve"> </w:t>
      </w:r>
      <w:r>
        <w:t xml:space="preserve">— commercial M365 FQDNs (non-GCC) blocked at DNS layer</w:t>
      </w:r>
    </w:p>
    <w:p>
      <w:pPr>
        <w:pStyle w:val="Compact"/>
        <w:numPr>
          <w:ilvl w:val="0"/>
          <w:numId w:val="1003"/>
        </w:numPr>
      </w:pPr>
      <w:r>
        <w:rPr>
          <w:b/>
          <w:bCs/>
        </w:rPr>
        <w:t xml:space="preserve">Azure NSG IP Group</w:t>
      </w:r>
      <w:r>
        <w:t xml:space="preserve"> </w:t>
      </w:r>
      <w:r>
        <w:t xml:space="preserve">update — GCC Optimize IP ranges pushed to Azure Government</w:t>
      </w:r>
    </w:p>
    <w:p>
      <w:pPr>
        <w:pStyle w:val="Compact"/>
        <w:numPr>
          <w:ilvl w:val="0"/>
          <w:numId w:val="1003"/>
        </w:numPr>
      </w:pPr>
      <w:r>
        <w:rPr>
          <w:b/>
          <w:bCs/>
        </w:rPr>
        <w:t xml:space="preserve">AWS GovCloud Security Group</w:t>
      </w:r>
      <w:r>
        <w:t xml:space="preserve"> </w:t>
      </w:r>
      <w:r>
        <w:t xml:space="preserve">update — GCC IP ranges for outbound rules</w:t>
      </w:r>
    </w:p>
    <w:p>
      <w:pPr>
        <w:pStyle w:val="Compact"/>
        <w:numPr>
          <w:ilvl w:val="0"/>
          <w:numId w:val="1003"/>
        </w:numPr>
      </w:pPr>
      <w:r>
        <w:rPr>
          <w:b/>
          <w:bCs/>
        </w:rPr>
        <w:t xml:space="preserve">VPN split-tunnel DNS</w:t>
      </w:r>
      <w:r>
        <w:t xml:space="preserve"> </w:t>
      </w:r>
      <w:r>
        <w:t xml:space="preserve">— M365 Optimize FQDNs route via local interface, not VPN tunnel</w:t>
      </w:r>
    </w:p>
    <w:p>
      <w:pPr>
        <w:pStyle w:val="Compact"/>
        <w:numPr>
          <w:ilvl w:val="0"/>
          <w:numId w:val="1003"/>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53"/>
    <w:bookmarkEnd w:id="54"/>
    <w:bookmarkStart w:id="63" w:name="sec-aws"/>
    <w:p>
      <w:pPr>
        <w:pStyle w:val="Heading3"/>
      </w:pPr>
      <w:r>
        <w:t xml:space="preserve">3.3 AWS Partnership: BloxOne Runs ON AWS GovCloud</w:t>
      </w:r>
    </w:p>
    <w:p>
      <w:pPr>
        <w:pStyle w:val="CaptionedFigure"/>
      </w:pPr>
      <w:r>
        <w:drawing>
          <wp:inline>
            <wp:extent cx="5334000" cy="2844800"/>
            <wp:effectExtent b="0" l="0" r="0" t="0"/>
            <wp:docPr descr="AWS GovCloud × InfoBlox — BloxOne DDI Federal Hosted on AWS, LZA DNS Alignment" title="" id="56" name="Picture"/>
            <a:graphic>
              <a:graphicData uri="http://schemas.openxmlformats.org/drawingml/2006/picture">
                <pic:pic>
                  <pic:nvPicPr>
                    <pic:cNvPr descr="figs/lz-fig-07-aws-lza.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tip.png" id="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4"/>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4"/>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4"/>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4"/>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4"/>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63"/>
    <w:bookmarkStart w:id="69" w:name="sec-oracle"/>
    <w:p>
      <w:pPr>
        <w:pStyle w:val="Heading3"/>
      </w:pPr>
      <w:r>
        <w:t xml:space="preserve">3.4 Oracle Cloud / OCI: OPM HRIT Future Integration</w:t>
      </w:r>
    </w:p>
    <w:p>
      <w:pPr>
        <w:pStyle w:val="CaptionedFigure"/>
      </w:pPr>
      <w:r>
        <w:drawing>
          <wp:inline>
            <wp:extent cx="5334000" cy="2933700"/>
            <wp:effectExtent b="0" l="0" r="0" t="0"/>
            <wp:docPr descr="OPM HRIT on Oracle OCI — SSA Inter-Agency Integration via InfoBlox Certificate Monitor" title="" id="65" name="Picture"/>
            <a:graphic>
              <a:graphicData uri="http://schemas.openxmlformats.org/drawingml/2006/picture">
                <pic:pic>
                  <pic:nvPicPr>
                    <pic:cNvPr descr="figs/lz-fig-06-opm-hrit.png" id="66" name="Picture"/>
                    <pic:cNvPicPr>
                      <a:picLocks noChangeArrowheads="1" noChangeAspect="1"/>
                    </pic:cNvPicPr>
                  </pic:nvPicPr>
                  <pic:blipFill>
                    <a:blip r:embed="rId6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HRIT (federal HR and benefits processing) to Oracle HCM Cloud on OCI. As OPM’s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69"/>
    <w:bookmarkEnd w:id="70"/>
    <w:bookmarkStart w:id="79"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71">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73" name="Picture"/>
            <a:graphic>
              <a:graphicData uri="http://schemas.openxmlformats.org/drawingml/2006/picture">
                <pic:pic>
                  <pic:nvPicPr>
                    <pic:cNvPr descr="figs/lz-fig-09-cert-lifecycle.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75"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5"/>
        </w:numPr>
      </w:pPr>
      <w:r>
        <w:t xml:space="preserve">VM or container provisioned by VCF Automation, Terraform, or cloud-native IaC</w:t>
      </w:r>
    </w:p>
    <w:p>
      <w:pPr>
        <w:pStyle w:val="Compact"/>
        <w:numPr>
          <w:ilvl w:val="0"/>
          <w:numId w:val="1005"/>
        </w:numPr>
      </w:pPr>
      <w:r>
        <w:t xml:space="preserve">InfoBlox IPAM allocates an IP from the correct Network View (cross-cloud conflict-checked)</w:t>
      </w:r>
    </w:p>
    <w:p>
      <w:pPr>
        <w:pStyle w:val="Compact"/>
        <w:numPr>
          <w:ilvl w:val="0"/>
          <w:numId w:val="1005"/>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5"/>
        </w:numPr>
      </w:pPr>
      <w:r>
        <w:t xml:space="preserve">Workload bootstrap sends SCEP or EST enrollment to the agency CA using the DNS name as the certificate SAN</w:t>
      </w:r>
    </w:p>
    <w:p>
      <w:pPr>
        <w:pStyle w:val="Compact"/>
        <w:numPr>
          <w:ilvl w:val="0"/>
          <w:numId w:val="1005"/>
        </w:numPr>
      </w:pPr>
      <w:r>
        <w:t xml:space="preserve">CA (ADCS, Azure Key Vault with SCEP, AWS ACM Private CA) issues a certificate binding the SAN to the workload</w:t>
      </w:r>
    </w:p>
    <w:p>
      <w:pPr>
        <w:pStyle w:val="Compact"/>
        <w:numPr>
          <w:ilvl w:val="0"/>
          <w:numId w:val="1005"/>
        </w:numPr>
      </w:pPr>
      <w:r>
        <w:t xml:space="preserve">InfoBlox Certificate Tracker receives the certificate thumbprint, expiry, and issuing CA, binding it to the IP host record</w:t>
      </w:r>
    </w:p>
    <w:p>
      <w:pPr>
        <w:pStyle w:val="Compact"/>
        <w:numPr>
          <w:ilvl w:val="0"/>
          <w:numId w:val="1005"/>
        </w:numPr>
      </w:pPr>
      <w:r>
        <w:t xml:space="preserve">mTLS is active: the workload presents the certificate to authenticate to other services</w:t>
      </w:r>
    </w:p>
    <w:p>
      <w:pPr>
        <w:pStyle w:val="Compact"/>
        <w:numPr>
          <w:ilvl w:val="0"/>
          <w:numId w:val="1005"/>
        </w:numPr>
      </w:pPr>
      <w:r>
        <w:t xml:space="preserve">90/30/7 days before expiry, InfoBlox Certificate Tracker generates alerts for timely renewal</w:t>
      </w:r>
    </w:p>
    <w:bookmarkEnd w:id="75"/>
    <w:bookmarkStart w:id="78"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r>
        <w:pict>
          <v:rect style="width:0;height:1.5pt" o:hralign="center" o:hrstd="t" o:hr="t"/>
        </w:pict>
      </w:r>
    </w:p>
    <w:bookmarkEnd w:id="78"/>
    <w:bookmarkEnd w:id="79"/>
    <w:bookmarkStart w:id="93"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80"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80"/>
    <w:bookmarkStart w:id="84"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82" name="Picture"/>
            <a:graphic>
              <a:graphicData uri="http://schemas.openxmlformats.org/drawingml/2006/picture">
                <pic:pic>
                  <pic:nvPicPr>
                    <pic:cNvPr descr="figs/lz-fig-16-subdomain-hierarchy.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84"/>
    <w:bookmarkStart w:id="85"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85"/>
    <w:bookmarkStart w:id="89"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87" name="Picture"/>
            <a:graphic>
              <a:graphicData uri="http://schemas.openxmlformats.org/drawingml/2006/picture">
                <pic:pic>
                  <pic:nvPicPr>
                    <pic:cNvPr descr="figs/lz-fig-17-split-horizon.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89"/>
    <w:bookmarkStart w:id="90"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90"/>
    <w:bookmarkStart w:id="91"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91"/>
    <w:bookmarkStart w:id="92"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92"/>
    <w:bookmarkEnd w:id="93"/>
    <w:bookmarkStart w:id="95"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94">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95"/>
    <w:bookmarkStart w:id="98"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98"/>
    <w:bookmarkStart w:id="106"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00" name="Picture"/>
            <a:graphic>
              <a:graphicData uri="http://schemas.openxmlformats.org/drawingml/2006/picture">
                <pic:pic>
                  <pic:nvPicPr>
                    <pic:cNvPr descr="figs/lz-fig-11-zt-staircase.png" id="101" name="Picture"/>
                    <pic:cNvPicPr>
                      <a:picLocks noChangeArrowheads="1" noChangeAspect="1"/>
                    </pic:cNvPicPr>
                  </pic:nvPicPr>
                  <pic:blipFill>
                    <a:blip r:embed="rId9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02"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02"/>
    <w:bookmarkStart w:id="103"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6"/>
        </w:numPr>
      </w:pPr>
      <w:r>
        <w:t xml:space="preserve">SCEP/EST automation issues certificates to every new workload at provisioning time, establishing machine identity before the first connection</w:t>
      </w:r>
    </w:p>
    <w:p>
      <w:pPr>
        <w:pStyle w:val="Compact"/>
        <w:numPr>
          <w:ilvl w:val="0"/>
          <w:numId w:val="1006"/>
        </w:numPr>
      </w:pPr>
      <w:r>
        <w:t xml:space="preserve">Certificate-to-IP binding enables network devices to verify workload identity from the DNS/IPAM layer without agent deployment</w:t>
      </w:r>
    </w:p>
    <w:p>
      <w:pPr>
        <w:pStyle w:val="Compact"/>
        <w:numPr>
          <w:ilvl w:val="0"/>
          <w:numId w:val="1006"/>
        </w:numPr>
      </w:pPr>
      <w:r>
        <w:t xml:space="preserve">Certificate expiry alerting prevents identity credential expiration — a common cause of authentication outages</w:t>
      </w:r>
    </w:p>
    <w:bookmarkEnd w:id="103"/>
    <w:bookmarkStart w:id="104"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07"/>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07"/>
        </w:numPr>
      </w:pPr>
      <w:r>
        <w:rPr>
          <w:b/>
          <w:bCs/>
        </w:rPr>
        <w:t xml:space="preserve">DHCP/IP event telemetry:</w:t>
      </w:r>
      <w:r>
        <w:t xml:space="preserve"> </w:t>
      </w:r>
      <w:r>
        <w:t xml:space="preserve">every IP allocation, renewal, and release with device metadata</w:t>
      </w:r>
    </w:p>
    <w:p>
      <w:pPr>
        <w:pStyle w:val="Compact"/>
        <w:numPr>
          <w:ilvl w:val="0"/>
          <w:numId w:val="1007"/>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04"/>
    <w:bookmarkStart w:id="105"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08"/>
        </w:numPr>
      </w:pPr>
      <w:r>
        <w:t xml:space="preserve">Network resource provisioning (IP, DNS, cert) is automated in IaC pipelines — no manual steps that bypass policy</w:t>
      </w:r>
    </w:p>
    <w:p>
      <w:pPr>
        <w:pStyle w:val="Compact"/>
        <w:numPr>
          <w:ilvl w:val="0"/>
          <w:numId w:val="1008"/>
        </w:numPr>
      </w:pPr>
      <w:r>
        <w:t xml:space="preserve">VCF 9.1 native InfoBlox integration automates DDI for VMware workloads from day one</w:t>
      </w:r>
    </w:p>
    <w:p>
      <w:pPr>
        <w:pStyle w:val="Compact"/>
        <w:numPr>
          <w:ilvl w:val="0"/>
          <w:numId w:val="1008"/>
        </w:numPr>
      </w:pPr>
      <w:r>
        <w:t xml:space="preserve">RPZ updates are automated from threat intelligence feeds — human review required only for false positive exceptions</w:t>
      </w:r>
    </w:p>
    <w:p>
      <w:r>
        <w:pict>
          <v:rect style="width:0;height:1.5pt" o:hralign="center" o:hrstd="t" o:hr="t"/>
        </w:pict>
      </w:r>
    </w:p>
    <w:bookmarkEnd w:id="105"/>
    <w:bookmarkEnd w:id="106"/>
    <w:bookmarkStart w:id="116"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08" name="Picture"/>
            <a:graphic>
              <a:graphicData uri="http://schemas.openxmlformats.org/drawingml/2006/picture">
                <pic:pic>
                  <pic:nvPicPr>
                    <pic:cNvPr descr="figs/lz-fig-15-rpz-gate.png" id="109" name="Picture"/>
                    <pic:cNvPicPr>
                      <a:picLocks noChangeArrowheads="1" noChangeAspect="1"/>
                    </pic:cNvPicPr>
                  </pic:nvPicPr>
                  <pic:blipFill>
                    <a:blip r:embed="rId10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11" name="Picture"/>
            <a:graphic>
              <a:graphicData uri="http://schemas.openxmlformats.org/drawingml/2006/picture">
                <pic:pic>
                  <pic:nvPicPr>
                    <pic:cNvPr descr="figs/lz-fig-05-boundary.png" id="112" name="Picture"/>
                    <pic:cNvPicPr>
                      <a:picLocks noChangeArrowheads="1" noChangeAspect="1"/>
                    </pic:cNvPicPr>
                  </pic:nvPicPr>
                  <pic:blipFill>
                    <a:blip r:embed="rId110"/>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11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09"/>
        </w:numPr>
      </w:pPr>
      <w:r>
        <w:t xml:space="preserve">RPZ blocks commercial M365 endpoints (prevents FedRAMP data reaching non-GCC Microsoft infrastructure)</w:t>
      </w:r>
    </w:p>
    <w:p>
      <w:pPr>
        <w:pStyle w:val="Compact"/>
        <w:numPr>
          <w:ilvl w:val="0"/>
          <w:numId w:val="1009"/>
        </w:numPr>
      </w:pPr>
      <w:r>
        <w:t xml:space="preserve">RPZ blocks non-FedRAMP SaaS FQDNs (prevents workloads from reaching unauthorized cloud services)</w:t>
      </w:r>
    </w:p>
    <w:p>
      <w:pPr>
        <w:pStyle w:val="Compact"/>
        <w:numPr>
          <w:ilvl w:val="0"/>
          <w:numId w:val="1009"/>
        </w:numPr>
      </w:pPr>
      <w:r>
        <w:t xml:space="preserve">Conditional forwarders for external services generate the SA-9 documentation automatically</w:t>
      </w:r>
    </w:p>
    <w:p>
      <w:pPr>
        <w:pStyle w:val="Compact"/>
        <w:numPr>
          <w:ilvl w:val="0"/>
          <w:numId w:val="1009"/>
        </w:numPr>
      </w:pPr>
      <w:r>
        <w:t xml:space="preserve">DNSSEC validation required — DNS spoofing that could redirect traffic outside the boundary is rejected</w:t>
      </w:r>
    </w:p>
    <w:p>
      <w:pPr>
        <w:pStyle w:val="Compact"/>
        <w:numPr>
          <w:ilvl w:val="0"/>
          <w:numId w:val="1009"/>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16"/>
    <w:bookmarkStart w:id="121" w:name="sec-fedramp"/>
    <w:p>
      <w:pPr>
        <w:pStyle w:val="Heading2"/>
      </w:pPr>
      <w:r>
        <w:t xml:space="preserve">10 FedRAMP Moderate and FedRAMP 20x Controls</w:t>
      </w:r>
    </w:p>
    <w:bookmarkStart w:id="117"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17"/>
    <w:bookmarkStart w:id="120"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tip.png" id="11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20"/>
    <w:bookmarkEnd w:id="121"/>
    <w:bookmarkStart w:id="122"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0"/>
        </w:numPr>
      </w:pPr>
      <w:r>
        <w:t xml:space="preserve">Agency A moves a shared service to cloud SaaS (OPM HRIT → OCI)</w:t>
      </w:r>
    </w:p>
    <w:p>
      <w:pPr>
        <w:pStyle w:val="Compact"/>
        <w:numPr>
          <w:ilvl w:val="0"/>
          <w:numId w:val="1010"/>
        </w:numPr>
      </w:pPr>
      <w:r>
        <w:t xml:space="preserve">Agency B (SSA) becomes an API consumer of that SaaS</w:t>
      </w:r>
    </w:p>
    <w:p>
      <w:pPr>
        <w:pStyle w:val="Compact"/>
        <w:numPr>
          <w:ilvl w:val="0"/>
          <w:numId w:val="1010"/>
        </w:numPr>
      </w:pPr>
      <w:r>
        <w:t xml:space="preserve">Agency B has no visibility into Agency A’s certificate rotation, endpoint changes, or IP range changes</w:t>
      </w:r>
    </w:p>
    <w:p>
      <w:pPr>
        <w:pStyle w:val="Compact"/>
        <w:numPr>
          <w:ilvl w:val="0"/>
          <w:numId w:val="1010"/>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1"/>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1"/>
        </w:numPr>
      </w:pPr>
      <w:r>
        <w:rPr>
          <w:b/>
          <w:bCs/>
        </w:rPr>
        <w:t xml:space="preserve">Certificate Tracker endpoint polling</w:t>
      </w:r>
      <w:r>
        <w:t xml:space="preserve"> </w:t>
      </w:r>
      <w:r>
        <w:t xml:space="preserve">— always know when the partner’s TLS cert will expire</w:t>
      </w:r>
    </w:p>
    <w:p>
      <w:pPr>
        <w:pStyle w:val="Compact"/>
        <w:numPr>
          <w:ilvl w:val="0"/>
          <w:numId w:val="1011"/>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1"/>
        </w:numPr>
      </w:pPr>
      <w:r>
        <w:rPr>
          <w:b/>
          <w:bCs/>
        </w:rPr>
        <w:t xml:space="preserve">RPZ passthrough entries</w:t>
      </w:r>
      <w:r>
        <w:t xml:space="preserve"> </w:t>
      </w:r>
      <w:r>
        <w:t xml:space="preserve">— ensure InfoBlox RPZ does not block the inter-agency API calls</w:t>
      </w:r>
    </w:p>
    <w:p>
      <w:pPr>
        <w:pStyle w:val="Compact"/>
        <w:numPr>
          <w:ilvl w:val="0"/>
          <w:numId w:val="1011"/>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22"/>
    <w:bookmarkStart w:id="123" w:name="sec-summary"/>
    <w:p>
      <w:pPr>
        <w:pStyle w:val="Heading2"/>
      </w:pPr>
      <w:r>
        <w:t xml:space="preserve">12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23"/>
    <w:bookmarkStart w:id="134" w:name="sec-roadmap"/>
    <w:p>
      <w:pPr>
        <w:pStyle w:val="Heading2"/>
      </w:pPr>
      <w:r>
        <w:t xml:space="preserve">13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25" name="Picture"/>
            <a:graphic>
              <a:graphicData uri="http://schemas.openxmlformats.org/drawingml/2006/picture">
                <pic:pic>
                  <pic:nvPicPr>
                    <pic:cNvPr descr="figs/lz-fig-14-roadmap.png" id="126" name="Picture"/>
                    <pic:cNvPicPr>
                      <a:picLocks noChangeArrowheads="1" noChangeAspect="1"/>
                    </pic:cNvPicPr>
                  </pic:nvPicPr>
                  <pic:blipFill>
                    <a:blip r:embed="rId12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27" w:name="X6998601d02e0784d9756e9b3df61efe56f843a2"/>
    <w:p>
      <w:pPr>
        <w:pStyle w:val="Heading3"/>
      </w:pPr>
      <w:r>
        <w:t xml:space="preserve">Phase 0 — Procurement and Architecture (Month 1)</w:t>
      </w:r>
    </w:p>
    <w:p>
      <w:pPr>
        <w:pStyle w:val="Compact"/>
        <w:numPr>
          <w:ilvl w:val="0"/>
          <w:numId w:val="1012"/>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2"/>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2"/>
        </w:numPr>
      </w:pPr>
      <w:r>
        <w:t xml:space="preserve">Design Network View CIDR allocation plan: audit all existing IP ranges across on-prem, Azure VNet, AWS VPC, OCI VCN for overlaps</w:t>
      </w:r>
    </w:p>
    <w:p>
      <w:pPr>
        <w:pStyle w:val="Compact"/>
        <w:numPr>
          <w:ilvl w:val="0"/>
          <w:numId w:val="1012"/>
        </w:numPr>
      </w:pPr>
      <w:r>
        <w:t xml:space="preserve">Engage InfoBlox Professional Services for VCF 9.1 DDI integration workshop</w:t>
      </w:r>
    </w:p>
    <w:bookmarkEnd w:id="127"/>
    <w:bookmarkStart w:id="128" w:name="phase-1-on-premises-foundation-months-13"/>
    <w:p>
      <w:pPr>
        <w:pStyle w:val="Heading3"/>
      </w:pPr>
      <w:r>
        <w:t xml:space="preserve">Phase 1 — On-Premises Foundation (Months 1–3)</w:t>
      </w:r>
    </w:p>
    <w:p>
      <w:pPr>
        <w:pStyle w:val="Compact"/>
        <w:numPr>
          <w:ilvl w:val="0"/>
          <w:numId w:val="1013"/>
        </w:numPr>
      </w:pPr>
      <w:r>
        <w:t xml:space="preserve">Deploy Grid Master HA pair; import all AD DNS zones; enable DNSSEC for agency.gov</w:t>
      </w:r>
    </w:p>
    <w:p>
      <w:pPr>
        <w:pStyle w:val="Compact"/>
        <w:numPr>
          <w:ilvl w:val="0"/>
          <w:numId w:val="1013"/>
        </w:numPr>
      </w:pPr>
      <w:r>
        <w:t xml:space="preserve">Submit DS record to .gov TLD registrar (closes SC-20 gap)</w:t>
      </w:r>
    </w:p>
    <w:p>
      <w:pPr>
        <w:pStyle w:val="Compact"/>
        <w:numPr>
          <w:ilvl w:val="0"/>
          <w:numId w:val="1013"/>
        </w:numPr>
      </w:pPr>
      <w:r>
        <w:t xml:space="preserve">Migrate Windows Server DHCP scopes to InfoBlox Grid DHCP; enable DHCP fingerprinting (the device-identity feed that</w:t>
      </w:r>
      <w:r>
        <w:t xml:space="preserve"> </w:t>
      </w:r>
      <w:hyperlink r:id="rId115">
        <w:r>
          <w:rPr>
            <w:rStyle w:val="Hyperlink"/>
          </w:rPr>
          <w:t xml:space="preserve">Book 02</w:t>
        </w:r>
      </w:hyperlink>
      <w:r>
        <w:t xml:space="preserve"> </w:t>
      </w:r>
      <w:r>
        <w:t xml:space="preserve">builds the NAC device inventory on)</w:t>
      </w:r>
    </w:p>
    <w:p>
      <w:pPr>
        <w:pStyle w:val="Compact"/>
        <w:numPr>
          <w:ilvl w:val="0"/>
          <w:numId w:val="1013"/>
        </w:numPr>
      </w:pPr>
      <w:r>
        <w:t xml:space="preserve">Configure syslog forwarding from all Grid Members to SIEM (Splunk/Sentinel); verify AU-12 event receipt</w:t>
      </w:r>
    </w:p>
    <w:p>
      <w:pPr>
        <w:pStyle w:val="Compact"/>
        <w:numPr>
          <w:ilvl w:val="0"/>
          <w:numId w:val="1013"/>
        </w:numPr>
      </w:pPr>
      <w:r>
        <w:t xml:space="preserve">Deploy SCEP connector to ADCS; test automated cert enrollment from new IP host record</w:t>
      </w:r>
    </w:p>
    <w:p>
      <w:pPr>
        <w:pStyle w:val="Compact"/>
        <w:numPr>
          <w:ilvl w:val="0"/>
          <w:numId w:val="1013"/>
        </w:numPr>
      </w:pPr>
      <w:r>
        <w:t xml:space="preserve">Generate first CM-8 IP inventory export; reconcile against existing CMDB</w:t>
      </w:r>
    </w:p>
    <w:bookmarkEnd w:id="128"/>
    <w:bookmarkStart w:id="129" w:name="Xc4c0bc48ec731a428e8eb5363949c17466fc71f"/>
    <w:p>
      <w:pPr>
        <w:pStyle w:val="Heading3"/>
      </w:pPr>
      <w:r>
        <w:t xml:space="preserve">Phase 2 — VMware VCF 9.1 Integration (Months 2–4)</w:t>
      </w:r>
    </w:p>
    <w:p>
      <w:pPr>
        <w:pStyle w:val="Compact"/>
        <w:numPr>
          <w:ilvl w:val="0"/>
          <w:numId w:val="1014"/>
        </w:numPr>
      </w:pPr>
      <w:r>
        <w:t xml:space="preserve">Update VCF to 9.1; configure VCF-A to use InfoBlox WAPI as external IPAM backend</w:t>
      </w:r>
    </w:p>
    <w:p>
      <w:pPr>
        <w:pStyle w:val="Compact"/>
        <w:numPr>
          <w:ilvl w:val="0"/>
          <w:numId w:val="1014"/>
        </w:numPr>
      </w:pPr>
      <w:r>
        <w:t xml:space="preserve">Update NSX-T DHCP Server Profiles to route DNS to InfoBlox Grid Member IP</w:t>
      </w:r>
    </w:p>
    <w:p>
      <w:pPr>
        <w:pStyle w:val="Compact"/>
        <w:numPr>
          <w:ilvl w:val="0"/>
          <w:numId w:val="1014"/>
        </w:numPr>
      </w:pPr>
      <w:r>
        <w:t xml:space="preserve">Verify NSX-T VM IP assignments appear in InfoBlox On-Premises Network View within 60 seconds</w:t>
      </w:r>
    </w:p>
    <w:bookmarkEnd w:id="129"/>
    <w:bookmarkStart w:id="130" w:name="X77a697cf21d0ca41f2584ad67baf5270bd4b388"/>
    <w:p>
      <w:pPr>
        <w:pStyle w:val="Heading3"/>
      </w:pPr>
      <w:r>
        <w:t xml:space="preserve">Phase 3 — Azure Government Integration (Months 3–5)</w:t>
      </w:r>
    </w:p>
    <w:p>
      <w:pPr>
        <w:pStyle w:val="Compact"/>
        <w:numPr>
          <w:ilvl w:val="0"/>
          <w:numId w:val="1015"/>
        </w:numPr>
      </w:pPr>
      <w:r>
        <w:t xml:space="preserve">Deploy InfoBlox Grid Member as Azure VM in Hub VNet; configure Azure DNS Private Resolver to forward to Grid Member</w:t>
      </w:r>
    </w:p>
    <w:p>
      <w:pPr>
        <w:pStyle w:val="Compact"/>
        <w:numPr>
          <w:ilvl w:val="0"/>
          <w:numId w:val="1015"/>
        </w:numPr>
      </w:pPr>
      <w:r>
        <w:t xml:space="preserve">Register all Azure VNet/subnet CIDRs in InfoBlox Azure-GCC Network View; enable Azure connector</w:t>
      </w:r>
    </w:p>
    <w:p>
      <w:pPr>
        <w:pStyle w:val="Compact"/>
        <w:numPr>
          <w:ilvl w:val="0"/>
          <w:numId w:val="1015"/>
        </w:numPr>
      </w:pPr>
      <w:r>
        <w:t xml:space="preserve">Configure Azure Key Vault Certificate Manager polling in InfoBlox Certificate Tracker</w:t>
      </w:r>
    </w:p>
    <w:p>
      <w:pPr>
        <w:pStyle w:val="Compact"/>
        <w:numPr>
          <w:ilvl w:val="0"/>
          <w:numId w:val="1015"/>
        </w:numPr>
      </w:pPr>
      <w:r>
        <w:t xml:space="preserve">Configure M365 GCC endpoint API polling; test RPZ passthrough and commercial M365 RPZ block</w:t>
      </w:r>
    </w:p>
    <w:bookmarkEnd w:id="130"/>
    <w:bookmarkStart w:id="131" w:name="Xa43eec936343295a8326917a9cf352928776252"/>
    <w:p>
      <w:pPr>
        <w:pStyle w:val="Heading3"/>
      </w:pPr>
      <w:r>
        <w:t xml:space="preserve">Phase 4 — AWS GovCloud Integration (Months 5–7)</w:t>
      </w:r>
    </w:p>
    <w:p>
      <w:pPr>
        <w:pStyle w:val="Compact"/>
        <w:numPr>
          <w:ilvl w:val="0"/>
          <w:numId w:val="1016"/>
        </w:numPr>
      </w:pPr>
      <w:r>
        <w:t xml:space="preserve">Deploy InfoBlox Grid Member as EC2 instance in Transit VPC</w:t>
      </w:r>
    </w:p>
    <w:p>
      <w:pPr>
        <w:pStyle w:val="Compact"/>
        <w:numPr>
          <w:ilvl w:val="0"/>
          <w:numId w:val="1016"/>
        </w:numPr>
      </w:pPr>
      <w:r>
        <w:t xml:space="preserve">Update VPC DHCP Options Sets to use Grid Member IP as domain-name-server</w:t>
      </w:r>
    </w:p>
    <w:p>
      <w:pPr>
        <w:pStyle w:val="Compact"/>
        <w:numPr>
          <w:ilvl w:val="0"/>
          <w:numId w:val="1016"/>
        </w:numPr>
      </w:pPr>
      <w:r>
        <w:t xml:space="preserve">Enable InfoBlox AWS connector; register all VPC CIDR allocations in AWS-GovCloud Network View</w:t>
      </w:r>
    </w:p>
    <w:p>
      <w:pPr>
        <w:pStyle w:val="Compact"/>
        <w:numPr>
          <w:ilvl w:val="0"/>
          <w:numId w:val="1016"/>
        </w:numPr>
      </w:pPr>
      <w:r>
        <w:t xml:space="preserve">Configure ACM DNS validation CNAME automation; test certificate issuance for an internal ALB</w:t>
      </w:r>
    </w:p>
    <w:p>
      <w:pPr>
        <w:pStyle w:val="Compact"/>
        <w:numPr>
          <w:ilvl w:val="0"/>
          <w:numId w:val="1016"/>
        </w:numPr>
      </w:pPr>
      <w:r>
        <w:t xml:space="preserve">Integrate InfoBlox RPZ events with AWS Security Hub findings</w:t>
      </w:r>
    </w:p>
    <w:bookmarkEnd w:id="131"/>
    <w:bookmarkStart w:id="132" w:name="Xca1eadb88ebaa0b3ed62b98ccc9ae1a6edf20c4"/>
    <w:p>
      <w:pPr>
        <w:pStyle w:val="Heading3"/>
      </w:pPr>
      <w:r>
        <w:t xml:space="preserve">Phase 5 — OCI OPM HRIT Integration (Months 7–9)</w:t>
      </w:r>
    </w:p>
    <w:p>
      <w:pPr>
        <w:pStyle w:val="Compact"/>
        <w:numPr>
          <w:ilvl w:val="0"/>
          <w:numId w:val="1017"/>
        </w:numPr>
      </w:pPr>
      <w:r>
        <w:t xml:space="preserve">Import all known OPM HRIT service endpoint IPs and FQDNs as external host records</w:t>
      </w:r>
    </w:p>
    <w:p>
      <w:pPr>
        <w:pStyle w:val="Compact"/>
        <w:numPr>
          <w:ilvl w:val="0"/>
          <w:numId w:val="1017"/>
        </w:numPr>
      </w:pPr>
      <w:r>
        <w:t xml:space="preserve">Configure InfoBlox conditional forwarder for OPM HRIT FQDNs through FastConnect path</w:t>
      </w:r>
    </w:p>
    <w:p>
      <w:pPr>
        <w:pStyle w:val="Compact"/>
        <w:numPr>
          <w:ilvl w:val="0"/>
          <w:numId w:val="1017"/>
        </w:numPr>
      </w:pPr>
      <w:r>
        <w:t xml:space="preserve">Connect InfoBlox Certificate Tracker to OPM HRIT HTTPS endpoints; verify 90-day cert expiry alert fires</w:t>
      </w:r>
    </w:p>
    <w:p>
      <w:pPr>
        <w:pStyle w:val="Compact"/>
        <w:numPr>
          <w:ilvl w:val="0"/>
          <w:numId w:val="1017"/>
        </w:numPr>
      </w:pPr>
      <w:r>
        <w:t xml:space="preserve">Document OCI integration in SSP SA-9 external services table with OPM as system owner</w:t>
      </w:r>
    </w:p>
    <w:bookmarkEnd w:id="132"/>
    <w:bookmarkStart w:id="133" w:name="X6450109d4d09342385afb6f44eead155ff42378"/>
    <w:p>
      <w:pPr>
        <w:pStyle w:val="Heading3"/>
      </w:pPr>
      <w:r>
        <w:t xml:space="preserve">Phase 6 — FedRAMP Continuous Monitoring (Months 9–12)</w:t>
      </w:r>
    </w:p>
    <w:p>
      <w:pPr>
        <w:pStyle w:val="Compact"/>
        <w:numPr>
          <w:ilvl w:val="0"/>
          <w:numId w:val="1018"/>
        </w:numPr>
      </w:pPr>
      <w:r>
        <w:t xml:space="preserve">Complete InfoBlox FedRAMP ATO documentation in SSP; reference CSO FR2017257053 for DDI layer control inheritance</w:t>
      </w:r>
    </w:p>
    <w:p>
      <w:pPr>
        <w:pStyle w:val="Compact"/>
        <w:numPr>
          <w:ilvl w:val="0"/>
          <w:numId w:val="1018"/>
        </w:numPr>
      </w:pPr>
      <w:r>
        <w:t xml:space="preserve">Configure all eight FedRAMP control evidence exports as scheduled reports</w:t>
      </w:r>
    </w:p>
    <w:p>
      <w:pPr>
        <w:pStyle w:val="Compact"/>
        <w:numPr>
          <w:ilvl w:val="0"/>
          <w:numId w:val="1018"/>
        </w:numPr>
      </w:pPr>
      <w:r>
        <w:t xml:space="preserve">Implement IaC Terraform pipeline: IP allocation → DNS record → SCEP cert enrollment as single atomic pipeline</w:t>
      </w:r>
    </w:p>
    <w:p>
      <w:pPr>
        <w:pStyle w:val="Compact"/>
        <w:numPr>
          <w:ilvl w:val="0"/>
          <w:numId w:val="1018"/>
        </w:numPr>
      </w:pPr>
      <w:r>
        <w:t xml:space="preserve">Configure FedRAMP 20x KSI automation checks (DNSSEC status, RPZ coverage, cert expiry, CIDR conflict) as CI/CD pipeline tests</w:t>
      </w:r>
    </w:p>
    <w:p>
      <w:r>
        <w:pict>
          <v:rect style="width:0;height:1.5pt" o:hralign="center" o:hrstd="t" o:hr="t"/>
        </w:pict>
      </w:r>
    </w:p>
    <w:bookmarkEnd w:id="133"/>
    <w:bookmarkEnd w:id="134"/>
    <w:bookmarkStart w:id="14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3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3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3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3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3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4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4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4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4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4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4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46">
              <w:r>
                <w:rPr>
                  <w:rStyle w:val="Hyperlink"/>
                </w:rPr>
                <w:t xml:space="preserve">learn.microsoft.com/en-us/azure/azure-vmware/configure-dhcp-azure-vmware-solution</w:t>
              </w:r>
            </w:hyperlink>
          </w:p>
        </w:tc>
      </w:tr>
    </w:tbl>
    <w:p>
      <w:r>
        <w:pict>
          <v:rect style="width:0;height:1.5pt" o:hralign="center" o:hrstd="t" o:hr="t"/>
        </w:pic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110" Target="media/rId110.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72" Target="media/rId72.png" /><Relationship Type="http://schemas.openxmlformats.org/officeDocument/2006/relationships/image" Id="rId13" Target="media/rId13.png" /><Relationship Type="http://schemas.openxmlformats.org/officeDocument/2006/relationships/image" Id="rId99" Target="media/rId99.png" /><Relationship Type="http://schemas.openxmlformats.org/officeDocument/2006/relationships/image" Id="rId18" Target="media/rId18.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81" Target="media/rId81.svg" /><Relationship Type="http://schemas.openxmlformats.org/officeDocument/2006/relationships/image" Id="rId86" Target="media/rId86.svg" /><Relationship Type="http://schemas.openxmlformats.org/officeDocument/2006/relationships/hyperlink" Id="rId115" Target="Book_02_Federal_Application_Aware_Networking_Network_Access_Control_802_1X.qmd" TargetMode="External" /><Relationship Type="http://schemas.openxmlformats.org/officeDocument/2006/relationships/hyperlink" Id="rId71" Target="Book_03_Federal_Application_Aware_Networking_Certificates_Tokens_Cryptographic_Identity.qmd" TargetMode="External" /><Relationship Type="http://schemas.openxmlformats.org/officeDocument/2006/relationships/hyperlink" Id="rId94" Target="Book_05_Federal_Application_Aware_Networking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115" Target="Book_02_Federal_Application_Aware_Networking_Network_Access_Control_802_1X.qmd" TargetMode="External" /><Relationship Type="http://schemas.openxmlformats.org/officeDocument/2006/relationships/hyperlink" Id="rId71" Target="Book_03_Federal_Application_Aware_Networking_Certificates_Tokens_Cryptographic_Identity.qmd" TargetMode="External" /><Relationship Type="http://schemas.openxmlformats.org/officeDocument/2006/relationships/hyperlink" Id="rId94" Target="Book_05_Federal_Application_Aware_Networking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2026-07-06T11:31:19Z</dcterms:created>
  <dcterms:modified xsi:type="dcterms:W3CDTF">2026-07-06T11:31:19Z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