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 19 — Federal Application-Aware Networking — Part 19</w:t>
      </w:r>
    </w:p>
    <w:p>
      <w:pPr>
        <w:pStyle w:val="Subtitle"/>
      </w:pPr>
      <w:r>
        <w:t xml:space="preserve">FedRAMP 20x Authorization Package, Continuous Monitoring, and BOD 26-04 Submission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reface"/>
    <w:p>
      <w:pPr>
        <w:pStyle w:val="Heading1"/>
      </w:pPr>
      <w:r>
        <w:t xml:space="preserve">1. Preface</w:t>
      </w:r>
    </w:p>
    <w:p>
      <w:pPr>
        <w:pStyle w:val="FirstParagraph"/>
      </w:pPr>
      <w:r>
        <w:t xml:space="preserve">This is the nineteenth and final book in the Federal Application-Aware Networking</w:t>
      </w:r>
      <w:r>
        <w:t xml:space="preserve"> </w:t>
      </w:r>
      <w:r>
        <w:t xml:space="preserve">(AAN) series. Parts 1–18 generated the evidence layer: infrastructure</w:t>
      </w:r>
      <w:r>
        <w:t xml:space="preserve"> </w:t>
      </w:r>
      <w:r>
        <w:t xml:space="preserve">architecture, security controls, governance artifacts, and training records</w:t>
      </w:r>
      <w:r>
        <w:t xml:space="preserve"> </w:t>
      </w:r>
      <w:r>
        <w:t xml:space="preserve">mapped to NIST SP 800-53 Rev 5 controls and FedRAMP 20x Consolidated Rules for</w:t>
      </w:r>
      <w:r>
        <w:t xml:space="preserve"> </w:t>
      </w:r>
      <w:r>
        <w:t xml:space="preserve">29 CR26 KSIs. This document assembles those artifacts into the</w:t>
      </w:r>
      <w:r>
        <w:t xml:space="preserve"> </w:t>
      </w:r>
      <w:r>
        <w:rPr>
          <w:b/>
          <w:bCs/>
        </w:rPr>
        <w:t xml:space="preserve">authorization</w:t>
      </w:r>
      <w:r>
        <w:rPr>
          <w:b/>
          <w:bCs/>
        </w:rP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— the formal submission that requests a FedRAMP Authorization to</w:t>
      </w:r>
      <w:r>
        <w:t xml:space="preserve"> </w:t>
      </w:r>
      <w:r>
        <w:t xml:space="preserve">Operate (ATO).</w:t>
      </w:r>
    </w:p>
    <w:p>
      <w:pPr>
        <w:pStyle w:val="BodyText"/>
      </w:pPr>
      <w:r>
        <w:t xml:space="preserve">Part 19 addresses four deliverables: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Authorization Package Structure</w:t>
      </w:r>
      <w:r>
        <w:t xml:space="preserve"> </w:t>
      </w:r>
      <w:r>
        <w:t xml:space="preserve">— what documents, in which format, submitted where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Continuous Monitoring Program</w:t>
      </w:r>
      <w:r>
        <w:t xml:space="preserve"> </w:t>
      </w:r>
      <w:r>
        <w:t xml:space="preserve">— how the evidence stays fresh after ATO (CA-7)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 26-04 VDR/VER Submission</w:t>
      </w:r>
      <w:r>
        <w:t xml:space="preserve"> </w:t>
      </w:r>
      <w:r>
        <w:t xml:space="preserve">— the December 7, 2026 SBOM + vendor disclosure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OSCAL AP+AR+POAM Bundle</w:t>
      </w:r>
      <w:r>
        <w:t xml:space="preserve"> </w:t>
      </w:r>
      <w:r>
        <w:t xml:space="preserve">— the machine-readable KSI evidence package</w:t>
      </w:r>
    </w:p>
    <w:p>
      <w:pPr>
        <w:pStyle w:val="FirstParagraph"/>
      </w:pPr>
      <w:r>
        <w:t xml:space="preserve">Controls closed by this document: CA-2, CA-5, CA-6, CA-7, CA-7(1), CA-7(3),</w:t>
      </w:r>
      <w:r>
        <w:t xml:space="preserve"> </w:t>
      </w:r>
      <w:r>
        <w:t xml:space="preserve">RA-3, SA-15.</w:t>
      </w:r>
    </w:p>
    <w:p>
      <w:r>
        <w:pict>
          <v:rect style="width:0;height:1.5pt" o:hralign="center" o:hrstd="t" o:hr="t"/>
        </w:pict>
      </w:r>
    </w:p>
    <w:bookmarkEnd w:id="9"/>
    <w:bookmarkStart w:id="18" w:name="X4f11e25de9bc717d08a69ad931794ea2c42322f"/>
    <w:p>
      <w:pPr>
        <w:pStyle w:val="Heading1"/>
      </w:pPr>
      <w:r>
        <w:t xml:space="preserve">2. 1 The Eighteen-Book Journey — All 29 KSIs Evaluable at High Confidence</w:t>
      </w:r>
    </w:p>
    <w:bookmarkStart w:id="13" w:name="series-summary"/>
    <w:p>
      <w:pPr>
        <w:pStyle w:val="Heading2"/>
      </w:pPr>
      <w:r>
        <w:t xml:space="preserve">2.1 1.1 Series Summary</w:t>
      </w:r>
    </w:p>
    <w:p>
      <w:pPr>
        <w:pStyle w:val="FirstParagraph"/>
      </w:pPr>
      <w:r>
        <w:t xml:space="preserve">The Federal AAN series delivered eighteen technical books covering the SSA GCC</w:t>
      </w:r>
      <w:r>
        <w:t xml:space="preserve"> </w:t>
      </w:r>
      <w:r>
        <w:t xml:space="preserve">Moderate boundary against NIST SP 800-53 Rev 5 and FedRAMP 20x Consolidated</w:t>
      </w:r>
      <w:r>
        <w:t xml:space="preserve"> </w:t>
      </w:r>
      <w:r>
        <w:t xml:space="preserve">Rules. Together the series closes</w:t>
      </w:r>
      <w:r>
        <w:t xml:space="preserve"> </w:t>
      </w:r>
      <w:r>
        <w:rPr>
          <w:b/>
          <w:bCs/>
        </w:rPr>
        <w:t xml:space="preserve">89+ distinct NIST controls</w:t>
      </w:r>
      <w:r>
        <w:t xml:space="preserve"> </w:t>
      </w:r>
      <w:r>
        <w:t xml:space="preserve">and provides</w:t>
      </w:r>
      <w:r>
        <w:t xml:space="preserve"> </w:t>
      </w:r>
      <w:r>
        <w:t xml:space="preserve">self-assessed evidence for all</w:t>
      </w:r>
      <w:r>
        <w:t xml:space="preserve"> </w:t>
      </w:r>
      <w:r>
        <w:rPr>
          <w:b/>
          <w:bCs/>
        </w:rPr>
        <w:t xml:space="preserve">29 FedRAMP 20x CR26 KSIs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Self-Assessment Notice.</w:t>
            </w:r>
            <w:r>
              <w:t xml:space="preserve"> </w:t>
            </w:r>
            <w:r>
              <w:t xml:space="preserve">All KSI verdicts in this document are produced by</w:t>
            </w:r>
            <w:r>
              <w:t xml:space="preserve"> </w:t>
            </w:r>
            <w:r>
              <w:t xml:space="preserve">the UIAO Conformance Adapter — an automated self-assessment tool. They are</w:t>
            </w:r>
            <w:r>
              <w:t xml:space="preserve"> </w:t>
            </w:r>
            <w:r>
              <w:t xml:space="preserve">advisory and do not constitute a formal authorization. Results must be</w:t>
            </w:r>
            <w:r>
              <w:t xml:space="preserve"> </w:t>
            </w:r>
            <w:r>
              <w:t xml:space="preserve">independently validated by a FedRAMP-recognized 3PAO and accepted by the</w:t>
            </w:r>
            <w:r>
              <w:t xml:space="preserve"> </w:t>
            </w:r>
            <w:r>
              <w:t xml:space="preserve">Agency Authorizing Official before an ATO is granted.</w:t>
            </w:r>
          </w:p>
          <w:p/>
        </w:tc>
      </w:tr>
    </w:tbl>
    <w:p>
      <w:pPr>
        <w:pStyle w:val="TableCaption"/>
      </w:pPr>
      <w:r>
        <w:t xml:space="preserve">Federal AAN Series — Control 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ederal AAN Series — Control Coverage Summary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InfoBlox DDI — IPAM, DNS, DHCP, PKI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</w:t>
            </w:r>
          </w:p>
        </w:tc>
        <w:tc>
          <w:tcPr/>
          <w:p>
            <w:pPr>
              <w:pStyle w:val="Compact"/>
            </w:pPr>
            <w:r>
              <w:t xml:space="preserve">Network Access Control — 802.1X device identity at the port (device-identity evidence for the network and endpoint slot families)</w:t>
            </w:r>
          </w:p>
        </w:tc>
        <w:tc>
          <w:tcPr/>
          <w:p>
            <w:pPr>
              <w:pStyle w:val="Compact"/>
            </w:pPr>
            <w:r>
              <w:t xml:space="preserve">IA-3, IA-3(1), AC-19, SC-7(3), SC-7(5), CM-8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3</w:t>
            </w:r>
          </w:p>
        </w:tc>
        <w:tc>
          <w:tcPr/>
          <w:p>
            <w:pPr>
              <w:pStyle w:val="Compact"/>
            </w:pPr>
            <w:r>
              <w:t xml:space="preserve">Certificates and Tokens — cryptographic identity (PKI lifecycle, OAuth/OIDC, CBA; identity slot family evidence)</w:t>
            </w:r>
          </w:p>
        </w:tc>
        <w:tc>
          <w:tcPr/>
          <w:p>
            <w:pPr>
              <w:pStyle w:val="Compact"/>
            </w:pPr>
            <w:r>
              <w:t xml:space="preserve">IA-2(1)/(2), IA-5(2), SC-12, SC-17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4</w:t>
            </w:r>
          </w:p>
        </w:tc>
        <w:tc>
          <w:tcPr/>
          <w:p>
            <w:pPr>
              <w:pStyle w:val="Compact"/>
            </w:pPr>
            <w:r>
              <w:t xml:space="preserve">HRIT and the Identity &amp; Organizational SSOT — Oracle HCM Cloud as the HR system of record (identity slot family evidence, slot-01)</w:t>
            </w:r>
          </w:p>
        </w:tc>
        <w:tc>
          <w:tcPr/>
          <w:p>
            <w:pPr>
              <w:pStyle w:val="Compact"/>
            </w:pPr>
            <w:r>
              <w:t xml:space="preserve">AC-2, AC-2(1), PS-4, PS-5, IA-4, SI-12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6</w:t>
            </w:r>
          </w:p>
        </w:tc>
        <w:tc>
          <w:tcPr/>
          <w:p>
            <w:pPr>
              <w:pStyle w:val="Compact"/>
            </w:pPr>
            <w:r>
              <w:t xml:space="preserve">SD-WAN, SASE, UC (Teams Phone, Amazon Connect)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5</w:t>
            </w:r>
          </w:p>
        </w:tc>
        <w:tc>
          <w:tcPr/>
          <w:p>
            <w:pPr>
              <w:pStyle w:val="Compact"/>
            </w:pPr>
            <w:r>
              <w:t xml:space="preserve">Entra ID, ZTNA, Active Governance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7</w:t>
            </w:r>
          </w:p>
        </w:tc>
        <w:tc>
          <w:tcPr/>
          <w:p>
            <w:pPr>
              <w:pStyle w:val="Compact"/>
            </w:pPr>
            <w:r>
              <w:t xml:space="preserve">SQL Server Authentication Modernization</w:t>
            </w:r>
          </w:p>
        </w:tc>
        <w:tc>
          <w:tcPr/>
          <w:p>
            <w:pPr>
              <w:pStyle w:val="Compact"/>
            </w:pPr>
            <w:r>
              <w:t xml:space="preserve">IA family (depth)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8</w:t>
            </w:r>
          </w:p>
        </w:tc>
        <w:tc>
          <w:tcPr/>
          <w:p>
            <w:pPr>
              <w:pStyle w:val="Compact"/>
            </w:pPr>
            <w:r>
              <w:t xml:space="preserve">SQL Server Implementation Runbook</w:t>
            </w:r>
          </w:p>
        </w:tc>
        <w:tc>
          <w:tcPr/>
          <w:p>
            <w:pPr>
              <w:pStyle w:val="Compact"/>
            </w:pPr>
            <w:r>
              <w:t xml:space="preserve">Procedural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9</w:t>
            </w:r>
          </w:p>
        </w:tc>
        <w:tc>
          <w:tcPr/>
          <w:p>
            <w:pPr>
              <w:pStyle w:val="Compact"/>
            </w:pPr>
            <w:r>
              <w:t xml:space="preserve">Database Architecture / Network Physics</w:t>
            </w:r>
          </w:p>
        </w:tc>
        <w:tc>
          <w:tcPr/>
          <w:p>
            <w:pPr>
              <w:pStyle w:val="Compact"/>
            </w:pPr>
            <w:r>
              <w:t xml:space="preserve">SC/SI families (depth)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10</w:t>
            </w:r>
          </w:p>
        </w:tc>
        <w:tc>
          <w:tcPr/>
          <w:p>
            <w:pPr>
              <w:pStyle w:val="Compact"/>
            </w:pPr>
            <w:r>
              <w:t xml:space="preserve">Privileged Access Management (Entra PIM + PAW)</w:t>
            </w:r>
          </w:p>
        </w:tc>
        <w:tc>
          <w:tcPr/>
          <w:p>
            <w:pPr>
              <w:pStyle w:val="Compact"/>
            </w:pPr>
            <w:r>
              <w:t xml:space="preserve">AC-5, AC-6(×7), AC-11/12, IA-11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11</w:t>
            </w:r>
          </w:p>
        </w:tc>
        <w:tc>
          <w:tcPr/>
          <w:p>
            <w:pPr>
              <w:pStyle w:val="Compact"/>
            </w:pPr>
            <w:r>
              <w:t xml:space="preserve">Vulnerability Management (Defender VM + KEV)</w:t>
            </w:r>
          </w:p>
        </w:tc>
        <w:tc>
          <w:tcPr/>
          <w:p>
            <w:pPr>
              <w:pStyle w:val="Compact"/>
            </w:pPr>
            <w:r>
              <w:t xml:space="preserve">RA-5(×3), SI-2(×2), SI-5, CM-7(×2)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12</w:t>
            </w:r>
          </w:p>
        </w:tc>
        <w:tc>
          <w:tcPr/>
          <w:p>
            <w:pPr>
              <w:pStyle w:val="Compact"/>
            </w:pPr>
            <w:r>
              <w:t xml:space="preserve">Data Protection (Purview + Key Vault CMK)</w:t>
            </w:r>
          </w:p>
        </w:tc>
        <w:tc>
          <w:tcPr/>
          <w:p>
            <w:pPr>
              <w:pStyle w:val="Compact"/>
            </w:pPr>
            <w:r>
              <w:t xml:space="preserve">MP-2–5, SC-12/13/17/28, AU-10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13</w:t>
            </w:r>
          </w:p>
        </w:tc>
        <w:tc>
          <w:tcPr/>
          <w:p>
            <w:pPr>
              <w:pStyle w:val="Compact"/>
            </w:pPr>
            <w:r>
              <w:t xml:space="preserve">SIEM / XDR / Detection Engineering (Sentinel)</w:t>
            </w:r>
          </w:p>
        </w:tc>
        <w:tc>
          <w:tcPr/>
          <w:p>
            <w:pPr>
              <w:pStyle w:val="Compact"/>
            </w:pPr>
            <w:r>
              <w:t xml:space="preserve">AU-6(×3), AU-7/8/11, SI-4(×4), IR-4/6/8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14</w:t>
            </w:r>
          </w:p>
        </w:tc>
        <w:tc>
          <w:tcPr/>
          <w:p>
            <w:pPr>
              <w:pStyle w:val="Compact"/>
            </w:pPr>
            <w:r>
              <w:t xml:space="preserve">Business Continuity / Contingency Planning</w:t>
            </w:r>
          </w:p>
        </w:tc>
        <w:tc>
          <w:tcPr/>
          <w:p>
            <w:pPr>
              <w:pStyle w:val="Compact"/>
            </w:pPr>
            <w:r>
              <w:t xml:space="preserve">CP-2(×3), CP-3/4(×2), CP-6/7(×3), CP-8(×2)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15</w:t>
            </w:r>
          </w:p>
        </w:tc>
        <w:tc>
          <w:tcPr/>
          <w:p>
            <w:pPr>
              <w:pStyle w:val="Compact"/>
            </w:pPr>
            <w:r>
              <w:t xml:space="preserve">Supply Chain Risk / SBOM / VDR</w:t>
            </w:r>
          </w:p>
        </w:tc>
        <w:tc>
          <w:tcPr/>
          <w:p>
            <w:pPr>
              <w:pStyle w:val="Compact"/>
            </w:pPr>
            <w:r>
              <w:t xml:space="preserve">SR-1–3/5/6/8/10/11 + BOD 26-04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16</w:t>
            </w:r>
          </w:p>
        </w:tc>
        <w:tc>
          <w:tcPr/>
          <w:p>
            <w:pPr>
              <w:pStyle w:val="Compact"/>
            </w:pPr>
            <w:r>
              <w:t xml:space="preserve">Program Management Governance</w:t>
            </w:r>
          </w:p>
        </w:tc>
        <w:tc>
          <w:tcPr/>
          <w:p>
            <w:pPr>
              <w:pStyle w:val="Compact"/>
            </w:pPr>
            <w:r>
              <w:t xml:space="preserve">PM-1/2/5/7/9/11/14/15/30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17</w:t>
            </w:r>
          </w:p>
        </w:tc>
        <w:tc>
          <w:tcPr/>
          <w:p>
            <w:pPr>
              <w:pStyle w:val="Compact"/>
            </w:pPr>
            <w:r>
              <w:t xml:space="preserve">PII Processing and Transparency</w:t>
            </w:r>
          </w:p>
        </w:tc>
        <w:tc>
          <w:tcPr/>
          <w:p>
            <w:pPr>
              <w:pStyle w:val="Compact"/>
            </w:pPr>
            <w:r>
              <w:t xml:space="preserve">PT-1/2/3/4/5/7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18</w:t>
            </w:r>
          </w:p>
        </w:tc>
        <w:tc>
          <w:tcPr/>
          <w:p>
            <w:pPr>
              <w:pStyle w:val="Compact"/>
            </w:pPr>
            <w:r>
              <w:t xml:space="preserve">Cybersecurity Awareness and Training</w:t>
            </w:r>
          </w:p>
        </w:tc>
        <w:tc>
          <w:tcPr/>
          <w:p>
            <w:pPr>
              <w:pStyle w:val="Compact"/>
            </w:pPr>
            <w:r>
              <w:t xml:space="preserve">AT-2, AT-2(1)/2, AT-3, AT-3(3)/5, AT-4, CP-3, IR-2</w:t>
            </w:r>
          </w:p>
        </w:tc>
      </w:tr>
    </w:tbl>
    <w:bookmarkEnd w:id="13"/>
    <w:bookmarkStart w:id="17" w:name="ksi-scorecard"/>
    <w:p>
      <w:pPr>
        <w:pStyle w:val="Heading2"/>
      </w:pPr>
      <w:r>
        <w:t xml:space="preserve">2.2 1.2 KSI Scorecard</w:t>
      </w:r>
    </w:p>
    <w:p>
      <w:pPr>
        <w:pStyle w:val="FirstParagraph"/>
      </w:pPr>
      <w:r>
        <w:t xml:space="preserve">The UIAO Conformance Adapter evaluates all 29 FedRAMP 20x CR26 KSIs against the</w:t>
      </w:r>
      <w:r>
        <w:t xml:space="preserve"> </w:t>
      </w:r>
      <w:r>
        <w:t xml:space="preserve">AAN slot evidence. As of July 4, 2026 (self-assessment — pending 3PAO validation):</w:t>
      </w:r>
    </w:p>
    <w:p>
      <w:pPr>
        <w:pStyle w:val="TableCaption"/>
      </w:pPr>
      <w:r>
        <w:t xml:space="preserve">KSI Evaluation Summary — 29/29 Evaluable at High Confidence (Self-Assessed)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KSI Evaluation Summary — 29/29 Evaluable at High Confidence (Self-Assessed)"/>
      </w:tblPr>
      <w:tblGrid>
        <w:gridCol w:w="3090"/>
        <w:gridCol w:w="1352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Evaluation Path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KSI IDs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CISA ScuBA adapter (M365 continuous)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KSI-001..010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AAN slot evaluator — high confidence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KSI-011..029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 (pending evidence)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All 29 CR26 KSIs evaluated at high confidence in the current self-assessment run.</w:t>
      </w:r>
      <w:r>
        <w:t xml:space="preserve"> </w:t>
      </w:r>
      <w:r>
        <w:t xml:space="preserve">Zero open risks identified. Zero POA&amp;M items generated. These results are</w:t>
      </w:r>
      <w:r>
        <w:t xml:space="preserve"> </w:t>
      </w:r>
      <w:r>
        <w:t xml:space="preserve">advisory pending independent 3PAO validation. The OSCAL Assessment Results (AR)</w:t>
      </w:r>
      <w:r>
        <w:t xml:space="preserve"> </w:t>
      </w:r>
      <w:r>
        <w:t xml:space="preserve">document is the machine-readable CA-2 deliverable.</w:t>
      </w:r>
    </w:p>
    <w:p>
      <w:pPr>
        <w:pStyle w:val="BodyText"/>
      </w:pPr>
      <w:r>
        <w:t xml:space="preserve">The authoritative closure-necessity view of these rules — which of the 29 KSIs</w:t>
      </w:r>
      <w:r>
        <w:t xml:space="preserve"> </w:t>
      </w:r>
      <w:r>
        <w:t xml:space="preserve">are attestable by conformance tooling alone, and which close only because a</w:t>
      </w:r>
      <w:r>
        <w:t xml:space="preserve"> </w:t>
      </w:r>
      <w:r>
        <w:t xml:space="preserve">series book built the evidence slot behind them — lives in Book 00, in the</w:t>
      </w:r>
      <w:r>
        <w:t xml:space="preserve"> </w:t>
      </w:r>
      <w:r>
        <w:t xml:space="preserve">section</w:t>
      </w:r>
      <w:r>
        <w:t xml:space="preserve"> </w:t>
      </w:r>
      <w:r>
        <w:t xml:space="preserve">“The KSI Closure Necessity Matrix.”</w:t>
      </w:r>
      <w:r>
        <w:t xml:space="preserve"> </w:t>
      </w:r>
      <w:r>
        <w:t xml:space="preserve">This book deliberately does not</w:t>
      </w:r>
      <w:r>
        <w:t xml:space="preserve"> </w:t>
      </w:r>
      <w:r>
        <w:t xml:space="preserve">restate that matrix. What it carries is the evidence procedure layer: how each</w:t>
      </w:r>
      <w:r>
        <w:t xml:space="preserve"> </w:t>
      </w:r>
      <w:r>
        <w:t xml:space="preserve">slot’s artifacts are generated, refreshed on the ConMon cadence, and assembled</w:t>
      </w:r>
      <w:r>
        <w:t xml:space="preserve"> </w:t>
      </w:r>
      <w:r>
        <w:t xml:space="preserve">into the authorization package.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edRAMP 20x Authorization Package Structure" title="" id="15" name="Picture"/>
            <a:graphic>
              <a:graphicData uri="http://schemas.openxmlformats.org/drawingml/2006/picture">
                <pic:pic>
                  <pic:nvPicPr>
                    <pic:cNvPr descr="figs/ato-fig-01-package-stru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FedRAMP 20x Authorization Package Structure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7d46b70c40397f6c0118ffafaf8fcea05c8cc2a"/>
    <w:p>
      <w:pPr>
        <w:pStyle w:val="Heading1"/>
      </w:pPr>
      <w:r>
        <w:t xml:space="preserve">3. 2 OSCAL Bundle — Machine-Readable KSI Evidence (CA-2, CA-5)</w:t>
      </w:r>
    </w:p>
    <w:bookmarkStart w:id="19" w:name="bundle-architecture"/>
    <w:p>
      <w:pPr>
        <w:pStyle w:val="Heading2"/>
      </w:pPr>
      <w:r>
        <w:t xml:space="preserve">3.1 2.1 Bundle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 </w:t>
      </w:r>
      <w:r>
        <w:t xml:space="preserve">command generates three interlinked OSCAL 1.0.4 documents</w:t>
      </w:r>
      <w:r>
        <w:t xml:space="preserve"> </w:t>
      </w:r>
      <w:r>
        <w:t xml:space="preserve">that constitute the machine-readable KSI evidence package:</w:t>
      </w:r>
    </w:p>
    <w:p>
      <w:pPr>
        <w:pStyle w:val="TableCaption"/>
      </w:pPr>
      <w:r>
        <w:t xml:space="preserve">OSCAL Bundle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SCAL Bundle Documents"/>
      </w:tblPr>
      <w:tblGrid>
        <w:gridCol w:w="2084"/>
        <w:gridCol w:w="1250"/>
        <w:gridCol w:w="2709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Plan (AP)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ksi-ap.json</w:t>
            </w:r>
          </w:p>
        </w:tc>
        <w:tc>
          <w:tcPr/>
          <w:p>
            <w:pPr>
              <w:pStyle w:val="Compact"/>
            </w:pPr>
            <w:r>
              <w:t xml:space="preserve">CA-2</w:t>
            </w:r>
          </w:p>
        </w:tc>
        <w:tc>
          <w:tcPr/>
          <w:p>
            <w:pPr>
              <w:pStyle w:val="Compact"/>
            </w:pPr>
            <w:r>
              <w:t xml:space="preserve">Documents what was assessed, which controls, and by which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Results (AR)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ksi-ar.json</w:t>
            </w:r>
          </w:p>
        </w:tc>
        <w:tc>
          <w:tcPr/>
          <w:p>
            <w:pPr>
              <w:pStyle w:val="Compact"/>
            </w:pPr>
            <w:r>
              <w:t xml:space="preserve">CA-2, RA-3</w:t>
            </w:r>
          </w:p>
        </w:tc>
        <w:tc>
          <w:tcPr/>
          <w:p>
            <w:pPr>
              <w:pStyle w:val="Compact"/>
            </w:pPr>
            <w:r>
              <w:t xml:space="preserve">Records findings, verdicts, and risks for all 29 KSIs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of Action and Milestones (POA&amp;M)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ksi-poam.json</w:t>
            </w:r>
          </w:p>
        </w:tc>
        <w:tc>
          <w:tcPr/>
          <w:p>
            <w:pPr>
              <w:pStyle w:val="Compact"/>
            </w:pPr>
            <w:r>
              <w:t xml:space="preserve">CA-5</w:t>
            </w:r>
          </w:p>
        </w:tc>
        <w:tc>
          <w:tcPr/>
          <w:p>
            <w:pPr>
              <w:pStyle w:val="Compact"/>
            </w:pPr>
            <w:r>
              <w:t xml:space="preserve">Lists open findings and remediation milestones (zero items currently)</w:t>
            </w:r>
          </w:p>
        </w:tc>
      </w:tr>
    </w:tbl>
    <w:p>
      <w:pPr>
        <w:pStyle w:val="BodyText"/>
      </w:pPr>
      <w:r>
        <w:t xml:space="preserve">The three documents are linked by UUID reference:</w:t>
      </w:r>
    </w:p>
    <w:p>
      <w:pPr>
        <w:pStyle w:val="Compact"/>
        <w:numPr>
          <w:ilvl w:val="0"/>
          <w:numId w:val="1002"/>
        </w:numPr>
      </w:pPr>
      <w:r>
        <w:t xml:space="preserve">The AP specifies what was planned (</w:t>
      </w:r>
      <w:r>
        <w:rPr>
          <w:rStyle w:val="VerbatimChar"/>
        </w:rPr>
        <w:t xml:space="preserve">assessment-plan.uuid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The AR imports the AP (</w:t>
      </w:r>
      <w:r>
        <w:rPr>
          <w:rStyle w:val="VerbatimChar"/>
        </w:rPr>
        <w:t xml:space="preserve">import-ap.href = "#&lt;ap-uuid&gt;"</w:t>
      </w:r>
      <w:r>
        <w:t xml:space="preserve">) and records results</w:t>
      </w:r>
    </w:p>
    <w:p>
      <w:pPr>
        <w:pStyle w:val="Compact"/>
        <w:numPr>
          <w:ilvl w:val="0"/>
          <w:numId w:val="1002"/>
        </w:numPr>
      </w:pPr>
      <w:r>
        <w:t xml:space="preserve">The POA&amp;M imports the AP (</w:t>
      </w:r>
      <w:r>
        <w:rPr>
          <w:rStyle w:val="VerbatimChar"/>
        </w:rPr>
        <w:t xml:space="preserve">import-ap.href = "#&lt;ap-uuid&gt;"</w:t>
      </w:r>
      <w:r>
        <w:t xml:space="preserve">) and references AR observations</w:t>
      </w:r>
    </w:p>
    <w:bookmarkEnd w:id="19"/>
    <w:bookmarkStart w:id="20" w:name="generating-the-bundle"/>
    <w:p>
      <w:pPr>
        <w:pStyle w:val="Heading2"/>
      </w:pPr>
      <w:r>
        <w:t xml:space="preserve">3.2 2.2 Generating the Bundle</w:t>
      </w:r>
    </w:p>
    <w:p>
      <w:pPr>
        <w:pStyle w:val="SourceCode"/>
      </w:pPr>
      <w:r>
        <w:rPr>
          <w:rStyle w:val="CommentTok"/>
        </w:rPr>
        <w:t xml:space="preserve"># Generate AP + AR + POA&amp;M for the SSA GCC Moderate boundary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GCC Moderate"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output/artifacts/ksi-bundle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output/artifacts/ksi-bundle/ksi-ap.json</w:t>
      </w:r>
      <w:r>
        <w:br/>
      </w:r>
      <w:r>
        <w:rPr>
          <w:rStyle w:val="CommentTok"/>
        </w:rPr>
        <w:t xml:space="preserve">#   output/artifacts/ksi-bundle/ksi-ar.json</w:t>
      </w:r>
      <w:r>
        <w:br/>
      </w:r>
      <w:r>
        <w:rPr>
          <w:rStyle w:val="CommentTok"/>
        </w:rPr>
        <w:t xml:space="preserve">#   output/artifacts/ksi-bundle/ksi-poam.json</w:t>
      </w:r>
      <w:r>
        <w:br/>
      </w:r>
      <w:r>
        <w:rPr>
          <w:rStyle w:val="CommentTok"/>
        </w:rPr>
        <w:t xml:space="preserve">#   output/artifacts/ksi-bundle/artifact-index.json</w:t>
      </w:r>
    </w:p>
    <w:p>
      <w:pPr>
        <w:pStyle w:val="FirstParagraph"/>
      </w:pPr>
      <w:r>
        <w:t xml:space="preserve">The bundle is regenerated as part of ConMon cadence — monthly for ongoing</w:t>
      </w:r>
      <w:r>
        <w:t xml:space="preserve"> </w:t>
      </w:r>
      <w:r>
        <w:t xml:space="preserve">monitoring, and on-demand for the authorization package submission.</w:t>
      </w:r>
    </w:p>
    <w:bookmarkEnd w:id="20"/>
    <w:bookmarkStart w:id="21" w:name="assessment-plan-structure"/>
    <w:p>
      <w:pPr>
        <w:pStyle w:val="Heading2"/>
      </w:pPr>
      <w:r>
        <w:t xml:space="preserve">3.3 2.3 Assessment Plan Structure</w:t>
      </w:r>
    </w:p>
    <w:p>
      <w:pPr>
        <w:pStyle w:val="FirstParagraph"/>
      </w:pPr>
      <w:r>
        <w:t xml:space="preserve">The AP is organized around the ten KSI themes from FedRAMP 20x:</w:t>
      </w:r>
    </w:p>
    <w:p>
      <w:pPr>
        <w:pStyle w:val="TableCaption"/>
      </w:pPr>
      <w:r>
        <w:t xml:space="preserve">KSI Themes and Evidence 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KSI Themes and Evidence Slots"/>
      </w:tblPr>
      <w:tblGrid>
        <w:gridCol w:w="1584"/>
        <w:gridCol w:w="2489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KSI Rules</w:t>
            </w:r>
          </w:p>
        </w:tc>
        <w:tc>
          <w:tcPr/>
          <w:p>
            <w:pPr>
              <w:pStyle w:val="Compact"/>
            </w:pPr>
            <w:r>
              <w:t xml:space="preserve">Evidence Slot(s)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KSI-001, KSI-003, KSI-009, KSI-017–019</w:t>
            </w:r>
          </w:p>
        </w:tc>
        <w:tc>
          <w:tcPr/>
          <w:p>
            <w:pPr>
              <w:pStyle w:val="Compact"/>
            </w:pPr>
            <w:r>
              <w:t xml:space="preserve">slot-01 identity; ScuBA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KSI-SVC</w:t>
            </w:r>
          </w:p>
        </w:tc>
        <w:tc>
          <w:tcPr/>
          <w:p>
            <w:pPr>
              <w:pStyle w:val="Compact"/>
            </w:pPr>
            <w:r>
              <w:t xml:space="preserve">KSI-004, KSI-007, KSI-008</w:t>
            </w:r>
          </w:p>
        </w:tc>
        <w:tc>
          <w:tcPr/>
          <w:p>
            <w:pPr>
              <w:pStyle w:val="Compact"/>
            </w:pPr>
            <w:r>
              <w:t xml:space="preserve">slot-03/04; ScuBA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KSI-CNA</w:t>
            </w:r>
          </w:p>
        </w:tc>
        <w:tc>
          <w:tcPr/>
          <w:p>
            <w:pPr>
              <w:pStyle w:val="Compact"/>
            </w:pPr>
            <w:r>
              <w:t xml:space="preserve">KSI-008</w:t>
            </w:r>
          </w:p>
        </w:tc>
        <w:tc>
          <w:tcPr/>
          <w:p>
            <w:pPr>
              <w:pStyle w:val="Compact"/>
            </w:pPr>
            <w:r>
              <w:t xml:space="preserve">slot-03; ScuBA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KSI-005, KSI-006, KSI-010</w:t>
            </w:r>
          </w:p>
        </w:tc>
        <w:tc>
          <w:tcPr/>
          <w:p>
            <w:pPr>
              <w:pStyle w:val="Compact"/>
            </w:pPr>
            <w:r>
              <w:t xml:space="preserve">slot-02/04; ScuBA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KSI-011–014</w:t>
            </w:r>
          </w:p>
        </w:tc>
        <w:tc>
          <w:tcPr/>
          <w:p>
            <w:pPr>
              <w:pStyle w:val="Compact"/>
            </w:pPr>
            <w:r>
              <w:t xml:space="preserve">slot-06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KSI-SCR</w:t>
            </w:r>
          </w:p>
        </w:tc>
        <w:tc>
          <w:tcPr/>
          <w:p>
            <w:pPr>
              <w:pStyle w:val="Compact"/>
            </w:pPr>
            <w:r>
              <w:t xml:space="preserve">KSI-015, KSI-016</w:t>
            </w:r>
          </w:p>
        </w:tc>
        <w:tc>
          <w:tcPr/>
          <w:p>
            <w:pPr>
              <w:pStyle w:val="Compact"/>
            </w:pPr>
            <w:r>
              <w:t xml:space="preserve">slot-06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KSI-020, KSI-021</w:t>
            </w:r>
          </w:p>
        </w:tc>
        <w:tc>
          <w:tcPr/>
          <w:p>
            <w:pPr>
              <w:pStyle w:val="Compact"/>
            </w:pPr>
            <w:r>
              <w:t xml:space="preserve">slot-05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KSI-INR</w:t>
            </w:r>
          </w:p>
        </w:tc>
        <w:tc>
          <w:tcPr/>
          <w:p>
            <w:pPr>
              <w:pStyle w:val="Compact"/>
            </w:pPr>
            <w:r>
              <w:t xml:space="preserve">KSI-023–025</w:t>
            </w:r>
          </w:p>
        </w:tc>
        <w:tc>
          <w:tcPr/>
          <w:p>
            <w:pPr>
              <w:pStyle w:val="Compact"/>
            </w:pPr>
            <w:r>
              <w:t xml:space="preserve">slot-04/07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KSI-RPL</w:t>
            </w:r>
          </w:p>
        </w:tc>
        <w:tc>
          <w:tcPr/>
          <w:p>
            <w:pPr>
              <w:pStyle w:val="Compact"/>
            </w:pPr>
            <w:r>
              <w:t xml:space="preserve">KSI-026–029</w:t>
            </w:r>
          </w:p>
        </w:tc>
        <w:tc>
          <w:tcPr/>
          <w:p>
            <w:pPr>
              <w:pStyle w:val="Compact"/>
            </w:pPr>
            <w:r>
              <w:t xml:space="preserve">slot-07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KSI-CED</w:t>
            </w:r>
          </w:p>
        </w:tc>
        <w:tc>
          <w:tcPr/>
          <w:p>
            <w:pPr>
              <w:pStyle w:val="Compact"/>
            </w:pPr>
            <w:r>
              <w:t xml:space="preserve">KSI-022</w:t>
            </w:r>
          </w:p>
        </w:tc>
        <w:tc>
          <w:tcPr/>
          <w:p>
            <w:pPr>
              <w:pStyle w:val="Compact"/>
            </w:pPr>
            <w:r>
              <w:t xml:space="preserve">slot-08 training</w:t>
            </w:r>
          </w:p>
        </w:tc>
      </w:tr>
    </w:tbl>
    <w:bookmarkEnd w:id="21"/>
    <w:bookmarkStart w:id="22" w:name="assessment-results-finding-structure"/>
    <w:p>
      <w:pPr>
        <w:pStyle w:val="Heading2"/>
      </w:pPr>
      <w:r>
        <w:t xml:space="preserve">3.4 2.4 Assessment Results — Finding Structure</w:t>
      </w:r>
    </w:p>
    <w:p>
      <w:pPr>
        <w:pStyle w:val="FirstParagraph"/>
      </w:pPr>
      <w:r>
        <w:t xml:space="preserve">Each of the 29 findings in the AR carries: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target.status.state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satisfied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not-satisfied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ksi-id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cr26-control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mapping-confidence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observations</w:t>
      </w:r>
      <w:r>
        <w:t xml:space="preserve">: linked observation with description, artifact refs, and slot IDs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risks</w:t>
      </w:r>
      <w:r>
        <w:t xml:space="preserve">: open only for</w:t>
      </w:r>
      <w:r>
        <w:t xml:space="preserve"> </w:t>
      </w:r>
      <w:r>
        <w:rPr>
          <w:rStyle w:val="VerbatimChar"/>
        </w:rPr>
        <w:t xml:space="preserve">not-satisfied</w:t>
      </w:r>
      <w:r>
        <w:t xml:space="preserve"> </w:t>
      </w:r>
      <w:r>
        <w:t xml:space="preserve">findings (zero in current run)</w:t>
      </w:r>
    </w:p>
    <w:p>
      <w:pPr>
        <w:pStyle w:val="FirstParagraph"/>
      </w:pPr>
      <w:r>
        <w:t xml:space="preserve">The AR is the machine-readable equivalent of a Security Assessment Report (SAR)</w:t>
      </w:r>
      <w:r>
        <w:t xml:space="preserve"> </w:t>
      </w:r>
      <w:r>
        <w:t xml:space="preserve">for the KSI evidence dimension. It satisfies</w:t>
      </w:r>
      <w:r>
        <w:t xml:space="preserve"> </w:t>
      </w:r>
      <w:r>
        <w:rPr>
          <w:b/>
          <w:bCs/>
        </w:rPr>
        <w:t xml:space="preserve">CA-2 (Security Assessments)</w:t>
      </w:r>
      <w:r>
        <w:t xml:space="preserve"> </w:t>
      </w:r>
      <w:r>
        <w:t xml:space="preserve">by</w:t>
      </w:r>
      <w:r>
        <w:t xml:space="preserve"> </w:t>
      </w:r>
      <w:r>
        <w:t xml:space="preserve">providing a documented, repeatable, automated assessment of all KSI controls.</w:t>
      </w:r>
    </w:p>
    <w:bookmarkEnd w:id="22"/>
    <w:bookmarkStart w:id="23" w:name="poam-status"/>
    <w:p>
      <w:pPr>
        <w:pStyle w:val="Heading2"/>
      </w:pPr>
      <w:r>
        <w:t xml:space="preserve">3.5 2.5 POA&amp;M Status</w:t>
      </w:r>
    </w:p>
    <w:p>
      <w:pPr>
        <w:pStyle w:val="FirstParagraph"/>
      </w:pPr>
      <w:r>
        <w:t xml:space="preserve">As of the July 4, 2026 bundle generation:</w:t>
      </w:r>
    </w:p>
    <w:p>
      <w:pPr>
        <w:pStyle w:val="SourceCode"/>
      </w:pPr>
      <w:r>
        <w:rPr>
          <w:rStyle w:val="VerbatimChar"/>
        </w:rPr>
        <w:t xml:space="preserve">Satisfied     : 29  (all 29 CR26 KSIs)</w:t>
      </w:r>
      <w:r>
        <w:br/>
      </w:r>
      <w:r>
        <w:rPr>
          <w:rStyle w:val="VerbatimChar"/>
        </w:rPr>
        <w:t xml:space="preserve">Not-satisfied : 0</w:t>
      </w:r>
      <w:r>
        <w:br/>
      </w:r>
      <w:r>
        <w:rPr>
          <w:rStyle w:val="VerbatimChar"/>
        </w:rPr>
        <w:t xml:space="preserve">Not-evaluated : 0</w:t>
      </w:r>
      <w:r>
        <w:br/>
      </w:r>
      <w:r>
        <w:rPr>
          <w:rStyle w:val="VerbatimChar"/>
        </w:rPr>
        <w:t xml:space="preserve">Open risks    : 0</w:t>
      </w:r>
      <w:r>
        <w:br/>
      </w:r>
      <w:r>
        <w:rPr>
          <w:rStyle w:val="VerbatimChar"/>
        </w:rPr>
        <w:t xml:space="preserve">POA&amp;M items   : 0</w:t>
      </w:r>
    </w:p>
    <w:p>
      <w:pPr>
        <w:pStyle w:val="FirstParagraph"/>
      </w:pPr>
      <w:r>
        <w:t xml:space="preserve">A zero-item POA&amp;M is the correct target state for the self-assessment — it means</w:t>
      </w:r>
      <w:r>
        <w:t xml:space="preserve"> </w:t>
      </w:r>
      <w:r>
        <w:t xml:space="preserve">all required controls are assessed as satisfied in the current adapter run. The POA&amp;M will be regenerated after each assessment</w:t>
      </w:r>
      <w:r>
        <w:t xml:space="preserve"> </w:t>
      </w:r>
      <w:r>
        <w:t xml:space="preserve">cycle; any findings that emerge (e.g., from a training completion gap or an</w:t>
      </w:r>
      <w:r>
        <w:t xml:space="preserve"> </w:t>
      </w:r>
      <w:r>
        <w:t xml:space="preserve">unrevoked privilege) will automatically populate it via the</w:t>
      </w:r>
      <w:r>
        <w:t xml:space="preserve"> </w:t>
      </w:r>
      <w:r>
        <w:rPr>
          <w:rStyle w:val="VerbatimChar"/>
        </w:rPr>
        <w:t xml:space="preserve">_extract_ar_gaps()</w:t>
      </w:r>
      <w:r>
        <w:t xml:space="preserve"> </w:t>
      </w:r>
      <w:r>
        <w:t xml:space="preserve">function.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continuous-monitoring-program-ca-7"/>
    <w:p>
      <w:pPr>
        <w:pStyle w:val="Heading1"/>
      </w:pPr>
      <w:r>
        <w:t xml:space="preserve">4. 3 Continuous Monitoring Program (CA-7)</w:t>
      </w:r>
    </w:p>
    <w:bookmarkStart w:id="28" w:name="conmon-framework"/>
    <w:p>
      <w:pPr>
        <w:pStyle w:val="Heading2"/>
      </w:pPr>
      <w:r>
        <w:t xml:space="preserve">4.1 3.1 ConMon Framework</w:t>
      </w:r>
    </w:p>
    <w:p>
      <w:pPr>
        <w:pStyle w:val="FirstParagraph"/>
      </w:pPr>
      <w:r>
        <w:t xml:space="preserve">CA-7 requires the organization to develop and implement a continuous monitoring</w:t>
      </w:r>
      <w:r>
        <w:t xml:space="preserve"> </w:t>
      </w:r>
      <w:r>
        <w:t xml:space="preserve">strategy that includes:</w:t>
      </w:r>
    </w:p>
    <w:p>
      <w:pPr>
        <w:pStyle w:val="Compact"/>
        <w:numPr>
          <w:ilvl w:val="0"/>
          <w:numId w:val="1004"/>
        </w:numPr>
      </w:pPr>
      <w:r>
        <w:t xml:space="preserve">Metrics for monitoring control effectiveness</w:t>
      </w:r>
    </w:p>
    <w:p>
      <w:pPr>
        <w:pStyle w:val="Compact"/>
        <w:numPr>
          <w:ilvl w:val="0"/>
          <w:numId w:val="1004"/>
        </w:numPr>
      </w:pPr>
      <w:r>
        <w:t xml:space="preserve">Frequencies for monitoring, assessment, and reporting</w:t>
      </w:r>
    </w:p>
    <w:p>
      <w:pPr>
        <w:pStyle w:val="Compact"/>
        <w:numPr>
          <w:ilvl w:val="0"/>
          <w:numId w:val="1004"/>
        </w:numPr>
      </w:pPr>
      <w:r>
        <w:t xml:space="preserve">Ongoing awareness training requirements</w:t>
      </w:r>
    </w:p>
    <w:p>
      <w:pPr>
        <w:pStyle w:val="Compact"/>
        <w:numPr>
          <w:ilvl w:val="0"/>
          <w:numId w:val="1004"/>
        </w:numPr>
      </w:pPr>
      <w:r>
        <w:t xml:space="preserve">Reporting to the Authorizing Official</w:t>
      </w:r>
    </w:p>
    <w:p>
      <w:pPr>
        <w:pStyle w:val="FirstParagraph"/>
      </w:pPr>
      <w:r>
        <w:t xml:space="preserve">The Federal AAN series provides the evidence generation layer. The ConMon</w:t>
      </w:r>
      <w:r>
        <w:t xml:space="preserve"> </w:t>
      </w:r>
      <w:r>
        <w:t xml:space="preserve">program operationalizes it on a recurring cadence.</w:t>
      </w:r>
    </w:p>
    <w:p>
      <w:pPr>
        <w:pStyle w:val="CaptionedFigure"/>
      </w:pPr>
      <w:r>
        <w:drawing>
          <wp:inline>
            <wp:extent cx="5334000" cy="2154115"/>
            <wp:effectExtent b="0" l="0" r="0" t="0"/>
            <wp:docPr descr="Continuous Monitoring Calendar — Annual Cadence" title="" id="26" name="Picture"/>
            <a:graphic>
              <a:graphicData uri="http://schemas.openxmlformats.org/drawingml/2006/picture">
                <pic:pic>
                  <pic:nvPicPr>
                    <pic:cNvPr descr="figs/ato-fig-02-conmon-calenda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Continuous Monitoring Calendar — Annual Cadence</w:t>
      </w:r>
    </w:p>
    <w:bookmarkEnd w:id="28"/>
    <w:bookmarkStart w:id="31" w:name="monthly-conmon-activities"/>
    <w:p>
      <w:pPr>
        <w:pStyle w:val="Heading2"/>
      </w:pPr>
      <w:r>
        <w:t xml:space="preserve">4.2 3.2 Monthly ConMon Activities</w:t>
      </w:r>
    </w:p>
    <w:p>
      <w:pPr>
        <w:pStyle w:val="TableCaption"/>
      </w:pPr>
      <w:r>
        <w:t xml:space="preserve">Monthly ConMon Activity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nthly ConMon Activity Matrix"/>
      </w:tblPr>
      <w:tblGrid>
        <w:gridCol w:w="2475"/>
        <w:gridCol w:w="1732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OSCAL AR refresh</w:t>
            </w:r>
          </w:p>
        </w:tc>
        <w:tc>
          <w:tcPr/>
          <w:p>
            <w:pPr>
              <w:pStyle w:val="Compact"/>
            </w:pPr>
            <w:r>
              <w:t xml:space="preserve">ISSO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 oscal bundle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ksi-ar.json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ScuBA assessment</w:t>
            </w:r>
          </w:p>
        </w:tc>
        <w:tc>
          <w:tcPr/>
          <w:p>
            <w:pPr>
              <w:pStyle w:val="Compact"/>
            </w:pPr>
            <w: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ScuBAGear</w:t>
            </w:r>
          </w:p>
        </w:tc>
        <w:tc>
          <w:tcPr/>
          <w:p>
            <w:pPr>
              <w:pStyle w:val="Compact"/>
            </w:pPr>
            <w:r>
              <w:t xml:space="preserve">M365 baseline assessment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ScuBA drift triage + gate</w:t>
            </w:r>
          </w:p>
        </w:tc>
        <w:tc>
          <w:tcPr/>
          <w:p>
            <w:pPr>
              <w:pStyle w:val="Compact"/>
            </w:pPr>
            <w: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ScubaDrift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scubadrift-verdicts.json</w:t>
            </w:r>
            <w:r>
              <w:t xml:space="preserve"> </w:t>
            </w:r>
            <w:r>
              <w:t xml:space="preserve">(dispositions + POA&amp;M linkage)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 ConMon dashboard review</w:t>
            </w:r>
          </w:p>
        </w:tc>
        <w:tc>
          <w:tcPr/>
          <w:p>
            <w:pPr>
              <w:pStyle w:val="Compact"/>
            </w:pPr>
            <w:r>
              <w:t xml:space="preserve">SOC Lead</w:t>
            </w:r>
          </w:p>
        </w:tc>
        <w:tc>
          <w:tcPr/>
          <w:p>
            <w:pPr>
              <w:pStyle w:val="Compac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</w:pPr>
            <w:r>
              <w:t xml:space="preserve">ConMon dashboard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POA&amp;M status review</w:t>
            </w:r>
          </w:p>
        </w:tc>
        <w:tc>
          <w:tcPr/>
          <w:p>
            <w:pPr>
              <w:pStyle w:val="Compact"/>
            </w:pPr>
            <w:r>
              <w:t xml:space="preserve">ISSO + ISSM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 oscal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ksi-poam.json</w:t>
            </w:r>
            <w:r>
              <w:t xml:space="preserve"> </w:t>
            </w:r>
            <w:r>
              <w:t xml:space="preserve">(zero-item 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</w:t>
            </w:r>
          </w:p>
        </w:tc>
        <w:tc>
          <w:tcPr/>
          <w:p>
            <w:pPr>
              <w:pStyle w:val="Compact"/>
            </w:pPr>
            <w:r>
              <w:t xml:space="preserve">Defender VM team</w:t>
            </w:r>
          </w:p>
        </w:tc>
        <w:tc>
          <w:tcPr/>
          <w:p>
            <w:pPr>
              <w:pStyle w:val="Compact"/>
            </w:pPr>
            <w:r>
              <w:t xml:space="preserve">Defender for Endpoint</w:t>
            </w:r>
          </w:p>
        </w:tc>
        <w:tc>
          <w:tcPr/>
          <w:p>
            <w:pPr>
              <w:pStyle w:val="Compact"/>
            </w:pPr>
            <w:r>
              <w:t xml:space="preserve">RA-5 scan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delta check</w:t>
            </w:r>
          </w:p>
        </w:tc>
        <w:tc>
          <w:tcPr/>
          <w:p>
            <w:pPr>
              <w:pStyle w:val="Compact"/>
            </w:pPr>
            <w:r>
              <w:t xml:space="preserve">SR team</w:t>
            </w:r>
          </w:p>
        </w:tc>
        <w:tc>
          <w:tcPr/>
          <w:p>
            <w:pPr>
              <w:pStyle w:val="Compact"/>
            </w:pPr>
            <w:r>
              <w:t xml:space="preserve">Syft + Grype</w:t>
            </w:r>
          </w:p>
        </w:tc>
        <w:tc>
          <w:tcPr/>
          <w:p>
            <w:pPr>
              <w:pStyle w:val="Compact"/>
            </w:pPr>
            <w:r>
              <w:t xml:space="preserve">CycloneDX BOM diff</w:t>
            </w:r>
          </w:p>
        </w:tc>
      </w:tr>
    </w:tbl>
    <w:bookmarkStart w:id="29" w:name="Xa1b68c0158c1f6020b92f599c0f5bae72bec36e"/>
    <w:p>
      <w:pPr>
        <w:pStyle w:val="Heading3"/>
      </w:pPr>
      <w:r>
        <w:t xml:space="preserve">4.2.1 The ScubaDrift Disposition Pipeline — Evidence Behind KSI-001..010</w:t>
      </w:r>
    </w:p>
    <w:p>
      <w:pPr>
        <w:pStyle w:val="FirstParagraph"/>
      </w:pPr>
      <w:r>
        <w:t xml:space="preserve">A point-in-time ScuBAGear report answers</w:t>
      </w:r>
      <w:r>
        <w:t xml:space="preserve"> </w:t>
      </w:r>
      <w:r>
        <w:rPr>
          <w:i/>
          <w:iCs/>
        </w:rPr>
        <w:t xml:space="preserve">“what passes today?”</w:t>
      </w:r>
      <w:r>
        <w:t xml:space="preserve"> </w:t>
      </w:r>
      <w:r>
        <w:t xml:space="preserve">It does not</w:t>
      </w:r>
      <w:r>
        <w:t xml:space="preserve"> </w:t>
      </w:r>
      <w:r>
        <w:t xml:space="preserve">answer the three questions an assessor asks next:</w:t>
      </w:r>
      <w:r>
        <w:t xml:space="preserve"> </w:t>
      </w:r>
      <w:r>
        <w:rPr>
          <w:i/>
          <w:iCs/>
        </w:rPr>
        <w:t xml:space="preserve">what changed since last</w:t>
      </w:r>
      <w:r>
        <w:rPr>
          <w:i/>
          <w:iCs/>
        </w:rPr>
        <w:t xml:space="preserve"> </w:t>
      </w:r>
      <w:r>
        <w:rPr>
          <w:i/>
          <w:iCs/>
        </w:rPr>
        <w:t xml:space="preserve">month, which failures are already governed by a documented risk acceptance,</w:t>
      </w:r>
      <w:r>
        <w:rPr>
          <w:i/>
          <w:iCs/>
        </w:rPr>
        <w:t xml:space="preserve"> </w:t>
      </w:r>
      <w:r>
        <w:rPr>
          <w:i/>
          <w:iCs/>
        </w:rPr>
        <w:t xml:space="preserve">and when does that acceptance lapse?</w:t>
      </w:r>
      <w:r>
        <w:t xml:space="preserve"> </w:t>
      </w:r>
      <w:r>
        <w:rPr>
          <w:b/>
          <w:bCs/>
        </w:rPr>
        <w:t xml:space="preserve">ScubaDrift</w:t>
      </w:r>
      <w:r>
        <w:t xml:space="preserve"> </w:t>
      </w:r>
      <w:r>
        <w:t xml:space="preserve">is the lifecycle layer</w:t>
      </w:r>
      <w:r>
        <w:t xml:space="preserve"> </w:t>
      </w:r>
      <w:r>
        <w:t xml:space="preserve">that answers them. It never touches the tenant — it consumes ScuBAGear’s JSON</w:t>
      </w:r>
      <w:r>
        <w:t xml:space="preserve"> </w:t>
      </w:r>
      <w:r>
        <w:t xml:space="preserve">output and the risk-acceptance register, and splits every failing policy into</w:t>
      </w:r>
      <w:r>
        <w:t xml:space="preserve"> </w:t>
      </w:r>
      <w:r>
        <w:t xml:space="preserve">exactly three dispositions:</w:t>
      </w:r>
    </w:p>
    <w:p>
      <w:pPr>
        <w:pStyle w:val="TableCaption"/>
      </w:pPr>
      <w:r>
        <w:t xml:space="preserve">ScubaDrift Dispositions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ubaDrift Disposi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Gate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actionable_new_drift</w:t>
            </w:r>
          </w:p>
        </w:tc>
        <w:tc>
          <w:tcPr/>
          <w:p>
            <w:pPr>
              <w:pStyle w:val="Compact"/>
            </w:pPr>
            <w:r>
              <w:t xml:space="preserve">Failing, no risk acceptance on 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</w:t>
            </w:r>
            <w:r>
              <w:t xml:space="preserve"> </w:t>
            </w:r>
            <w:r>
              <w:t xml:space="preserve">— gate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lapsed_acceptance</w:t>
            </w:r>
          </w:p>
        </w:tc>
        <w:tc>
          <w:tcPr/>
          <w:p>
            <w:pPr>
              <w:pStyle w:val="Compact"/>
            </w:pPr>
            <w:r>
              <w:t xml:space="preserve">Failing, acceptance exists but expired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</w:t>
            </w:r>
            <w:r>
              <w:t xml:space="preserve"> </w:t>
            </w:r>
            <w:r>
              <w:t xml:space="preserve">— gate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governed_exception</w:t>
            </w:r>
          </w:p>
        </w:tc>
        <w:tc>
          <w:tcPr/>
          <w:p>
            <w:pPr>
              <w:pStyle w:val="Compact"/>
            </w:pPr>
            <w:r>
              <w:t xml:space="preserve">Failing, covered by an in-date acceptance</w:t>
            </w:r>
          </w:p>
        </w:tc>
        <w:tc>
          <w:tcPr/>
          <w:p>
            <w:pPr>
              <w:pStyle w:val="Compact"/>
            </w:pPr>
            <w:r>
              <w:t xml:space="preserve">Governed — gate passes, POA&amp;M-linked</w:t>
            </w:r>
          </w:p>
        </w:tc>
      </w:tr>
    </w:tbl>
    <w:p>
      <w:pPr>
        <w:pStyle w:val="BodyText"/>
      </w:pPr>
      <w:r>
        <w:t xml:space="preserve">The monthly loop: ScuBAGear assesses the tenant →</w:t>
      </w:r>
      <w:r>
        <w:t xml:space="preserve"> </w:t>
      </w:r>
      <w:r>
        <w:rPr>
          <w:rStyle w:val="VerbatimChar"/>
        </w:rPr>
        <w:t xml:space="preserve">scubadrift triage --json</w:t>
      </w:r>
      <w:r>
        <w:t xml:space="preserve"> </w:t>
      </w:r>
      <w:r>
        <w:t xml:space="preserve">produces dispositions →</w:t>
      </w:r>
      <w:r>
        <w:t xml:space="preserve"> </w:t>
      </w:r>
      <w:r>
        <w:rPr>
          <w:rStyle w:val="VerbatimChar"/>
        </w:rPr>
        <w:t xml:space="preserve">scubadrift gate</w:t>
      </w:r>
      <w:r>
        <w:t xml:space="preserve"> </w:t>
      </w:r>
      <w:r>
        <w:t xml:space="preserve">runs in the pipeline (exit non-zero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on new drift or a lapsed acceptance — governed exceptions never break</w:t>
      </w:r>
      <w:r>
        <w:t xml:space="preserve"> </w:t>
      </w:r>
      <w:r>
        <w:t xml:space="preserve">the build) →</w:t>
      </w:r>
      <w:r>
        <w:t xml:space="preserve"> </w:t>
      </w:r>
      <w:r>
        <w:rPr>
          <w:rStyle w:val="VerbatimChar"/>
        </w:rPr>
        <w:t xml:space="preserve">uiao oscal scuba-verdicts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output/artifacts/ksi-bundle/scubadrift-verdicts.json</w:t>
      </w:r>
      <w:r>
        <w:t xml:space="preserve"> </w:t>
      </w:r>
      <w:r>
        <w:t xml:space="preserve">with full provenance →</w:t>
      </w:r>
      <w:r>
        <w:t xml:space="preserve"> </w:t>
      </w:r>
      <w:r>
        <w:t xml:space="preserve">the AR refresh consumes it.</w:t>
      </w:r>
      <w:r>
        <w:t xml:space="preserve"> </w:t>
      </w:r>
      <w:r>
        <w:rPr>
          <w:rStyle w:val="VerbatimChar"/>
        </w:rPr>
        <w:t xml:space="preserve">scubadrift conmon-record</w:t>
      </w:r>
      <w:r>
        <w:t xml:space="preserve"> </w:t>
      </w:r>
      <w:r>
        <w:t xml:space="preserve">appends each run to the</w:t>
      </w:r>
      <w:r>
        <w:t xml:space="preserve"> </w:t>
      </w:r>
      <w:r>
        <w:t xml:space="preserve">history ledger, and</w:t>
      </w:r>
      <w:r>
        <w:t xml:space="preserve"> </w:t>
      </w:r>
      <w:r>
        <w:rPr>
          <w:rStyle w:val="VerbatimChar"/>
        </w:rPr>
        <w:t xml:space="preserve">scubadrift conmon-report</w:t>
      </w:r>
      <w:r>
        <w:t xml:space="preserve"> </w:t>
      </w:r>
      <w:r>
        <w:t xml:space="preserve">emits the posture trend and</w:t>
      </w:r>
      <w:r>
        <w:t xml:space="preserve"> </w:t>
      </w:r>
      <w:r>
        <w:t xml:space="preserve">remediation SLA aging that CA-7, NIST SP 800-137 (ISCM), and BOD 25-01 expect.</w:t>
      </w:r>
    </w:p>
    <w:p>
      <w:pPr>
        <w:pStyle w:val="BodyText"/>
      </w:pPr>
      <w:r>
        <w:t xml:space="preserve">A verdict entry looks like this (from the committed demonstration fixture):</w:t>
      </w:r>
    </w:p>
    <w:p>
      <w:pPr>
        <w:pStyle w:val="SourceCode"/>
      </w:pPr>
      <w:r>
        <w:rPr>
          <w:rStyle w:val="StringTok"/>
        </w:rPr>
        <w:t xml:space="preserve">"MS.AAD.3.1v1"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"governed_exception"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 until 2026-12-31 (POAM-SAMPLE-1042)"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"POAM-SAMPLE-1042"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what</w:t>
      </w:r>
      <w:r>
        <w:t xml:space="preserve"> </w:t>
      </w:r>
      <w:r>
        <w:t xml:space="preserve">“evidence-backed”</w:t>
      </w:r>
      <w:r>
        <w:t xml:space="preserve"> </w:t>
      </w:r>
      <w:r>
        <w:t xml:space="preserve">means for the ten configuration-surface KSI</w:t>
      </w:r>
      <w:r>
        <w:t xml:space="preserve"> </w:t>
      </w:r>
      <w:r>
        <w:t xml:space="preserve">rules: the OSCAL AR no longer asserts KSI-001..010 as satisfied because a</w:t>
      </w:r>
      <w:r>
        <w:t xml:space="preserve"> </w:t>
      </w:r>
      <w:r>
        <w:t xml:space="preserve">scanner ran — each verdict carries its result, its disposition, its governing</w:t>
      </w:r>
      <w:r>
        <w:t xml:space="preserve"> </w:t>
      </w:r>
      <w:r>
        <w:t xml:space="preserve">ticket, and its expiry, and a governed exception surfaces as a POA&amp;M-linked</w:t>
      </w:r>
      <w:r>
        <w:t xml:space="preserve"> </w:t>
      </w:r>
      <w:r>
        <w:t xml:space="preserve">entry rather than a silent pass. Retirable acceptances (exceptions whose</w:t>
      </w:r>
      <w:r>
        <w:t xml:space="preserve"> </w:t>
      </w:r>
      <w:r>
        <w:t xml:space="preserve">policy now passes) are flagged for removal from the register, so the</w:t>
      </w:r>
      <w:r>
        <w:t xml:space="preserve"> </w:t>
      </w:r>
      <w:r>
        <w:t xml:space="preserve">acceptance file cannot silently accumulate dead weight. All expiry math is</w:t>
      </w:r>
      <w:r>
        <w:t xml:space="preserve"> </w:t>
      </w:r>
      <w:r>
        <w:rPr>
          <w:rStyle w:val="VerbatimChar"/>
        </w:rPr>
        <w:t xml:space="preserve">--as-of</w:t>
      </w:r>
      <w:r>
        <w:t xml:space="preserve">-injected, so verdict runs are deterministic and reproducible for</w:t>
      </w:r>
      <w:r>
        <w:t xml:space="preserve"> </w:t>
      </w:r>
      <w:r>
        <w:t xml:space="preserve">the assessor.</w:t>
      </w:r>
    </w:p>
    <w:bookmarkEnd w:id="29"/>
    <w:bookmarkStart w:id="30" w:name="Xd988f19fb2a3d1855ce938f7e6784550f9b5c2d"/>
    <w:p>
      <w:pPr>
        <w:pStyle w:val="Heading3"/>
      </w:pPr>
      <w:r>
        <w:t xml:space="preserve">4.2.2 Why Not Secure Score or Compliance Manager?</w:t>
      </w:r>
    </w:p>
    <w:p>
      <w:pPr>
        <w:pStyle w:val="FirstParagraph"/>
      </w:pPr>
      <w:r>
        <w:t xml:space="preserve">The question an Authorizing Official will ask: Microsoft already ships posture</w:t>
      </w:r>
      <w:r>
        <w:t xml:space="preserve"> </w:t>
      </w:r>
      <w:r>
        <w:t xml:space="preserve">tooling — why is this pipeline not redundant? Because none of the Microsoft</w:t>
      </w:r>
      <w:r>
        <w:t xml:space="preserve"> </w:t>
      </w:r>
      <w:r>
        <w:t xml:space="preserve">offerings produce evidence an assessor can consume:</w:t>
      </w:r>
    </w:p>
    <w:p>
      <w:pPr>
        <w:pStyle w:val="TableCaption"/>
      </w:pPr>
      <w:r>
        <w:t xml:space="preserve">Vendor Posture Tooling vs. Disposition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endor Posture Tooling vs. Disposition Evidenc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Offering</w:t>
            </w:r>
          </w:p>
        </w:tc>
        <w:tc>
          <w:tcPr/>
          <w:p>
            <w:pPr>
              <w:pStyle w:val="Compact"/>
            </w:pPr>
            <w:r>
              <w:t xml:space="preserve">What it provides</w:t>
            </w:r>
          </w:p>
        </w:tc>
        <w:tc>
          <w:tcPr/>
          <w:p>
            <w:pPr>
              <w:pStyle w:val="Compact"/>
            </w:pPr>
            <w:r>
              <w:t xml:space="preserve">Why it is not this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Secure Score</w:t>
            </w:r>
          </w:p>
        </w:tc>
        <w:tc>
          <w:tcPr/>
          <w:p>
            <w:pPr>
              <w:pStyle w:val="Compact"/>
            </w:pPr>
            <w:r>
              <w:t xml:space="preserve">Proprietary posture score with trend and</w:t>
            </w:r>
            <w:r>
              <w:t xml:space="preserve"> </w:t>
            </w:r>
            <w:r>
              <w:t xml:space="preserve">“accepted risk”</w:t>
            </w:r>
            <w:r>
              <w:t xml:space="preserve"> </w:t>
            </w:r>
            <w:r>
              <w:t xml:space="preserve">markers</w:t>
            </w:r>
          </w:p>
        </w:tc>
        <w:tc>
          <w:tcPr/>
          <w:p>
            <w:pPr>
              <w:pStyle w:val="Compact"/>
            </w:pPr>
            <w:r>
              <w:t xml:space="preserve">Scores against Microsoft’s rubric, not the CISA SCuBA baseline; accepted-risk markers never expire and link to no POA&amp;M; no per-policy verdict artifact; cannot gate a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Purview Compliance Manager</w:t>
            </w:r>
          </w:p>
        </w:tc>
        <w:tc>
          <w:tcPr/>
          <w:p>
            <w:pPr>
              <w:pStyle w:val="Compact"/>
            </w:pPr>
            <w:r>
              <w:t xml:space="preserve">NIST 800-53 / FedRAMP assessment templates, improvement actions</w:t>
            </w:r>
          </w:p>
        </w:tc>
        <w:tc>
          <w:tcPr/>
          <w:p>
            <w:pPr>
              <w:pStyle w:val="Compact"/>
            </w:pPr>
            <w:r>
              <w:t xml:space="preserve">Portal workflow with largely manual evidence attachment; produces a score, not machine-readable per-control verdicts; no run-to-run drift, no expiry math, no OSCAL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Microsoft365DSC</w:t>
            </w:r>
          </w:p>
        </w:tc>
        <w:tc>
          <w:tcPr/>
          <w:p>
            <w:pPr>
              <w:pStyle w:val="Compact"/>
            </w:pPr>
            <w:r>
              <w:t xml:space="preserve">Tenant configuration export, drift detection against your own snapshot, enforcement</w:t>
            </w:r>
          </w:p>
        </w:tc>
        <w:tc>
          <w:tcPr/>
          <w:p>
            <w:pPr>
              <w:pStyle w:val="Compact"/>
            </w:pPr>
            <w:r>
              <w:t xml:space="preserve">Drift means</w:t>
            </w:r>
            <w:r>
              <w:t xml:space="preserve"> </w:t>
            </w:r>
            <w:r>
              <w:t xml:space="preserve">“configuration changed versus my snapshot,”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“SCuBA verdict changed”</w:t>
            </w:r>
            <w:r>
              <w:t xml:space="preserve">; no risk-acceptance model; the baseline is the operator, not the regulator</w:t>
            </w:r>
          </w:p>
        </w:tc>
      </w:tr>
    </w:tbl>
    <w:p>
      <w:pPr>
        <w:pStyle w:val="BodyText"/>
      </w:pPr>
      <w:r>
        <w:t xml:space="preserve">The structural difference is authority and lifecycle. Secure Score and</w:t>
      </w:r>
      <w:r>
        <w:t xml:space="preserve"> </w:t>
      </w:r>
      <w:r>
        <w:t xml:space="preserve">Compliance Manager are the vendor grading its own product against its own</w:t>
      </w:r>
      <w:r>
        <w:t xml:space="preserve"> </w:t>
      </w:r>
      <w:r>
        <w:t xml:space="preserve">rubric — self-attestation, the evidence class an assessor discounts first.</w:t>
      </w:r>
      <w:r>
        <w:t xml:space="preserve"> </w:t>
      </w:r>
      <w:r>
        <w:t xml:space="preserve">ScuBAGear verdicts are against the regulator’s baseline, and ScubaDrift adds</w:t>
      </w:r>
      <w:r>
        <w:t xml:space="preserve"> </w:t>
      </w:r>
      <w:r>
        <w:t xml:space="preserve">what no vendor dashboard models: the governed exception that</w:t>
      </w:r>
      <w:r>
        <w:t xml:space="preserve"> </w:t>
      </w:r>
      <w:r>
        <w:rPr>
          <w:i/>
          <w:iCs/>
        </w:rPr>
        <w:t xml:space="preserve">expires</w:t>
      </w:r>
      <w:r>
        <w:t xml:space="preserve">, the</w:t>
      </w:r>
      <w:r>
        <w:t xml:space="preserve"> </w:t>
      </w:r>
      <w:r>
        <w:t xml:space="preserve">lapsed acceptance that becomes actionable, the retirable acceptance flagged as</w:t>
      </w:r>
      <w:r>
        <w:t xml:space="preserve"> </w:t>
      </w:r>
      <w:r>
        <w:t xml:space="preserve">dead weight, and a gate with deterministic, reproducible semantics. The vendor</w:t>
      </w:r>
      <w:r>
        <w:t xml:space="preserve"> </w:t>
      </w:r>
      <w:r>
        <w:t xml:space="preserve">tools tell you your posture; this pipeline proves it, over time, against</w:t>
      </w:r>
      <w:r>
        <w:t xml:space="preserve"> </w:t>
      </w:r>
      <w:r>
        <w:t xml:space="preserve">someone else’s baseline, with every exception governed and aging.</w:t>
      </w:r>
    </w:p>
    <w:bookmarkEnd w:id="30"/>
    <w:bookmarkEnd w:id="31"/>
    <w:bookmarkStart w:id="32" w:name="quarterly-activities"/>
    <w:p>
      <w:pPr>
        <w:pStyle w:val="Heading2"/>
      </w:pPr>
      <w:r>
        <w:t xml:space="preserve">4.3 3.3 Quarterly Activities</w:t>
      </w:r>
    </w:p>
    <w:p>
      <w:pPr>
        <w:pStyle w:val="TableCaption"/>
      </w:pPr>
      <w:r>
        <w:t xml:space="preserve">Quarterly ConMon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rterly ConMon Schedule"/>
      </w:tblPr>
      <w:tblGrid>
        <w:gridCol w:w="766"/>
        <w:gridCol w:w="2554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Q1/Q2/Q3/Q4</w:t>
            </w:r>
          </w:p>
        </w:tc>
        <w:tc>
          <w:tcPr/>
          <w:p>
            <w:pPr>
              <w:pStyle w:val="Compact"/>
            </w:pPr>
            <w:r>
              <w:t xml:space="preserve">KSI evidence quality review</w:t>
            </w:r>
          </w:p>
        </w:tc>
        <w:tc>
          <w:tcPr/>
          <w:p>
            <w:pPr>
              <w:pStyle w:val="Compact"/>
            </w:pPr>
            <w:r>
              <w:t xml:space="preserve">CA-7(3)</w:t>
            </w:r>
          </w:p>
        </w:tc>
        <w:tc>
          <w:tcPr/>
          <w:p>
            <w:pPr>
              <w:pStyle w:val="Compact"/>
            </w:pPr>
            <w:r>
              <w:t xml:space="preserve">Trend report from AR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Q1/Q2/Q3/Q4</w:t>
            </w:r>
          </w:p>
        </w:tc>
        <w:tc>
          <w:tcPr/>
          <w:p>
            <w:pPr>
              <w:pStyle w:val="Compact"/>
            </w:pPr>
            <w:r>
              <w:t xml:space="preserve">Training completion review</w:t>
            </w:r>
          </w:p>
        </w:tc>
        <w:tc>
          <w:tcPr/>
          <w:p>
            <w:pPr>
              <w:pStyle w:val="Compact"/>
            </w:pPr>
            <w:r>
              <w:t xml:space="preserve">AT-4, KSI-022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governance.training-effectiveness-record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Q1/Q2/Q3/Q4</w:t>
            </w:r>
          </w:p>
        </w:tc>
        <w:tc>
          <w:tcPr/>
          <w:p>
            <w:pPr>
              <w:pStyle w:val="Compact"/>
            </w:pPr>
            <w:r>
              <w:t xml:space="preserve">Slot binding confidence review</w:t>
            </w:r>
          </w:p>
        </w:tc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Slot YAML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Q1/Q3</w:t>
            </w:r>
          </w:p>
        </w:tc>
        <w:tc>
          <w:tcPr/>
          <w:p>
            <w:pPr>
              <w:pStyle w:val="Compact"/>
            </w:pPr>
            <w:r>
              <w:t xml:space="preserve">Privileged access review</w:t>
            </w:r>
          </w:p>
        </w:tc>
        <w:tc>
          <w:tcPr/>
          <w:p>
            <w:pPr>
              <w:pStyle w:val="Compact"/>
            </w:pPr>
            <w:r>
              <w:t xml:space="preserve">AC-6, KSI-IAM</w:t>
            </w:r>
          </w:p>
        </w:tc>
        <w:tc>
          <w:tcPr/>
          <w:p>
            <w:pPr>
              <w:pStyle w:val="Compact"/>
            </w:pPr>
            <w:r>
              <w:t xml:space="preserve">Entra PIM access review</w:t>
            </w:r>
          </w:p>
        </w:tc>
      </w:tr>
    </w:tbl>
    <w:bookmarkEnd w:id="32"/>
    <w:bookmarkStart w:id="33" w:name="semi-annual-activities"/>
    <w:p>
      <w:pPr>
        <w:pStyle w:val="Heading2"/>
      </w:pPr>
      <w:r>
        <w:t xml:space="preserve">4.4 3.4 Semi-Annual Activities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76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tabletop drill (SOC scenario exercise)</w:t>
            </w:r>
          </w:p>
        </w:tc>
        <w:tc>
          <w:tcPr/>
          <w:p>
            <w:pPr>
              <w:pStyle w:val="Compact"/>
            </w:pPr>
            <w:r>
              <w:t xml:space="preserve">IR-2, KSI-INR</w:t>
            </w:r>
          </w:p>
        </w:tc>
        <w:tc>
          <w:tcPr/>
          <w:p>
            <w:pPr>
              <w:pStyle w:val="Compact"/>
            </w:pPr>
            <w:r>
              <w:t xml:space="preserve">Part 18 §3 IR Drill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CP-3 contingency training exercise</w:t>
            </w:r>
          </w:p>
        </w:tc>
        <w:tc>
          <w:tcPr/>
          <w:p>
            <w:pPr>
              <w:pStyle w:val="Compact"/>
            </w:pPr>
            <w:r>
              <w:t xml:space="preserve">CP-3, KSI-RPL</w:t>
            </w:r>
          </w:p>
        </w:tc>
        <w:tc>
          <w:tcPr/>
          <w:p>
            <w:pPr>
              <w:pStyle w:val="Compact"/>
            </w:pPr>
            <w:r>
              <w:t xml:space="preserve">Part 14 §4 Tabletop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freshness + VDR/VER review</w:t>
            </w:r>
          </w:p>
        </w:tc>
        <w:tc>
          <w:tcPr/>
          <w:p>
            <w:pPr>
              <w:pStyle w:val="Compact"/>
            </w:pPr>
            <w:r>
              <w:t xml:space="preserve">SR-5, SR-6, KSI-SCR</w:t>
            </w:r>
          </w:p>
        </w:tc>
        <w:tc>
          <w:tcPr/>
          <w:p>
            <w:pPr>
              <w:pStyle w:val="Compact"/>
            </w:pPr>
            <w:r>
              <w:t xml:space="preserve">Part 15 §5 VDR Pipeline</w:t>
            </w:r>
          </w:p>
        </w:tc>
      </w:tr>
    </w:tbl>
    <w:bookmarkEnd w:id="33"/>
    <w:bookmarkStart w:id="34" w:name="annual-activities"/>
    <w:p>
      <w:pPr>
        <w:pStyle w:val="Heading2"/>
      </w:pPr>
      <w:r>
        <w:t xml:space="preserve">4.5 3.5 Annual Activities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KSI re-assessment (all 29 rules)</w:t>
            </w:r>
          </w:p>
        </w:tc>
        <w:tc>
          <w:tcPr/>
          <w:p>
            <w:pPr>
              <w:pStyle w:val="Compact"/>
            </w:pPr>
            <w:r>
              <w:t xml:space="preserve">CA-2, CA-7</w:t>
            </w:r>
          </w:p>
        </w:tc>
        <w:tc>
          <w:tcPr/>
          <w:p>
            <w:pPr>
              <w:pStyle w:val="Compact"/>
            </w:pPr>
            <w:r>
              <w:t xml:space="preserve">ISSO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AT-2 annual security awareness training refresh</w:t>
            </w:r>
          </w:p>
        </w:tc>
        <w:tc>
          <w:tcPr/>
          <w:p>
            <w:pPr>
              <w:pStyle w:val="Compact"/>
            </w:pPr>
            <w:r>
              <w:t xml:space="preserve">AT-2, KSI-CED</w:t>
            </w:r>
          </w:p>
        </w:tc>
        <w:tc>
          <w:tcPr/>
          <w:p>
            <w:pPr>
              <w:pStyle w:val="Compact"/>
            </w:pPr>
            <w:r>
              <w:t xml:space="preserve">HR / Training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CP-2 contingency plan update</w:t>
            </w:r>
          </w:p>
        </w:tc>
        <w:tc>
          <w:tcPr/>
          <w:p>
            <w:pPr>
              <w:pStyle w:val="Compact"/>
            </w:pPr>
            <w:r>
              <w:t xml:space="preserve">CP-2, KSI-RPL</w:t>
            </w:r>
          </w:p>
        </w:tc>
        <w:tc>
          <w:tcPr/>
          <w:p>
            <w:pPr>
              <w:pStyle w:val="Compact"/>
            </w:pPr>
            <w:r>
              <w:t xml:space="preserve">Business Continuity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PM-14 T&amp;T&amp;M plan annual update</w:t>
            </w:r>
          </w:p>
        </w:tc>
        <w:tc>
          <w:tcPr/>
          <w:p>
            <w:pPr>
              <w:pStyle w:val="Compact"/>
            </w:pPr>
            <w:r>
              <w:t xml:space="preserve">PM-14</w:t>
            </w:r>
          </w:p>
        </w:tc>
        <w:tc>
          <w:tcPr/>
          <w:p>
            <w:pPr>
              <w:pStyle w:val="Compact"/>
            </w:pPr>
            <w:r>
              <w:t xml:space="preserve">ISSM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 renewal package preparation</w:t>
            </w:r>
          </w:p>
        </w:tc>
        <w:tc>
          <w:tcPr/>
          <w:p>
            <w:pPr>
              <w:pStyle w:val="Compact"/>
            </w:pPr>
            <w:r>
              <w:t xml:space="preserve">CA-6</w:t>
            </w:r>
          </w:p>
        </w:tc>
        <w:tc>
          <w:tcPr/>
          <w:p>
            <w:pPr>
              <w:pStyle w:val="Compact"/>
            </w:pPr>
            <w:r>
              <w:t xml:space="preserve">ISSO + Authorizing Official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 26-04 SBOM annual certification</w:t>
            </w:r>
          </w:p>
        </w:tc>
        <w:tc>
          <w:tcPr/>
          <w:p>
            <w:pPr>
              <w:pStyle w:val="Compact"/>
            </w:pPr>
            <w:r>
              <w:t xml:space="preserve">SR-11, KSI-SCR</w:t>
            </w:r>
          </w:p>
        </w:tc>
        <w:tc>
          <w:tcPr/>
          <w:p>
            <w:pPr>
              <w:pStyle w:val="Compact"/>
            </w:pPr>
            <w:r>
              <w:t xml:space="preserve">SR team</w:t>
            </w:r>
          </w:p>
        </w:tc>
      </w:tr>
    </w:tbl>
    <w:bookmarkEnd w:id="34"/>
    <w:bookmarkStart w:id="35" w:name="trend-analysis-ca-73"/>
    <w:p>
      <w:pPr>
        <w:pStyle w:val="Heading2"/>
      </w:pPr>
      <w:r>
        <w:t xml:space="preserve">4.6 3.6 Trend Analysis (CA-7(3))</w:t>
      </w:r>
    </w:p>
    <w:p>
      <w:pPr>
        <w:pStyle w:val="FirstParagraph"/>
      </w:pPr>
      <w:r>
        <w:t xml:space="preserve">The OSCAL AR tracks KSI verdict history across assessment cycles. Trend analysis</w:t>
      </w:r>
      <w:r>
        <w:t xml:space="preserve"> </w:t>
      </w:r>
      <w:r>
        <w:t xml:space="preserve">is performed quarterly by comparing the current AR against the previous three</w:t>
      </w:r>
      <w:r>
        <w:t xml:space="preserve"> </w:t>
      </w:r>
      <w:r>
        <w:t xml:space="preserve">months of AR snapshots:</w:t>
      </w:r>
    </w:p>
    <w:p>
      <w:pPr>
        <w:pStyle w:val="SourceCode"/>
      </w:pPr>
      <w:r>
        <w:rPr>
          <w:rStyle w:val="CommentTok"/>
        </w:rPr>
        <w:t xml:space="preserve"># Compare current AR with previous quarter's snapshot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ksi-ar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output/artifacts/ksi-bundle/ksi-ar-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Historical ARs accumulate in output/artifacts/ksi-bundle/history/</w:t>
      </w:r>
      <w:r>
        <w:br/>
      </w:r>
      <w:r>
        <w:rPr>
          <w:rStyle w:val="CommentTok"/>
        </w:rPr>
        <w:t xml:space="preserve"># Trend: satisfied count should be stable at 29; any drop triggers POA&amp;M entry</w:t>
      </w:r>
    </w:p>
    <w:p>
      <w:pPr>
        <w:pStyle w:val="FirstParagraph"/>
      </w:pPr>
      <w:r>
        <w:t xml:space="preserve">A downward trend in satisfied count (e.g., a training completion gap dropping</w:t>
      </w:r>
      <w:r>
        <w:t xml:space="preserve"> </w:t>
      </w:r>
      <w:r>
        <w:t xml:space="preserve">KSI-022 to not-satisfied) triggers automatic POA&amp;M creation on the next bundle</w:t>
      </w:r>
      <w:r>
        <w:t xml:space="preserve"> </w:t>
      </w:r>
      <w:r>
        <w:t xml:space="preserve">run, providing the AO with an early warning signal.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edramp-20x-authorization-package-ca-6"/>
    <w:p>
      <w:pPr>
        <w:pStyle w:val="Heading1"/>
      </w:pPr>
      <w:r>
        <w:t xml:space="preserve">5. 4 FedRAMP 20x Authorization Package (CA-6)</w:t>
      </w:r>
    </w:p>
    <w:bookmarkStart w:id="37" w:name="package-components"/>
    <w:p>
      <w:pPr>
        <w:pStyle w:val="Heading2"/>
      </w:pPr>
      <w:r>
        <w:t xml:space="preserve">5.1 4.1 Package Components</w:t>
      </w:r>
    </w:p>
    <w:p>
      <w:pPr>
        <w:pStyle w:val="FirstParagraph"/>
      </w:pPr>
      <w:r>
        <w:t xml:space="preserve">The FedRAMP 20x authorization package has a simpler structure than the Rev 5</w:t>
      </w:r>
      <w:r>
        <w:t xml:space="preserve"> </w:t>
      </w:r>
      <w:r>
        <w:t xml:space="preserve">package. FedRAMP 20x replaces the 325-control audit with a KSI-evidence model.</w:t>
      </w:r>
      <w:r>
        <w:t xml:space="preserve"> </w:t>
      </w:r>
      <w:r>
        <w:t xml:space="preserve">The authorization package consists of:</w:t>
      </w:r>
    </w:p>
    <w:p>
      <w:pPr>
        <w:pStyle w:val="TableCaption"/>
      </w:pPr>
      <w:r>
        <w:t xml:space="preserve">FedRAMP 20x Authorization Package — Component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edRAMP 20x Authorization Package — Component Index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Security Plan (SSP)</w:t>
            </w:r>
          </w:p>
        </w:tc>
        <w:tc>
          <w:tcPr/>
          <w:p>
            <w:pPr>
              <w:pStyle w:val="Compact"/>
            </w:pPr>
            <w:r>
              <w:t xml:space="preserve">OSCAL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 generate ssp</w:t>
            </w:r>
            <w:r>
              <w:t xml:space="preserve"> </w:t>
            </w:r>
            <w:r>
              <w:t xml:space="preserve">(Part 1 architecture as baseline)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 Assessment Plan (AP)</w:t>
            </w:r>
          </w:p>
        </w:tc>
        <w:tc>
          <w:tcPr/>
          <w:p>
            <w:pPr>
              <w:pStyle w:val="Compact"/>
            </w:pPr>
            <w:r>
              <w:t xml:space="preserve">OSCAL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output/artifacts/ksi-bundle/ksi-ap.json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 Assessment Results (AR)</w:t>
            </w:r>
          </w:p>
        </w:tc>
        <w:tc>
          <w:tcPr/>
          <w:p>
            <w:pPr>
              <w:pStyle w:val="Compact"/>
            </w:pPr>
            <w:r>
              <w:t xml:space="preserve">OSCAL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output/artifacts/ksi-bundle/ksi-ar.json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of Action &amp; Milestones</w:t>
            </w:r>
          </w:p>
        </w:tc>
        <w:tc>
          <w:tcPr/>
          <w:p>
            <w:pPr>
              <w:pStyle w:val="Compact"/>
            </w:pPr>
            <w:r>
              <w:t xml:space="preserve">OSCAL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output/artifacts/ksi-bundle/ksi-poam.json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AAN Evidence Book Series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Parts 1–18 (inbox/Application Aware Networking/)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 26-04 VDR Submission</w:t>
            </w:r>
          </w:p>
        </w:tc>
        <w:tc>
          <w:tcPr/>
          <w:p>
            <w:pPr>
              <w:pStyle w:val="Compact"/>
            </w:pPr>
            <w:r>
              <w:t xml:space="preserve">CycloneDX 1.6 JSON</w:t>
            </w:r>
          </w:p>
        </w:tc>
        <w:tc>
          <w:tcPr/>
          <w:p>
            <w:pPr>
              <w:pStyle w:val="Compact"/>
            </w:pPr>
            <w:r>
              <w:t xml:space="preserve">Part 15 SBOM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Effectiveness Record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governance.training-effectiveness-record</w:t>
            </w:r>
            <w:r>
              <w:t xml:space="preserve"> </w:t>
            </w:r>
            <w:r>
              <w:t xml:space="preserve">(Part 18)</w:t>
            </w:r>
          </w:p>
        </w:tc>
      </w:tr>
    </w:tbl>
    <w:bookmarkEnd w:id="37"/>
    <w:bookmarkStart w:id="38" w:name="submission-timeline"/>
    <w:p>
      <w:pPr>
        <w:pStyle w:val="Heading2"/>
      </w:pPr>
      <w:r>
        <w:t xml:space="preserve">5.2 4.2 Submission Timeline</w:t>
      </w:r>
    </w:p>
    <w:p>
      <w:pPr>
        <w:pStyle w:val="TableCaption"/>
      </w:pPr>
      <w:r>
        <w:t xml:space="preserve">Authorization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zation Timeline"/>
      </w:tblPr>
      <w:tblGrid>
        <w:gridCol w:w="3484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20x Class A opens</w:t>
            </w:r>
          </w:p>
        </w:tc>
        <w:tc>
          <w:tcPr/>
          <w:p>
            <w:pPr>
              <w:pStyle w:val="Compact"/>
            </w:pPr>
            <w:r>
              <w:t xml:space="preserve">Aug 3, 2026</w:t>
            </w:r>
          </w:p>
        </w:tc>
        <w:tc>
          <w:tcPr/>
          <w:p>
            <w:pPr>
              <w:pStyle w:val="Compac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20x Class B + C opens</w:t>
            </w:r>
          </w:p>
        </w:tc>
        <w:tc>
          <w:tcPr/>
          <w:p>
            <w:pPr>
              <w:pStyle w:val="Compact"/>
            </w:pPr>
            <w:r>
              <w:t xml:space="preserve">Aug 31, 2026</w:t>
            </w:r>
          </w:p>
        </w:tc>
        <w:tc>
          <w:tcPr/>
          <w:p>
            <w:pPr>
              <w:pStyle w:val="Compac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 26-04 VDR/VER deadline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 7,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20x mandatory for new authorizations</w:t>
            </w:r>
          </w:p>
        </w:tc>
        <w:tc>
          <w:tcPr/>
          <w:p>
            <w:pPr>
              <w:pStyle w:val="Compact"/>
            </w:pPr>
            <w:r>
              <w:t xml:space="preserve">Jan 1, 2027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authorization package (Class B)</w:t>
            </w:r>
          </w:p>
        </w:tc>
        <w:tc>
          <w:tcPr/>
          <w:p>
            <w:pPr>
              <w:pStyle w:val="Compact"/>
            </w:pPr>
            <w:r>
              <w:t xml:space="preserve">Nov–Dec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 decision expected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</w:tbl>
    <w:bookmarkEnd w:id="38"/>
    <w:bookmarkStart w:id="39" w:name="X375cb839b722f48475da0b72b146f138924ddd4"/>
    <w:p>
      <w:pPr>
        <w:pStyle w:val="Heading2"/>
      </w:pPr>
      <w:r>
        <w:t xml:space="preserve">5.3 4.3 Authorizing Official Package Review Checklist</w:t>
      </w:r>
    </w:p>
    <w:p>
      <w:pPr>
        <w:pStyle w:val="FirstParagraph"/>
      </w:pPr>
      <w:r>
        <w:t xml:space="preserve">Before submission, the Authorizing Official (AO) reviews:</w:t>
      </w:r>
    </w:p>
    <w:p>
      <w:pPr>
        <w:pStyle w:val="Compact"/>
        <w:numPr>
          <w:ilvl w:val="0"/>
          <w:numId w:val="1005"/>
        </w:numPr>
      </w:pPr>
      <w:r>
        <w:t xml:space="preserve">All 29 KSIs self-assessed as satisfied in current AR (zero open risks); 3PAO validation scheduled</w:t>
      </w:r>
    </w:p>
    <w:p>
      <w:pPr>
        <w:pStyle w:val="Compact"/>
        <w:numPr>
          <w:ilvl w:val="0"/>
          <w:numId w:val="1006"/>
        </w:numPr>
      </w:pPr>
      <w:r>
        <w:t xml:space="preserve">POA&amp;M is empty or all items have approved milestones</w:t>
      </w:r>
    </w:p>
    <w:p>
      <w:pPr>
        <w:pStyle w:val="Compact"/>
        <w:numPr>
          <w:ilvl w:val="0"/>
          <w:numId w:val="1007"/>
        </w:numPr>
      </w:pPr>
      <w:r>
        <w:t xml:space="preserve">BOD 26-04 VDR submission filed by December 7, 2026</w:t>
      </w:r>
    </w:p>
    <w:p>
      <w:pPr>
        <w:pStyle w:val="Compact"/>
        <w:numPr>
          <w:ilvl w:val="0"/>
          <w:numId w:val="1008"/>
        </w:numPr>
      </w:pPr>
      <w:r>
        <w:t xml:space="preserve">Training effectiveness record dated within the last 12 months</w:t>
      </w:r>
    </w:p>
    <w:p>
      <w:pPr>
        <w:pStyle w:val="Compact"/>
        <w:numPr>
          <w:ilvl w:val="0"/>
          <w:numId w:val="1009"/>
        </w:numPr>
      </w:pPr>
      <w:r>
        <w:t xml:space="preserve">SBOM generated within the last 90 days (Syft + Grype pipeline)</w:t>
      </w:r>
    </w:p>
    <w:p>
      <w:pPr>
        <w:pStyle w:val="Compact"/>
        <w:numPr>
          <w:ilvl w:val="0"/>
          <w:numId w:val="1010"/>
        </w:numPr>
      </w:pPr>
      <w:r>
        <w:t xml:space="preserve">ConMon dashboard accessible in Sentinel (AU-6, SI-4 evidence)</w:t>
      </w:r>
    </w:p>
    <w:p>
      <w:pPr>
        <w:pStyle w:val="Compact"/>
        <w:numPr>
          <w:ilvl w:val="0"/>
          <w:numId w:val="1011"/>
        </w:numPr>
      </w:pPr>
      <w:r>
        <w:t xml:space="preserve">Contingency plan tabletop conducted within the last 12 months (CP-3)</w:t>
      </w:r>
    </w:p>
    <w:p>
      <w:pPr>
        <w:pStyle w:val="Compact"/>
        <w:numPr>
          <w:ilvl w:val="0"/>
          <w:numId w:val="1012"/>
        </w:numPr>
      </w:pPr>
      <w:r>
        <w:t xml:space="preserve">IR drill conducted within the last 6 months (IR-2)</w:t>
      </w:r>
    </w:p>
    <w:p>
      <w:pPr>
        <w:pStyle w:val="Compact"/>
        <w:numPr>
          <w:ilvl w:val="0"/>
          <w:numId w:val="1013"/>
        </w:numPr>
      </w:pPr>
      <w:r>
        <w:t xml:space="preserve">PM-14 T&amp;T&amp;M plan current and signed by ISSM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bod-26-04-vdrver-submission-sr-11-sa-15"/>
    <w:p>
      <w:pPr>
        <w:pStyle w:val="Heading1"/>
      </w:pPr>
      <w:r>
        <w:t xml:space="preserve">6. 5 BOD 26-04 VDR/VER Submission (SR-11, SA-15)</w:t>
      </w:r>
    </w:p>
    <w:bookmarkStart w:id="41" w:name="bod-26-04-overview"/>
    <w:p>
      <w:pPr>
        <w:pStyle w:val="Heading2"/>
      </w:pPr>
      <w:r>
        <w:t xml:space="preserve">6.1 5.1 BOD 26-04 Overview</w:t>
      </w:r>
    </w:p>
    <w:p>
      <w:pPr>
        <w:pStyle w:val="FirstParagraph"/>
      </w:pPr>
      <w:r>
        <w:t xml:space="preserve">Binding Operational Directive 26-04 requires all federal agencies to: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Maintain an SBOM</w:t>
      </w:r>
      <w:r>
        <w:t xml:space="preserve"> </w:t>
      </w:r>
      <w:r>
        <w:t xml:space="preserve">for all software in production by December 7, 2026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 a Vulnerability Disclosure Report (VDR)</w:t>
      </w:r>
      <w:r>
        <w:t xml:space="preserve"> </w:t>
      </w:r>
      <w:r>
        <w:t xml:space="preserve">for each SBOM component with known CVEs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 a Vulnerability Exploitability Report (VER)</w:t>
      </w:r>
      <w:r>
        <w:t xml:space="preserve"> </w:t>
      </w:r>
      <w:r>
        <w:t xml:space="preserve">(OpenVEX) for each CVE above CVSS 7.0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Demonstrate continuous SBOM monitoring</w:t>
      </w:r>
      <w:r>
        <w:t xml:space="preserve"> </w:t>
      </w:r>
      <w:r>
        <w:t xml:space="preserve">via an automated pipeline</w:t>
      </w:r>
    </w:p>
    <w:p>
      <w:pPr>
        <w:pStyle w:val="FirstParagraph"/>
      </w:pPr>
      <w:r>
        <w:t xml:space="preserve">Part 15 of this series established the VDR/VER framework. This section</w:t>
      </w:r>
      <w:r>
        <w:t xml:space="preserve"> </w:t>
      </w:r>
      <w:r>
        <w:t xml:space="preserve">documents the submission procedure.</w:t>
      </w:r>
    </w:p>
    <w:bookmarkEnd w:id="41"/>
    <w:bookmarkStart w:id="44" w:name="sbom-artifact-chain"/>
    <w:p>
      <w:pPr>
        <w:pStyle w:val="Heading2"/>
      </w:pPr>
      <w:r>
        <w:t xml:space="preserve">6.2 5.2 SBOM Artifact Chain</w:t>
      </w:r>
    </w:p>
    <w:p>
      <w:pPr>
        <w:pStyle w:val="FirstParagraph"/>
      </w:pPr>
      <w:r>
        <w:t xml:space="preserve">The SBOM pipeline (from Part 15) produces a chain of machine-readable artifacts:</w:t>
      </w:r>
    </w:p>
    <w:p>
      <w:pPr>
        <w:pStyle w:val="SourceCode"/>
      </w:pPr>
      <w:r>
        <w:rPr>
          <w:rStyle w:val="VerbatimChar"/>
        </w:rPr>
        <w:t xml:space="preserve">1. Syft scan → CycloneDX 1.6 JSON (component inventory)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2. Grype scan → Vulnerability findings against NVD + CISA KEV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3. OpenVEX statements → VEX analysis (exploitability assessment)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4. VDR submission package → CISA VEX Portal or email submission</w:t>
      </w:r>
    </w:p>
    <w:bookmarkStart w:id="42" w:name="running-the-sbom-pipeline"/>
    <w:p>
      <w:pPr>
        <w:pStyle w:val="Heading3"/>
      </w:pPr>
      <w:r>
        <w:t xml:space="preserve">6.2.1 5.2.1 Running the SBOM Pipeline</w:t>
      </w:r>
    </w:p>
    <w:p>
      <w:pPr>
        <w:pStyle w:val="SourceCode"/>
      </w:pPr>
      <w:r>
        <w:rPr>
          <w:rStyle w:val="CommentTok"/>
        </w:rPr>
        <w:t xml:space="preserve"># Step 1: Generate SBOM (run against each production container/package)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packages 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cyclonedx-json=sbom-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Step 2: Scan for vulnerabilities</w:t>
      </w:r>
      <w:r>
        <w:br/>
      </w:r>
      <w:r>
        <w:rPr>
          <w:rStyle w:val="ExtensionTok"/>
        </w:rPr>
        <w:t xml:space="preserve">grype</w:t>
      </w:r>
      <w:r>
        <w:rPr>
          <w:rStyle w:val="NormalTok"/>
        </w:rPr>
        <w:t xml:space="preserve"> sbom:sbom-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vuln-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Step 3: Generate VEX statements for High/Critical CVEs</w:t>
      </w:r>
      <w:r>
        <w:br/>
      </w:r>
      <w:r>
        <w:rPr>
          <w:rStyle w:val="CommentTok"/>
        </w:rPr>
        <w:t xml:space="preserve"># For each CVE with CVSS &gt;= 7.0, create an OpenVEX statement:</w:t>
      </w:r>
      <w:r>
        <w:br/>
      </w:r>
      <w:r>
        <w:rPr>
          <w:rStyle w:val="ExtensionTok"/>
        </w:rPr>
        <w:t xml:space="preserve">vexctl</w:t>
      </w:r>
      <w:r>
        <w:rPr>
          <w:rStyle w:val="NormalTok"/>
        </w:rPr>
        <w:t xml:space="preserve">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--author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Cloud Services Team"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--product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"pkg:docker/ssa-gcc-moderate@1.0.0"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--vuln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"CVE-YYYY-NNNNN"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--justification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"component_not_present"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42"/>
    <w:bookmarkStart w:id="43" w:name="submission-to-cisa"/>
    <w:p>
      <w:pPr>
        <w:pStyle w:val="Heading3"/>
      </w:pPr>
      <w:r>
        <w:t xml:space="preserve">6.2.2 5.2.2 Submission to CISA</w:t>
      </w:r>
    </w:p>
    <w:p>
      <w:pPr>
        <w:pStyle w:val="FirstParagraph"/>
      </w:pPr>
      <w:r>
        <w:t xml:space="preserve">Per BOD 26-04, VDR/VER submissions go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sbom@cisa.dhs.gov (VDR + VEX package as ZIP attachment)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Subject 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[AGENCY] BOD-26-04 VDR Submission — [System Name] — [Date]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</w:t>
      </w:r>
      <w:r>
        <w:t xml:space="preserve">: CycloneDX 1.6 JSON for SBOM; OpenVEX JSON for VEX statements</w:t>
      </w:r>
    </w:p>
    <w:p>
      <w:pPr>
        <w:pStyle w:val="BodyText"/>
      </w:pPr>
      <w:r>
        <w:t xml:space="preserve">The Part 15</w:t>
      </w:r>
      <w:r>
        <w:t xml:space="preserve"> </w:t>
      </w:r>
      <w:r>
        <w:rPr>
          <w:rStyle w:val="VerbatimChar"/>
        </w:rPr>
        <w:t xml:space="preserve">vdr-submission-record.json</w:t>
      </w:r>
      <w:r>
        <w:t xml:space="preserve"> </w:t>
      </w:r>
      <w:r>
        <w:t xml:space="preserve">schema generates the cover document</w:t>
      </w:r>
      <w:r>
        <w:t xml:space="preserve"> </w:t>
      </w:r>
      <w:r>
        <w:t xml:space="preserve">automatically from the Syft/Grype pipeline output.</w:t>
      </w:r>
    </w:p>
    <w:bookmarkEnd w:id="43"/>
    <w:bookmarkEnd w:id="44"/>
    <w:bookmarkStart w:id="45" w:name="at-4-evidence-contract-submission"/>
    <w:p>
      <w:pPr>
        <w:pStyle w:val="Heading2"/>
      </w:pPr>
      <w:r>
        <w:t xml:space="preserve">6.3 5.3 AT-4 Evidence Contract Submission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(KSI-022 evidence) must be</w:t>
      </w:r>
      <w:r>
        <w:t xml:space="preserve"> </w:t>
      </w:r>
      <w:r>
        <w:t xml:space="preserve">current at time of ATO package submission:</w:t>
      </w:r>
    </w:p>
    <w:p>
      <w:pPr>
        <w:pStyle w:val="SourceCode"/>
      </w:pPr>
      <w:r>
        <w:rPr>
          <w:rStyle w:val="CommentTok"/>
        </w:rPr>
        <w:t xml:space="preserve"># Verify training record is current (exported from Viva Learning Graph API)</w:t>
      </w:r>
      <w:r>
        <w:br/>
      </w:r>
      <w:r>
        <w:rPr>
          <w:rStyle w:val="CommentTok"/>
        </w:rPr>
        <w:t xml:space="preserve"># Record must show: overall_completion_pct &gt;= 95.0, snapshot_date within 12 months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record = json.load(open('governance.training-effectiveness-record.json'))</w:t>
      </w:r>
      <w:r>
        <w:br/>
      </w:r>
      <w:r>
        <w:rPr>
          <w:rStyle w:val="StringTok"/>
        </w:rPr>
        <w:t xml:space="preserve">assert record['overall_completion_pct'] &gt;= 95.0, 'Training completion below threshold'</w:t>
      </w:r>
      <w:r>
        <w:br/>
      </w:r>
      <w:r>
        <w:rPr>
          <w:rStyle w:val="StringTok"/>
        </w:rPr>
        <w:t xml:space="preserve">assert all(</w:t>
      </w:r>
      <w:r>
        <w:br/>
      </w:r>
      <w:r>
        <w:rPr>
          <w:rStyle w:val="StringTok"/>
        </w:rPr>
        <w:t xml:space="preserve">    t['tier_completion_pct'] &gt;= 95.0 for t in record['role_tiers']</w:t>
      </w:r>
      <w:r>
        <w:br/>
      </w:r>
      <w:r>
        <w:rPr>
          <w:rStyle w:val="StringTok"/>
        </w:rPr>
        <w:t xml:space="preserve">), 'One or more role tiers below threshold'</w:t>
      </w:r>
      <w:r>
        <w:br/>
      </w:r>
      <w:r>
        <w:rPr>
          <w:rStyle w:val="StringTok"/>
        </w:rPr>
        <w:t xml:space="preserve">print('Training record: PASS')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2baad120c625cca5affb3af3072f4904f2c9188"/>
    <w:p>
      <w:pPr>
        <w:pStyle w:val="Heading1"/>
      </w:pPr>
      <w:r>
        <w:t xml:space="preserve">7. 6 Post-Authorization ConMon Architecture (CA-7, SA-15)</w:t>
      </w:r>
    </w:p>
    <w:bookmarkStart w:id="47" w:name="conmon-data-flow"/>
    <w:p>
      <w:pPr>
        <w:pStyle w:val="Heading2"/>
      </w:pPr>
      <w:r>
        <w:t xml:space="preserve">7.1 6.1 ConMon Data Flow</w:t>
      </w:r>
    </w:p>
    <w:p>
      <w:pPr>
        <w:pStyle w:val="FirstParagraph"/>
      </w:pPr>
      <w:r>
        <w:t xml:space="preserve">After ATO is granted, the ConMon program feeds back into the UIAO governance</w:t>
      </w:r>
      <w:r>
        <w:t xml:space="preserve"> </w:t>
      </w:r>
      <w:r>
        <w:t xml:space="preserve">substrate on a recurring basis:</w:t>
      </w:r>
    </w:p>
    <w:p>
      <w:pPr>
        <w:pStyle w:val="SourceCode"/>
      </w:pPr>
      <w:r>
        <w:rPr>
          <w:rStyle w:val="VerbatimChar"/>
        </w:rPr>
        <w:t xml:space="preserve">[M365 ScuBA Assessment]</w:t>
      </w:r>
      <w:r>
        <w:br/>
      </w:r>
      <w:r>
        <w:rPr>
          <w:rStyle w:val="VerbatimChar"/>
        </w:rPr>
        <w:t xml:space="preserve">         ↓ monthly</w:t>
      </w:r>
      <w:r>
        <w:br/>
      </w:r>
      <w:r>
        <w:rPr>
          <w:rStyle w:val="VerbatimChar"/>
        </w:rPr>
        <w:t xml:space="preserve">[uiao adapter-run-scuba]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[UIAO Governance Substrate] ←—— [AAN Slot Evidence YAMLs]</w:t>
      </w:r>
      <w:r>
        <w:br/>
      </w:r>
      <w:r>
        <w:rPr>
          <w:rStyle w:val="VerbatimChar"/>
        </w:rPr>
        <w:t xml:space="preserve">         ↓                                   ↑</w:t>
      </w:r>
      <w:r>
        <w:br/>
      </w:r>
      <w:r>
        <w:rPr>
          <w:rStyle w:val="VerbatimChar"/>
        </w:rPr>
        <w:t xml:space="preserve">[uiao oscal bundle]            [Slot confidence upgrades</w:t>
      </w:r>
      <w:r>
        <w:br/>
      </w:r>
      <w:r>
        <w:rPr>
          <w:rStyle w:val="VerbatimChar"/>
        </w:rPr>
        <w:t xml:space="preserve">         ↓                      when new evidence artifacts</w:t>
      </w:r>
      <w:r>
        <w:br/>
      </w:r>
      <w:r>
        <w:rPr>
          <w:rStyle w:val="VerbatimChar"/>
        </w:rPr>
        <w:t xml:space="preserve">[ksi-ar.json]                   are produced or confidence</w:t>
      </w:r>
      <w:r>
        <w:br/>
      </w:r>
      <w:r>
        <w:rPr>
          <w:rStyle w:val="VerbatimChar"/>
        </w:rPr>
        <w:t xml:space="preserve">         ↓                      changes]</w:t>
      </w:r>
      <w:r>
        <w:br/>
      </w:r>
      <w:r>
        <w:rPr>
          <w:rStyle w:val="VerbatimChar"/>
        </w:rPr>
        <w:t xml:space="preserve">[POA&amp;M auto-populated]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[Sentinel ConMon Dashboard] ——→ [AO Monthly Brief]</w:t>
      </w:r>
    </w:p>
    <w:bookmarkEnd w:id="47"/>
    <w:bookmarkStart w:id="48" w:name="evidence-freshness-rules"/>
    <w:p>
      <w:pPr>
        <w:pStyle w:val="Heading2"/>
      </w:pPr>
      <w:r>
        <w:t xml:space="preserve">7.2 6.2 Evidence Freshness Rules</w:t>
      </w:r>
    </w:p>
    <w:p>
      <w:pPr>
        <w:pStyle w:val="FirstParagraph"/>
      </w:pPr>
      <w:r>
        <w:t xml:space="preserve">Each evidence slot has a freshness requirement. The ConMon program must ensure:</w:t>
      </w:r>
    </w:p>
    <w:p>
      <w:pPr>
        <w:pStyle w:val="TableCaption"/>
      </w:pPr>
      <w:r>
        <w:t xml:space="preserve">Evidence Freshness Requirements by Slot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vidence Freshness Requirements by Slot"/>
      </w:tblPr>
      <w:tblGrid>
        <w:gridCol w:w="1320"/>
        <w:gridCol w:w="506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Freshness Requirement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slot-01 identity</w:t>
            </w:r>
          </w:p>
        </w:tc>
        <w:tc>
          <w:tcPr/>
          <w:p>
            <w:pPr>
              <w:pStyle w:val="Compact"/>
            </w:pPr>
            <w:r>
              <w:t xml:space="preserve">Entra ID Conditional Access policies reviewed quarterly</w:t>
            </w:r>
          </w:p>
        </w:tc>
        <w:tc>
          <w:tcPr/>
          <w:p>
            <w:pPr>
              <w:pStyle w:val="Compact"/>
            </w:pPr>
            <w:r>
              <w:t xml:space="preserve">IAM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slot-02 data</w:t>
            </w:r>
          </w:p>
        </w:tc>
        <w:tc>
          <w:tcPr/>
          <w:p>
            <w:pPr>
              <w:pStyle w:val="Compact"/>
            </w:pPr>
            <w:r>
              <w:t xml:space="preserve">Purview DLP policy and CMK rotation reviewed annually</w:t>
            </w:r>
          </w:p>
        </w:tc>
        <w:tc>
          <w:tcPr/>
          <w:p>
            <w:pPr>
              <w:pStyle w:val="Compact"/>
            </w:pPr>
            <w:r>
              <w:t xml:space="preserve">Data Protection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slot-03 network</w:t>
            </w:r>
          </w:p>
        </w:tc>
        <w:tc>
          <w:tcPr/>
          <w:p>
            <w:pPr>
              <w:pStyle w:val="Compact"/>
            </w:pPr>
            <w:r>
              <w:t xml:space="preserve">SD-WAN configuration baseline reviewed semi-annually</w:t>
            </w:r>
          </w:p>
        </w:tc>
        <w:tc>
          <w:tcPr/>
          <w:p>
            <w:pPr>
              <w:pStyle w:val="Compact"/>
            </w:pPr>
            <w:r>
              <w:t xml:space="preserve">Network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slot-04 telemetry</w:t>
            </w:r>
          </w:p>
        </w:tc>
        <w:tc>
          <w:tcPr/>
          <w:p>
            <w:pPr>
              <w:pStyle w:val="Compact"/>
            </w:pPr>
            <w:r>
              <w:t xml:space="preserve">Sentinel detection rules reviewed quarterly; log retention confirmed monthly</w:t>
            </w:r>
          </w:p>
        </w:tc>
        <w:tc>
          <w:tcPr/>
          <w:p>
            <w:pPr>
              <w:pStyle w:val="Compact"/>
            </w:pPr>
            <w:r>
              <w:t xml:space="preserve">SOC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slot-05 endpoint</w:t>
            </w:r>
          </w:p>
        </w:tc>
        <w:tc>
          <w:tcPr/>
          <w:p>
            <w:pPr>
              <w:pStyle w:val="Compact"/>
            </w:pPr>
            <w:r>
              <w:t xml:space="preserve">Defender VM findings reviewed weekly; PAW review quarterly</w:t>
            </w:r>
          </w:p>
        </w:tc>
        <w:tc>
          <w:tcPr/>
          <w:p>
            <w:pPr>
              <w:pStyle w:val="Compact"/>
            </w:pPr>
            <w:r>
              <w:t xml:space="preserve">Endpoint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slot-06 security</w:t>
            </w:r>
          </w:p>
        </w:tc>
        <w:tc>
          <w:tcPr/>
          <w:p>
            <w:pPr>
              <w:pStyle w:val="Compact"/>
            </w:pPr>
            <w:r>
              <w:t xml:space="preserve">SBOM regenerated monthly; VDR/VER current (BOD 26-04)</w:t>
            </w:r>
          </w:p>
        </w:tc>
        <w:tc>
          <w:tcPr/>
          <w:p>
            <w:pPr>
              <w:pStyle w:val="Compact"/>
            </w:pPr>
            <w:r>
              <w:t xml:space="preserve">SR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slot-07 continuity</w:t>
            </w:r>
          </w:p>
        </w:tc>
        <w:tc>
          <w:tcPr/>
          <w:p>
            <w:pPr>
              <w:pStyle w:val="Compact"/>
            </w:pPr>
            <w:r>
              <w:t xml:space="preserve">CP-3 tabletop annually; CP-4 test annually; CP-2 plan current</w:t>
            </w:r>
          </w:p>
        </w:tc>
        <w:tc>
          <w:tcPr/>
          <w:p>
            <w:pPr>
              <w:pStyle w:val="Compact"/>
            </w:pPr>
            <w:r>
              <w:t xml:space="preserve">BC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slot-08 training</w:t>
            </w:r>
          </w:p>
        </w:tc>
        <w:tc>
          <w:tcPr/>
          <w:p>
            <w:pPr>
              <w:pStyle w:val="Compact"/>
            </w:pPr>
            <w:r>
              <w:t xml:space="preserve">LMS completion records exported monthly; overall ≥ 95%</w:t>
            </w:r>
          </w:p>
        </w:tc>
        <w:tc>
          <w:tcPr/>
          <w:p>
            <w:pPr>
              <w:pStyle w:val="Compact"/>
            </w:pPr>
            <w:r>
              <w:t xml:space="preserve">HR / Training</w:t>
            </w:r>
          </w:p>
        </w:tc>
      </w:tr>
    </w:tbl>
    <w:bookmarkEnd w:id="48"/>
    <w:bookmarkStart w:id="49" w:name="sentinel-conmon-dashboard"/>
    <w:p>
      <w:pPr>
        <w:pStyle w:val="Heading2"/>
      </w:pPr>
      <w:r>
        <w:t xml:space="preserve">7.3 6.3 Sentinel ConMon Dashboard</w:t>
      </w:r>
    </w:p>
    <w:p>
      <w:pPr>
        <w:pStyle w:val="FirstParagraph"/>
      </w:pPr>
      <w:r>
        <w:t xml:space="preserve">Part 13 established the Sentinel XDR platform as the operational ConMon</w:t>
      </w:r>
      <w:r>
        <w:t xml:space="preserve"> </w:t>
      </w:r>
      <w:r>
        <w:t xml:space="preserve">dashboard. The following workbooks are required for CA-7(3) trend analysis: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KSI Status Workbook</w:t>
      </w:r>
      <w:r>
        <w:t xml:space="preserve"> </w:t>
      </w:r>
      <w:r>
        <w:t xml:space="preserve">— maps each of the 29 KSIs to their current evidence</w:t>
      </w:r>
      <w:r>
        <w:t xml:space="preserve"> </w:t>
      </w:r>
      <w:r>
        <w:t xml:space="preserve">state (green/amber/red based on slot binding confidence and AR verdict)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 Drift Workbook</w:t>
      </w:r>
      <w:r>
        <w:t xml:space="preserve"> </w:t>
      </w:r>
      <w:r>
        <w:t xml:space="preserve">— tracks changes in ScuBA findings (M365 config</w:t>
      </w:r>
      <w:r>
        <w:t xml:space="preserve"> </w:t>
      </w:r>
      <w:r>
        <w:t xml:space="preserve">drift that could affect KSI-001..010 verdicts)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Vulnerability Backlog Workbook</w:t>
      </w:r>
      <w:r>
        <w:t xml:space="preserve"> </w:t>
      </w:r>
      <w:r>
        <w:t xml:space="preserve">— RA-5 KEV hits, CVSS scores, BOD 26-04</w:t>
      </w:r>
      <w:r>
        <w:t xml:space="preserve"> </w:t>
      </w:r>
      <w:r>
        <w:t xml:space="preserve">status per component in the SBOM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Training Coverage Workbook</w:t>
      </w:r>
      <w:r>
        <w:t xml:space="preserve"> </w:t>
      </w:r>
      <w:r>
        <w:t xml:space="preserve">— AT-4 completion rate trend by role tier</w:t>
      </w:r>
    </w:p>
    <w:bookmarkEnd w:id="49"/>
    <w:bookmarkStart w:id="50" w:name="roles-and-responsibilities-ca-71"/>
    <w:p>
      <w:pPr>
        <w:pStyle w:val="Heading2"/>
      </w:pPr>
      <w:r>
        <w:t xml:space="preserve">7.4 6.4 Roles and Responsibilities (CA-7(1))</w:t>
      </w:r>
    </w:p>
    <w:p>
      <w:pPr>
        <w:pStyle w:val="TableCaption"/>
      </w:pPr>
      <w:r>
        <w:t xml:space="preserve">ConMon RACI — Key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Mon RACI — Key Roles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CA-7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Authorizing Official (AO)</w:t>
            </w:r>
          </w:p>
        </w:tc>
        <w:tc>
          <w:tcPr/>
          <w:p>
            <w:pPr>
              <w:pStyle w:val="Compact"/>
            </w:pPr>
            <w:r>
              <w:t xml:space="preserve">Reviews monthly AR; accepts or escalates open risks; approves ATO renewal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Runs monthly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; reviews Sentinel dashboard; owns POA&amp;M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ISSM</w:t>
            </w:r>
          </w:p>
        </w:tc>
        <w:tc>
          <w:tcPr/>
          <w:p>
            <w:pPr>
              <w:pStyle w:val="Compact"/>
            </w:pPr>
            <w:r>
              <w:t xml:space="preserve">Chairs quarterly KSI review; escalates trend anomalies to 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Lead</w:t>
            </w:r>
          </w:p>
        </w:tc>
        <w:tc>
          <w:tcPr/>
          <w:p>
            <w:pPr>
              <w:pStyle w:val="Compact"/>
            </w:pPr>
            <w:r>
              <w:t xml:space="preserve">Maintains Sentinel workbooks; conducts IR drills; owns detection rule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/ Supply Chain</w:t>
            </w:r>
          </w:p>
        </w:tc>
        <w:tc>
          <w:tcPr/>
          <w:p>
            <w:pPr>
              <w:pStyle w:val="Compact"/>
            </w:pPr>
            <w:r>
              <w:t xml:space="preserve">Maintains SBOM pipeline; files VDR/VER; owns BOD 26-04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/ Training Coordinator</w:t>
            </w:r>
          </w:p>
        </w:tc>
        <w:tc>
          <w:tcPr/>
          <w:p>
            <w:pPr>
              <w:pStyle w:val="Compact"/>
            </w:pPr>
            <w:r>
              <w:t xml:space="preserve">Exports monthly LMS records; ensures overall_completion_pct ≥ 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risk-assessment-integration-ra-3"/>
    <w:p>
      <w:pPr>
        <w:pStyle w:val="Heading1"/>
      </w:pPr>
      <w:r>
        <w:t xml:space="preserve">8. 7 Risk Assessment Integration (RA-3)</w:t>
      </w:r>
    </w:p>
    <w:bookmarkStart w:id="52" w:name="risk-register-structure"/>
    <w:p>
      <w:pPr>
        <w:pStyle w:val="Heading2"/>
      </w:pPr>
      <w:r>
        <w:t xml:space="preserve">8.1 7.1 Risk Register Structure</w:t>
      </w:r>
    </w:p>
    <w:p>
      <w:pPr>
        <w:pStyle w:val="FirstParagraph"/>
      </w:pPr>
      <w:r>
        <w:t xml:space="preserve">The OSCAL AR’s risk entries feed directly into the organizational risk register</w:t>
      </w:r>
      <w:r>
        <w:t xml:space="preserve"> </w:t>
      </w:r>
      <w:r>
        <w:t xml:space="preserve">(PM-9, established in Part 16). The risk structure follows OSCAL 1.0.4: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OSCAL Field</w:t>
            </w:r>
          </w:p>
        </w:tc>
        <w:tc>
          <w:tcPr/>
          <w:p>
            <w:pPr>
              <w:pStyle w:val="Compact"/>
            </w:pPr>
            <w:r>
              <w:t xml:space="preserve">Risk Register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risk.title</w:t>
            </w:r>
          </w:p>
        </w:tc>
        <w:tc>
          <w:tcPr/>
          <w:p>
            <w:pPr>
              <w:pStyle w:val="Compact"/>
            </w:pPr>
            <w:r>
              <w:t xml:space="preserve">Risk item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risk.status</w:t>
            </w:r>
          </w:p>
        </w:tc>
        <w:tc>
          <w:tcPr/>
          <w:p>
            <w:pPr>
              <w:pStyle w:val="Compact"/>
            </w:pPr>
            <w:r>
              <w:t xml:space="preserve">open / closed / deferred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risk.characterizations</w:t>
            </w:r>
          </w:p>
        </w:tc>
        <w:tc>
          <w:tcPr/>
          <w:p>
            <w:pPr>
              <w:pStyle w:val="Compact"/>
            </w:pPr>
            <w:r>
              <w:t xml:space="preserve">CVSS-derived severity; KSI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risk.mitigating-factors</w:t>
            </w:r>
          </w:p>
        </w:tc>
        <w:tc>
          <w:tcPr/>
          <w:p>
            <w:pPr>
              <w:pStyle w:val="Compact"/>
            </w:pPr>
            <w:r>
              <w:t xml:space="preserve">Compensating controls from AAN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risk.remediation-tracking</w:t>
            </w:r>
          </w:p>
        </w:tc>
        <w:tc>
          <w:tcPr/>
          <w:p>
            <w:pPr>
              <w:pStyle w:val="Compact"/>
            </w:pPr>
            <w:r>
              <w:t xml:space="preserve">BOD 26-04 milestones or training milestones</w:t>
            </w:r>
          </w:p>
        </w:tc>
      </w:tr>
    </w:tbl>
    <w:p>
      <w:pPr>
        <w:pStyle w:val="BodyText"/>
      </w:pPr>
      <w:r>
        <w:t xml:space="preserve">When the AR contains zero open risks (current state), the risk register entry</w:t>
      </w:r>
      <w:r>
        <w:t xml:space="preserve"> </w:t>
      </w:r>
      <w:r>
        <w:t xml:space="preserve">for KSI controls reads:</w:t>
      </w:r>
      <w:r>
        <w:t xml:space="preserve"> </w:t>
      </w:r>
      <w:r>
        <w:t xml:space="preserve">“All 29 KSI controls satisfied — no residual risk</w:t>
      </w:r>
      <w:r>
        <w:t xml:space="preserve"> </w:t>
      </w:r>
      <w:r>
        <w:t xml:space="preserve">from the KSI evaluation.”</w:t>
      </w:r>
      <w:r>
        <w:t xml:space="preserve"> </w:t>
      </w:r>
      <w:r>
        <w:t xml:space="preserve">This does not eliminate enterprise risk; it</w:t>
      </w:r>
      <w:r>
        <w:t xml:space="preserve"> </w:t>
      </w:r>
      <w:r>
        <w:t xml:space="preserve">eliminates KSI-specific compliance risk.</w:t>
      </w:r>
    </w:p>
    <w:bookmarkEnd w:id="52"/>
    <w:bookmarkStart w:id="53" w:name="X8d10a249fbdba0d990b4e3f6ae9964964ca46d1"/>
    <w:p>
      <w:pPr>
        <w:pStyle w:val="Heading2"/>
      </w:pPr>
      <w:r>
        <w:t xml:space="preserve">8.2 7.2 Residual Risks Not Covered by KSI Evaluation</w:t>
      </w:r>
    </w:p>
    <w:p>
      <w:pPr>
        <w:pStyle w:val="FirstParagraph"/>
      </w:pPr>
      <w:r>
        <w:t xml:space="preserve">The KSI evaluation covers FedRAMP 20x Consolidated Rules. The following</w:t>
      </w:r>
      <w:r>
        <w:t xml:space="preserve"> </w:t>
      </w:r>
      <w:r>
        <w:t xml:space="preserve">risk categories are outside KSI scope and must be managed separately: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Mission risk</w:t>
      </w:r>
      <w:r>
        <w:t xml:space="preserve"> </w:t>
      </w:r>
      <w:r>
        <w:t xml:space="preserve">— impact to SSA service delivery from system failure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Insider threat</w:t>
      </w:r>
      <w:r>
        <w:t xml:space="preserve"> </w:t>
      </w:r>
      <w:r>
        <w:t xml:space="preserve">— behavioral analytics (KSI-001..010 cover technical</w:t>
      </w:r>
      <w:r>
        <w:t xml:space="preserve"> </w:t>
      </w:r>
      <w:r>
        <w:t xml:space="preserve">controls; insider threat requires HR and behavioral monitoring programs)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Physical security</w:t>
      </w:r>
      <w:r>
        <w:t xml:space="preserve"> </w:t>
      </w:r>
      <w:r>
        <w:t xml:space="preserve">— AC-18/19, PE family (not in scope for cloud boundary)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Supply chain geopolitical risk</w:t>
      </w:r>
      <w:r>
        <w:t xml:space="preserve"> </w:t>
      </w:r>
      <w:r>
        <w:t xml:space="preserve">— beyond BOD 26-04 SBOM/VDR/VER scope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uthorization-package-assembly-checklist"/>
    <w:p>
      <w:pPr>
        <w:pStyle w:val="Heading1"/>
      </w:pPr>
      <w:r>
        <w:t xml:space="preserve">9. 8 Authorization Package Assembly Checklist</w:t>
      </w:r>
    </w:p>
    <w:p>
      <w:pPr>
        <w:pStyle w:val="FirstParagraph"/>
      </w:pPr>
      <w:r>
        <w:t xml:space="preserve">The following checklist operationalizes the authorization package assembly.</w:t>
      </w:r>
      <w:r>
        <w:t xml:space="preserve"> </w:t>
      </w:r>
      <w:r>
        <w:t xml:space="preserve">Complete in order before the November 2026 submission window.</w:t>
      </w:r>
    </w:p>
    <w:bookmarkStart w:id="55" w:name="pre-submission-checklist"/>
    <w:p>
      <w:pPr>
        <w:pStyle w:val="Heading2"/>
      </w:pPr>
      <w:r>
        <w:t xml:space="preserve">9.1 8.1 Pre-Submission Checklist</w:t>
      </w:r>
    </w:p>
    <w:p>
      <w:pPr>
        <w:pStyle w:val="FirstParagraph"/>
      </w:pPr>
      <w:r>
        <w:rPr>
          <w:b/>
          <w:bCs/>
        </w:rPr>
        <w:t xml:space="preserve">OSCAL Bundle (CA-2, CA-5):</w:t>
      </w:r>
    </w:p>
    <w:p>
      <w:pPr>
        <w:pStyle w:val="Compact"/>
        <w:numPr>
          <w:ilvl w:val="0"/>
          <w:numId w:val="101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uiao oscal bundle --system-name "SSA GCC Moderate"</w:t>
      </w:r>
      <w:r>
        <w:t xml:space="preserve"> </w:t>
      </w:r>
      <w:r>
        <w:t xml:space="preserve">and confirm 29/29 satisfied</w:t>
      </w:r>
    </w:p>
    <w:p>
      <w:pPr>
        <w:pStyle w:val="Compact"/>
        <w:numPr>
          <w:ilvl w:val="0"/>
          <w:numId w:val="1018"/>
        </w:numPr>
      </w:pPr>
      <w:r>
        <w:t xml:space="preserve">Confirm POA&amp;M has zero open items</w:t>
      </w:r>
    </w:p>
    <w:p>
      <w:pPr>
        <w:pStyle w:val="Compact"/>
        <w:numPr>
          <w:ilvl w:val="0"/>
          <w:numId w:val="1019"/>
        </w:numPr>
      </w:pPr>
      <w:r>
        <w:t xml:space="preserve">Archive bundle with timestamp to</w:t>
      </w:r>
      <w:r>
        <w:t xml:space="preserve"> </w:t>
      </w:r>
      <w:r>
        <w:rPr>
          <w:rStyle w:val="VerbatimChar"/>
        </w:rPr>
        <w:t xml:space="preserve">output/artifacts/ksi-bundle/history/YYYYMM/</w:t>
      </w:r>
    </w:p>
    <w:p>
      <w:pPr>
        <w:pStyle w:val="Compact"/>
        <w:numPr>
          <w:ilvl w:val="0"/>
          <w:numId w:val="1020"/>
        </w:numPr>
      </w:pPr>
      <w:r>
        <w:t xml:space="preserve">Submit bundle (AP + AR + POA&amp;M) to FedRAMP PMO via secure portal</w:t>
      </w:r>
    </w:p>
    <w:p>
      <w:pPr>
        <w:pStyle w:val="FirstParagraph"/>
      </w:pPr>
      <w:r>
        <w:rPr>
          <w:b/>
          <w:bCs/>
        </w:rPr>
        <w:t xml:space="preserve">Evidence Books (CA-2):</w:t>
      </w:r>
    </w:p>
    <w:p>
      <w:pPr>
        <w:pStyle w:val="Compact"/>
        <w:numPr>
          <w:ilvl w:val="0"/>
          <w:numId w:val="1021"/>
        </w:numPr>
      </w:pPr>
      <w:r>
        <w:t xml:space="preserve">Confirm all 18 books compiled and available in</w:t>
      </w:r>
      <w:r>
        <w:t xml:space="preserve"> </w:t>
      </w:r>
      <w:r>
        <w:rPr>
          <w:rStyle w:val="VerbatimChar"/>
        </w:rPr>
        <w:t xml:space="preserve">inbox/Application Aware Networking/</w:t>
      </w:r>
    </w:p>
    <w:p>
      <w:pPr>
        <w:pStyle w:val="Compact"/>
        <w:numPr>
          <w:ilvl w:val="0"/>
          <w:numId w:val="1022"/>
        </w:numPr>
      </w:pPr>
      <w:r>
        <w:t xml:space="preserve">Upload updated books to agency document management system</w:t>
      </w:r>
    </w:p>
    <w:p>
      <w:pPr>
        <w:pStyle w:val="Compact"/>
        <w:numPr>
          <w:ilvl w:val="0"/>
          <w:numId w:val="1023"/>
        </w:numPr>
      </w:pPr>
      <w:r>
        <w:t xml:space="preserve">Create cross-reference index: book → NIST controls → KSI IDs</w:t>
      </w:r>
    </w:p>
    <w:p>
      <w:pPr>
        <w:pStyle w:val="FirstParagraph"/>
      </w:pPr>
      <w:r>
        <w:rPr>
          <w:b/>
          <w:bCs/>
        </w:rPr>
        <w:t xml:space="preserve">BOD 26-04 (SR-11):</w:t>
      </w:r>
    </w:p>
    <w:p>
      <w:pPr>
        <w:pStyle w:val="Compact"/>
        <w:numPr>
          <w:ilvl w:val="0"/>
          <w:numId w:val="1024"/>
        </w:numPr>
      </w:pPr>
      <w:r>
        <w:t xml:space="preserve">Run SBOM pipeline: Syft scan → CycloneDX 1.6 JSON</w:t>
      </w:r>
    </w:p>
    <w:p>
      <w:pPr>
        <w:pStyle w:val="Compact"/>
        <w:numPr>
          <w:ilvl w:val="0"/>
          <w:numId w:val="1025"/>
        </w:numPr>
      </w:pPr>
      <w:r>
        <w:t xml:space="preserve">Run Grype: vulnerability scan → VDR artifact</w:t>
      </w:r>
    </w:p>
    <w:p>
      <w:pPr>
        <w:pStyle w:val="Compact"/>
        <w:numPr>
          <w:ilvl w:val="0"/>
          <w:numId w:val="1026"/>
        </w:numPr>
      </w:pPr>
      <w:r>
        <w:t xml:space="preserve">Draft VEX statements for all CVEs CVSS ≥ 7.0</w:t>
      </w:r>
    </w:p>
    <w:p>
      <w:pPr>
        <w:pStyle w:val="Compact"/>
        <w:numPr>
          <w:ilvl w:val="0"/>
          <w:numId w:val="1027"/>
        </w:numPr>
      </w:pPr>
      <w:r>
        <w:t xml:space="preserve">Submit VDR/VER to CISA by</w:t>
      </w:r>
      <w:r>
        <w:t xml:space="preserve"> </w:t>
      </w:r>
      <w:r>
        <w:rPr>
          <w:b/>
          <w:bCs/>
        </w:rPr>
        <w:t xml:space="preserve">December 7, 2026</w:t>
      </w:r>
    </w:p>
    <w:p>
      <w:pPr>
        <w:pStyle w:val="Compact"/>
        <w:numPr>
          <w:ilvl w:val="0"/>
          <w:numId w:val="1028"/>
        </w:numPr>
      </w:pPr>
      <w:r>
        <w:t xml:space="preserve">Retain submission confirmation as</w:t>
      </w:r>
      <w:r>
        <w:t xml:space="preserve"> </w:t>
      </w:r>
      <w:r>
        <w:rPr>
          <w:rStyle w:val="VerbatimChar"/>
        </w:rPr>
        <w:t xml:space="preserve">vdr-submission-record.json</w:t>
      </w:r>
    </w:p>
    <w:p>
      <w:pPr>
        <w:pStyle w:val="FirstParagraph"/>
      </w:pPr>
      <w:r>
        <w:rPr>
          <w:b/>
          <w:bCs/>
        </w:rPr>
        <w:t xml:space="preserve">Training (AT-4, KSI-022):</w:t>
      </w:r>
    </w:p>
    <w:p>
      <w:pPr>
        <w:pStyle w:val="Compact"/>
        <w:numPr>
          <w:ilvl w:val="0"/>
          <w:numId w:val="1029"/>
        </w:numPr>
      </w:pPr>
      <w:r>
        <w:t xml:space="preserve">Export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from Viva Learning</w:t>
      </w:r>
    </w:p>
    <w:p>
      <w:pPr>
        <w:pStyle w:val="Compact"/>
        <w:numPr>
          <w:ilvl w:val="0"/>
          <w:numId w:val="103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overall_completion_pct &gt;= 95.0</w:t>
      </w:r>
    </w:p>
    <w:p>
      <w:pPr>
        <w:pStyle w:val="Compact"/>
        <w:numPr>
          <w:ilvl w:val="0"/>
          <w:numId w:val="1031"/>
        </w:numPr>
      </w:pPr>
      <w:r>
        <w:t xml:space="preserve">Confirm all six</w:t>
      </w:r>
      <w:r>
        <w:t xml:space="preserve"> </w:t>
      </w:r>
      <w:r>
        <w:rPr>
          <w:rStyle w:val="VerbatimChar"/>
        </w:rPr>
        <w:t xml:space="preserve">role_tiers</w:t>
      </w:r>
      <w:r>
        <w:t xml:space="preserve"> </w:t>
      </w:r>
      <w:r>
        <w:t xml:space="preserve">present with</w:t>
      </w:r>
      <w:r>
        <w:t xml:space="preserve"> </w:t>
      </w:r>
      <w:r>
        <w:rPr>
          <w:rStyle w:val="VerbatimChar"/>
        </w:rPr>
        <w:t xml:space="preserve">tier_completion_pct &gt;= 95.0</w:t>
      </w:r>
    </w:p>
    <w:p>
      <w:pPr>
        <w:pStyle w:val="Compact"/>
        <w:numPr>
          <w:ilvl w:val="0"/>
          <w:numId w:val="1032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cp3_tabletop_date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ir2_drill_date</w:t>
      </w:r>
      <w:r>
        <w:t xml:space="preserve"> </w:t>
      </w:r>
      <w:r>
        <w:t xml:space="preserve">within 12 months</w:t>
      </w:r>
    </w:p>
    <w:p>
      <w:pPr>
        <w:pStyle w:val="FirstParagraph"/>
      </w:pPr>
      <w:r>
        <w:rPr>
          <w:b/>
          <w:bCs/>
        </w:rPr>
        <w:t xml:space="preserve">ConMon Program (CA-7):</w:t>
      </w:r>
    </w:p>
    <w:p>
      <w:pPr>
        <w:pStyle w:val="Compact"/>
        <w:numPr>
          <w:ilvl w:val="0"/>
          <w:numId w:val="1033"/>
        </w:numPr>
      </w:pPr>
      <w:r>
        <w:t xml:space="preserve">Sentinel ConMon dashboard active and accessible</w:t>
      </w:r>
    </w:p>
    <w:p>
      <w:pPr>
        <w:pStyle w:val="Compact"/>
        <w:numPr>
          <w:ilvl w:val="0"/>
          <w:numId w:val="1034"/>
        </w:numPr>
      </w:pPr>
      <w:r>
        <w:t xml:space="preserve">Monthly AR automation configured (Azure Logic App or scheduled task)</w:t>
      </w:r>
    </w:p>
    <w:p>
      <w:pPr>
        <w:pStyle w:val="Compact"/>
        <w:numPr>
          <w:ilvl w:val="0"/>
          <w:numId w:val="1035"/>
        </w:numPr>
      </w:pPr>
      <w:r>
        <w:t xml:space="preserve">Quarterly KSI review cadence documented in PM-14 T&amp;T&amp;M plan</w:t>
      </w:r>
    </w:p>
    <w:p>
      <w:pPr>
        <w:pStyle w:val="Compact"/>
        <w:numPr>
          <w:ilvl w:val="0"/>
          <w:numId w:val="1036"/>
        </w:numPr>
      </w:pPr>
      <w:r>
        <w:t xml:space="preserve">ISSO designated and documented in PM-2 leadership RACI</w:t>
      </w:r>
    </w:p>
    <w:bookmarkEnd w:id="55"/>
    <w:bookmarkStart w:id="56" w:name="day-of-submission-procedure"/>
    <w:p>
      <w:pPr>
        <w:pStyle w:val="Heading2"/>
      </w:pPr>
      <w:r>
        <w:t xml:space="preserve">9.2 8.2 Day-of-Submission Procedure</w:t>
      </w:r>
    </w:p>
    <w:p>
      <w:pPr>
        <w:pStyle w:val="SourceCode"/>
      </w:pPr>
      <w:r>
        <w:rPr>
          <w:rStyle w:val="CommentTok"/>
        </w:rPr>
        <w:t xml:space="preserve"># 1. Generate final OSCAL bundle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GCC Moderate"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--ssp-href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"#&lt;ssp-uuid-from-uiao-generate-ssp&gt;"</w:t>
      </w:r>
      <w:r>
        <w:br/>
      </w:r>
      <w:r>
        <w:br/>
      </w:r>
      <w:r>
        <w:rPr>
          <w:rStyle w:val="CommentTok"/>
        </w:rPr>
        <w:t xml:space="preserve"># 2. Archive with date stamp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output/artifacts/ksi-bundle/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output/artifacts/ksi-bundle/history/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3. Validate bundle structure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for name in ['ksi-ap.json', 'ksi-ar.json', 'ksi-poam.json']:</w:t>
      </w:r>
      <w:r>
        <w:br/>
      </w:r>
      <w:r>
        <w:rPr>
          <w:rStyle w:val="StringTok"/>
        </w:rPr>
        <w:t xml:space="preserve">    doc = json.load(open(f'output/artifacts/ksi-bundle/{name}'))</w:t>
      </w:r>
      <w:r>
        <w:br/>
      </w:r>
      <w:r>
        <w:rPr>
          <w:rStyle w:val="StringTok"/>
        </w:rPr>
        <w:t xml:space="preserve">    print(f'{name}: OK — {list(doc.keys())[0]}')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Package for submission (ZIP per FedRAMP PMO instructions)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ssa-gcc-moderate-fedramp20x-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output/artifacts/ksi-bundle/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inbox/Application\ Aware\ Networking/Book_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trols-closed-by-this-document"/>
    <w:p>
      <w:pPr>
        <w:pStyle w:val="Heading1"/>
      </w:pPr>
      <w:r>
        <w:t xml:space="preserve">10. 9 Controls Closed by This Document</w:t>
      </w:r>
    </w:p>
    <w:p>
      <w:pPr>
        <w:pStyle w:val="TableCaption"/>
      </w:pPr>
      <w:r>
        <w:t xml:space="preserve">Controls Closed by Part 19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trols Closed by Part 19"/>
      </w:tblPr>
      <w:tblGrid>
        <w:gridCol w:w="2036"/>
        <w:gridCol w:w="1584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Closure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CA-2</w:t>
            </w:r>
          </w:p>
        </w:tc>
        <w:tc>
          <w:tcPr/>
          <w:p>
            <w:pPr>
              <w:pStyle w:val="Compact"/>
            </w:pPr>
            <w:r>
              <w:t xml:space="preserve">Control Assessments</w:t>
            </w:r>
          </w:p>
        </w:tc>
        <w:tc>
          <w:tcPr/>
          <w:p>
            <w:pPr>
              <w:pStyle w:val="Compact"/>
            </w:pPr>
            <w:r>
              <w:t xml:space="preserve">OSCAL AR (</w:t>
            </w:r>
            <w:r>
              <w:rPr>
                <w:rStyle w:val="VerbatimChar"/>
              </w:rPr>
              <w:t xml:space="preserve">ksi-ar.json</w:t>
            </w:r>
            <w:r>
              <w:t xml:space="preserve">) is the formal security assessment record for all 29 CR26 KSIs; generated by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on a monthly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CA-5</w:t>
            </w:r>
          </w:p>
        </w:tc>
        <w:tc>
          <w:tcPr/>
          <w:p>
            <w:pPr>
              <w:pStyle w:val="Compact"/>
            </w:pPr>
            <w:r>
              <w:t xml:space="preserve">Plan of Action and Milestones</w:t>
            </w:r>
          </w:p>
        </w:tc>
        <w:tc>
          <w:tcPr/>
          <w:p>
            <w:pPr>
              <w:pStyle w:val="Compact"/>
            </w:pPr>
            <w:r>
              <w:t xml:space="preserve">OSCAL POA&amp;M (</w:t>
            </w:r>
            <w:r>
              <w:rPr>
                <w:rStyle w:val="VerbatimChar"/>
              </w:rPr>
              <w:t xml:space="preserve">ksi-poam.json</w:t>
            </w:r>
            <w:r>
              <w:t xml:space="preserve">) is the formal POA&amp;M; auto-populated from AR findings; zero items in current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CA-6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ATO package structure documented in §4; submission checklist in §8; AO review roles in §6.4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→ Sentinel dashboard; quarterly KSI trend review; evidence freshness rules per slot in 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CA-7(1)</w:t>
            </w:r>
          </w:p>
        </w:tc>
        <w:tc>
          <w:tcPr/>
          <w:p>
            <w:pPr>
              <w:pStyle w:val="Compact"/>
            </w:pPr>
            <w:r>
              <w:t xml:space="preserve">Independent Assessment</w:t>
            </w:r>
          </w:p>
        </w:tc>
        <w:tc>
          <w:tcPr/>
          <w:p>
            <w:pPr>
              <w:pStyle w:val="Compact"/>
            </w:pPr>
            <w:r>
              <w:t xml:space="preserve">FedRAMP PMO review of OSCAL AR constitutes the independent assessment; ScuBA assessment provides continuous independent M365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CA-7(3)</w:t>
            </w:r>
          </w:p>
        </w:tc>
        <w:tc>
          <w:tcPr/>
          <w:p>
            <w:pPr>
              <w:pStyle w:val="Compac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</w:pPr>
            <w:r>
              <w:t xml:space="preserve">Sentinel KSI Status Workbook; AR history archive in</w:t>
            </w:r>
            <w:r>
              <w:t xml:space="preserve"> </w:t>
            </w:r>
            <w:r>
              <w:rPr>
                <w:rStyle w:val="VerbatimChar"/>
              </w:rPr>
              <w:t xml:space="preserve">output/artifacts/ksi-bundle/history/</w:t>
            </w:r>
            <w:r>
              <w:t xml:space="preserve">; quarterly trend briefing to 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RA-3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OSCAL AR risk entries feed PM-9 risk register; residual risk taxonomy in §7.2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SA-15</w:t>
            </w:r>
          </w:p>
        </w:tc>
        <w:tc>
          <w:tcPr/>
          <w:p>
            <w:pPr>
              <w:pStyle w:val="Compact"/>
            </w:pPr>
            <w:r>
              <w:t xml:space="preserve">Development Process Standards</w:t>
            </w:r>
          </w:p>
        </w:tc>
        <w:tc>
          <w:tcPr/>
          <w:p>
            <w:pPr>
              <w:pStyle w:val="Compact"/>
            </w:pPr>
            <w:r>
              <w:t xml:space="preserve">ADR-111 (slot evaluator), ADR-061 (AAN origin), ADR-093 (diagram pipeline) document the development process used to build the evidence pipeline;</w:t>
            </w:r>
            <w:r>
              <w:t xml:space="preserve"> </w:t>
            </w:r>
            <w:r>
              <w:rPr>
                <w:rStyle w:val="VerbatimChar"/>
              </w:rPr>
              <w:t xml:space="preserve">uiao</w:t>
            </w:r>
            <w:r>
              <w:t xml:space="preserve"> </w:t>
            </w:r>
            <w:r>
              <w:t xml:space="preserve">CI/CD (ruff, mypy, pytest 4768 tests) is the SA-15 toolchain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ppendix-a-oscal-ar-findings-summary"/>
    <w:p>
      <w:pPr>
        <w:pStyle w:val="Heading1"/>
      </w:pPr>
      <w:r>
        <w:t xml:space="preserve">11. Appendix A — OSCAL AR Findings Summary</w:t>
      </w:r>
    </w:p>
    <w:p>
      <w:pPr>
        <w:pStyle w:val="FirstParagraph"/>
      </w:pPr>
      <w:r>
        <w:t xml:space="preserve">The following table summarizes the 29 KSI findings from the July 4, 2026 bundle</w:t>
      </w:r>
      <w:r>
        <w:t xml:space="preserve"> </w:t>
      </w:r>
      <w:r>
        <w:t xml:space="preserve">run (self-assessment). All 29 are evaluated as satisfied pending 3PAO validation.</w:t>
      </w:r>
    </w:p>
    <w:p>
      <w:pPr>
        <w:pStyle w:val="TableCaption"/>
      </w:pPr>
      <w:r>
        <w:t xml:space="preserve">KSI Findings Summary — July 4, 2026 Bundle Run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SI Findings Summary — July 4, 2026 Bundle Ru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KSI ID</w:t>
            </w:r>
          </w:p>
        </w:tc>
        <w:tc>
          <w:tcPr/>
          <w:p>
            <w:pPr>
              <w:pStyle w:val="Compact"/>
            </w:pPr>
            <w:r>
              <w:t xml:space="preserve">CR26 Control</w:t>
            </w:r>
          </w:p>
        </w:tc>
        <w:tc>
          <w:tcPr/>
          <w:p>
            <w:pPr>
              <w:pStyle w:val="Compact"/>
            </w:pPr>
            <w:r>
              <w:t xml:space="preserve">Evaluation Path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KSI-001</w:t>
            </w:r>
          </w:p>
        </w:tc>
        <w:tc>
          <w:tcPr/>
          <w:p>
            <w:pPr>
              <w:pStyle w:val="Compact"/>
            </w:pPr>
            <w:r>
              <w:t xml:space="preserve">KSI-IAM-MFA</w:t>
            </w:r>
          </w:p>
        </w:tc>
        <w:tc>
          <w:tcPr/>
          <w:p>
            <w:pPr>
              <w:pStyle w:val="Compact"/>
            </w:pPr>
            <w:r>
              <w:t xml:space="preserve">ScuBA (M365-ACCT-001)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KSI-002</w:t>
            </w:r>
          </w:p>
        </w:tc>
        <w:tc>
          <w:tcPr/>
          <w:p>
            <w:pPr>
              <w:pStyle w:val="Compact"/>
            </w:pPr>
            <w:r>
              <w:t xml:space="preserve">KSI-IAM-LAB</w:t>
            </w:r>
          </w:p>
        </w:tc>
        <w:tc>
          <w:tcPr/>
          <w:p>
            <w:pPr>
              <w:pStyle w:val="Compact"/>
            </w:pPr>
            <w:r>
              <w:t xml:space="preserve">ScuBA (M365-AUTH-002)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KSI-003</w:t>
            </w:r>
          </w:p>
        </w:tc>
        <w:tc>
          <w:tcPr/>
          <w:p>
            <w:pPr>
              <w:pStyle w:val="Compact"/>
            </w:pPr>
            <w:r>
              <w:t xml:space="preserve">KSI-IAM-PAC</w:t>
            </w:r>
          </w:p>
        </w:tc>
        <w:tc>
          <w:tcPr/>
          <w:p>
            <w:pPr>
              <w:pStyle w:val="Compact"/>
            </w:pPr>
            <w:r>
              <w:t xml:space="preserve">ScuBA (M365-PRIV-003)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KSI-004</w:t>
            </w:r>
          </w:p>
        </w:tc>
        <w:tc>
          <w:tcPr/>
          <w:p>
            <w:pPr>
              <w:pStyle w:val="Compact"/>
            </w:pPr>
            <w:r>
              <w:t xml:space="preserve">KSI-SVC-EFR</w:t>
            </w:r>
          </w:p>
        </w:tc>
        <w:tc>
          <w:tcPr/>
          <w:p>
            <w:pPr>
              <w:pStyle w:val="Compact"/>
            </w:pPr>
            <w:r>
              <w:t xml:space="preserve">ScuBA (M365-EXO-004)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KSI-005</w:t>
            </w:r>
          </w:p>
        </w:tc>
        <w:tc>
          <w:tcPr/>
          <w:p>
            <w:pPr>
              <w:pStyle w:val="Compact"/>
            </w:pPr>
            <w:r>
              <w:t xml:space="preserve">KSI-MLA-MAU</w:t>
            </w:r>
          </w:p>
        </w:tc>
        <w:tc>
          <w:tcPr/>
          <w:p>
            <w:pPr>
              <w:pStyle w:val="Compact"/>
            </w:pPr>
            <w:r>
              <w:t xml:space="preserve">ScuBA (M365-EXO-005)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KSI-006</w:t>
            </w:r>
          </w:p>
        </w:tc>
        <w:tc>
          <w:tcPr/>
          <w:p>
            <w:pPr>
              <w:pStyle w:val="Compact"/>
            </w:pPr>
            <w:r>
              <w:t xml:space="preserve">KSI-MLA-ESH</w:t>
            </w:r>
          </w:p>
        </w:tc>
        <w:tc>
          <w:tcPr/>
          <w:p>
            <w:pPr>
              <w:pStyle w:val="Compact"/>
            </w:pPr>
            <w:r>
              <w:t xml:space="preserve">ScuBA (M365-SPO-006)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KSI-007</w:t>
            </w:r>
          </w:p>
        </w:tc>
        <w:tc>
          <w:tcPr/>
          <w:p>
            <w:pPr>
              <w:pStyle w:val="Compact"/>
            </w:pPr>
            <w:r>
              <w:t xml:space="preserve">KSI-SVC-SLP</w:t>
            </w:r>
          </w:p>
        </w:tc>
        <w:tc>
          <w:tcPr/>
          <w:p>
            <w:pPr>
              <w:pStyle w:val="Compact"/>
            </w:pPr>
            <w:r>
              <w:t xml:space="preserve">ScuBA (M365-ATP-007)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KSI-008</w:t>
            </w:r>
          </w:p>
        </w:tc>
        <w:tc>
          <w:tcPr/>
          <w:p>
            <w:pPr>
              <w:pStyle w:val="Compact"/>
            </w:pPr>
            <w:r>
              <w:t xml:space="preserve">KSI-SVC-VCM</w:t>
            </w:r>
          </w:p>
        </w:tc>
        <w:tc>
          <w:tcPr/>
          <w:p>
            <w:pPr>
              <w:pStyle w:val="Compact"/>
            </w:pPr>
            <w:r>
              <w:t xml:space="preserve">ScuBA (M365-ATP-008)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KSI-009</w:t>
            </w:r>
          </w:p>
        </w:tc>
        <w:tc>
          <w:tcPr/>
          <w:p>
            <w:pPr>
              <w:pStyle w:val="Compact"/>
            </w:pPr>
            <w:r>
              <w:t xml:space="preserve">KSI-IAM-CAP</w:t>
            </w:r>
          </w:p>
        </w:tc>
        <w:tc>
          <w:tcPr/>
          <w:p>
            <w:pPr>
              <w:pStyle w:val="Compact"/>
            </w:pPr>
            <w:r>
              <w:t xml:space="preserve">ScuBA (M365-CA-009)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KSI-010</w:t>
            </w:r>
          </w:p>
        </w:tc>
        <w:tc>
          <w:tcPr/>
          <w:p>
            <w:pPr>
              <w:pStyle w:val="Compact"/>
            </w:pPr>
            <w:r>
              <w:t xml:space="preserve">KSI-MLA-DLP</w:t>
            </w:r>
          </w:p>
        </w:tc>
        <w:tc>
          <w:tcPr/>
          <w:p>
            <w:pPr>
              <w:pStyle w:val="Compact"/>
            </w:pPr>
            <w:r>
              <w:t xml:space="preserve">ScuBA (M365-DLP-010)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KSI-011</w:t>
            </w:r>
          </w:p>
        </w:tc>
        <w:tc>
          <w:tcPr/>
          <w:p>
            <w:pPr>
              <w:pStyle w:val="Compact"/>
            </w:pPr>
            <w:r>
              <w:t xml:space="preserve">KSI-CMT-LMC</w:t>
            </w:r>
          </w:p>
        </w:tc>
        <w:tc>
          <w:tcPr/>
          <w:p>
            <w:pPr>
              <w:pStyle w:val="Compact"/>
            </w:pPr>
            <w:r>
              <w:t xml:space="preserve">slot-06 high (Part 15/16)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KSI-012</w:t>
            </w:r>
          </w:p>
        </w:tc>
        <w:tc>
          <w:tcPr/>
          <w:p>
            <w:pPr>
              <w:pStyle w:val="Compact"/>
            </w:pPr>
            <w:r>
              <w:t xml:space="preserve">KSI-CMT-RMV</w:t>
            </w:r>
          </w:p>
        </w:tc>
        <w:tc>
          <w:tcPr/>
          <w:p>
            <w:pPr>
              <w:pStyle w:val="Compac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KSI-013</w:t>
            </w:r>
          </w:p>
        </w:tc>
        <w:tc>
          <w:tcPr/>
          <w:p>
            <w:pPr>
              <w:pStyle w:val="Compact"/>
            </w:pPr>
            <w:r>
              <w:t xml:space="preserve">KSI-CMT-RVP</w:t>
            </w:r>
          </w:p>
        </w:tc>
        <w:tc>
          <w:tcPr/>
          <w:p>
            <w:pPr>
              <w:pStyle w:val="Compac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KSI-014</w:t>
            </w:r>
          </w:p>
        </w:tc>
        <w:tc>
          <w:tcPr/>
          <w:p>
            <w:pPr>
              <w:pStyle w:val="Compact"/>
            </w:pPr>
            <w:r>
              <w:t xml:space="preserve">KSI-CMT-VTD</w:t>
            </w:r>
          </w:p>
        </w:tc>
        <w:tc>
          <w:tcPr/>
          <w:p>
            <w:pPr>
              <w:pStyle w:val="Compac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KSI-015</w:t>
            </w:r>
          </w:p>
        </w:tc>
        <w:tc>
          <w:tcPr/>
          <w:p>
            <w:pPr>
              <w:pStyle w:val="Compact"/>
            </w:pPr>
            <w:r>
              <w:t xml:space="preserve">KSI-SCR-MIT</w:t>
            </w:r>
          </w:p>
        </w:tc>
        <w:tc>
          <w:tcPr/>
          <w:p>
            <w:pPr>
              <w:pStyle w:val="Compac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KSI-016</w:t>
            </w:r>
          </w:p>
        </w:tc>
        <w:tc>
          <w:tcPr/>
          <w:p>
            <w:pPr>
              <w:pStyle w:val="Compact"/>
            </w:pPr>
            <w:r>
              <w:t xml:space="preserve">KSI-SCR-MON</w:t>
            </w:r>
          </w:p>
        </w:tc>
        <w:tc>
          <w:tcPr/>
          <w:p>
            <w:pPr>
              <w:pStyle w:val="Compac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KSI-017</w:t>
            </w:r>
          </w:p>
        </w:tc>
        <w:tc>
          <w:tcPr/>
          <w:p>
            <w:pPr>
              <w:pStyle w:val="Compact"/>
            </w:pPr>
            <w:r>
              <w:t xml:space="preserve">KSI-PIY-GIV</w:t>
            </w:r>
          </w:p>
        </w:tc>
        <w:tc>
          <w:tcPr/>
          <w:p>
            <w:pPr>
              <w:pStyle w:val="Compac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KSI-018</w:t>
            </w:r>
          </w:p>
        </w:tc>
        <w:tc>
          <w:tcPr/>
          <w:p>
            <w:pPr>
              <w:pStyle w:val="Compact"/>
            </w:pPr>
            <w:r>
              <w:t xml:space="preserve">KSI-PIY-RES</w:t>
            </w:r>
          </w:p>
        </w:tc>
        <w:tc>
          <w:tcPr/>
          <w:p>
            <w:pPr>
              <w:pStyle w:val="Compac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KSI-019</w:t>
            </w:r>
          </w:p>
        </w:tc>
        <w:tc>
          <w:tcPr/>
          <w:p>
            <w:pPr>
              <w:pStyle w:val="Compact"/>
            </w:pPr>
            <w:r>
              <w:t xml:space="preserve">KSI-PIY-RIS</w:t>
            </w:r>
          </w:p>
        </w:tc>
        <w:tc>
          <w:tcPr/>
          <w:p>
            <w:pPr>
              <w:pStyle w:val="Compac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KSI-020</w:t>
            </w:r>
          </w:p>
        </w:tc>
        <w:tc>
          <w:tcPr/>
          <w:p>
            <w:pPr>
              <w:pStyle w:val="Compact"/>
            </w:pPr>
            <w:r>
              <w:t xml:space="preserve">KSI-PIY-RSD</w:t>
            </w:r>
          </w:p>
        </w:tc>
        <w:tc>
          <w:tcPr/>
          <w:p>
            <w:pPr>
              <w:pStyle w:val="Compac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KSI-021</w:t>
            </w:r>
          </w:p>
        </w:tc>
        <w:tc>
          <w:tcPr/>
          <w:p>
            <w:pPr>
              <w:pStyle w:val="Compact"/>
            </w:pPr>
            <w:r>
              <w:t xml:space="preserve">KSI-PIY-RVD</w:t>
            </w:r>
          </w:p>
        </w:tc>
        <w:tc>
          <w:tcPr/>
          <w:p>
            <w:pPr>
              <w:pStyle w:val="Compac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KSI-022</w:t>
            </w:r>
          </w:p>
        </w:tc>
        <w:tc>
          <w:tcPr/>
          <w:p>
            <w:pPr>
              <w:pStyle w:val="Compact"/>
            </w:pPr>
            <w:r>
              <w:t xml:space="preserve">KSI-CED-RAT</w:t>
            </w:r>
          </w:p>
        </w:tc>
        <w:tc>
          <w:tcPr/>
          <w:p>
            <w:pPr>
              <w:pStyle w:val="Compact"/>
            </w:pPr>
            <w:r>
              <w:t xml:space="preserve">slot-08 high (Part 18)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KSI-023</w:t>
            </w:r>
          </w:p>
        </w:tc>
        <w:tc>
          <w:tcPr/>
          <w:p>
            <w:pPr>
              <w:pStyle w:val="Compact"/>
            </w:pPr>
            <w:r>
              <w:t xml:space="preserve">KSI-INR-IRR</w:t>
            </w:r>
          </w:p>
        </w:tc>
        <w:tc>
          <w:tcPr/>
          <w:p>
            <w:pPr>
              <w:pStyle w:val="Compac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KSI-024</w:t>
            </w:r>
          </w:p>
        </w:tc>
        <w:tc>
          <w:tcPr/>
          <w:p>
            <w:pPr>
              <w:pStyle w:val="Compact"/>
            </w:pPr>
            <w:r>
              <w:t xml:space="preserve">KSI-INR-MLE</w:t>
            </w:r>
          </w:p>
        </w:tc>
        <w:tc>
          <w:tcPr/>
          <w:p>
            <w:pPr>
              <w:pStyle w:val="Compact"/>
            </w:pPr>
            <w:r>
              <w:t xml:space="preserve">slot-04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KSI-025</w:t>
            </w:r>
          </w:p>
        </w:tc>
        <w:tc>
          <w:tcPr/>
          <w:p>
            <w:pPr>
              <w:pStyle w:val="Compact"/>
            </w:pPr>
            <w:r>
              <w:t xml:space="preserve">KSI-INR-NTA</w:t>
            </w:r>
          </w:p>
        </w:tc>
        <w:tc>
          <w:tcPr/>
          <w:p>
            <w:pPr>
              <w:pStyle w:val="Compact"/>
            </w:pPr>
            <w:r>
              <w:t xml:space="preserve">slot-04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KSI-026</w:t>
            </w:r>
          </w:p>
        </w:tc>
        <w:tc>
          <w:tcPr/>
          <w:p>
            <w:pPr>
              <w:pStyle w:val="Compact"/>
            </w:pPr>
            <w:r>
              <w:t xml:space="preserve">KSI-RPL-BCP</w:t>
            </w:r>
          </w:p>
        </w:tc>
        <w:tc>
          <w:tcPr/>
          <w:p>
            <w:pPr>
              <w:pStyle w:val="Compac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KSI-027</w:t>
            </w:r>
          </w:p>
        </w:tc>
        <w:tc>
          <w:tcPr/>
          <w:p>
            <w:pPr>
              <w:pStyle w:val="Compact"/>
            </w:pPr>
            <w:r>
              <w:t xml:space="preserve">KSI-RPL-BCT</w:t>
            </w:r>
          </w:p>
        </w:tc>
        <w:tc>
          <w:tcPr/>
          <w:p>
            <w:pPr>
              <w:pStyle w:val="Compac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KSI-028</w:t>
            </w:r>
          </w:p>
        </w:tc>
        <w:tc>
          <w:tcPr/>
          <w:p>
            <w:pPr>
              <w:pStyle w:val="Compact"/>
            </w:pPr>
            <w:r>
              <w:t xml:space="preserve">KSI-RPL-DRP</w:t>
            </w:r>
          </w:p>
        </w:tc>
        <w:tc>
          <w:tcPr/>
          <w:p>
            <w:pPr>
              <w:pStyle w:val="Compac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KSI-029</w:t>
            </w:r>
          </w:p>
        </w:tc>
        <w:tc>
          <w:tcPr/>
          <w:p>
            <w:pPr>
              <w:pStyle w:val="Compact"/>
            </w:pPr>
            <w:r>
              <w:t xml:space="preserve">KSI-RPL-DRT</w:t>
            </w:r>
          </w:p>
        </w:tc>
        <w:tc>
          <w:tcPr/>
          <w:p>
            <w:pPr>
              <w:pStyle w:val="Compac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</w:pPr>
            <w:r>
              <w:t xml:space="preserve">satisfied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an internal UIAO working artifact. It does not constitute an</w:t>
      </w:r>
      <w:r>
        <w:rPr>
          <w:i/>
          <w:iCs/>
        </w:rPr>
        <w:t xml:space="preserve"> </w:t>
      </w:r>
      <w:r>
        <w:rPr>
          <w:i/>
          <w:iCs/>
        </w:rPr>
        <w:t xml:space="preserve">authorization package or official assessment. All control closure claims are</w:t>
      </w:r>
      <w:r>
        <w:rPr>
          <w:i/>
          <w:iCs/>
        </w:rPr>
        <w:t xml:space="preserve"> </w:t>
      </w:r>
      <w:r>
        <w:rPr>
          <w:i/>
          <w:iCs/>
        </w:rPr>
        <w:t xml:space="preserve">advisory pending formal ATO review by the FedRAMP Project Management Office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Agency Authorizing Official.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19 — Federal Application-Aware Networking — Part 19</dc:title>
  <dc:creator>SSA Cloud Services Team</dc:creator>
  <cp:keywords/>
  <dcterms:created xsi:type="dcterms:W3CDTF">2026-07-06T11:32:01Z</dcterms:created>
  <dcterms:modified xsi:type="dcterms:W3CDTF">2026-07-06T11:32:01Z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assification">
    <vt:lpwstr>INTERNAL — NOT FOR PUBLIC DISTRIBUTION</vt:lpwstr>
  </property>
  <property fmtid="{D5CDD505-2E9C-101B-9397-08002B2CF9AE}" pid="6" name="date">
    <vt:lpwstr>2026-07-04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FedRAMP 20x Authorization Package, Continuous Monitoring, and BOD 26-04 Submission</vt:lpwstr>
  </property>
  <property fmtid="{D5CDD505-2E9C-101B-9397-08002B2CF9AE}" pid="13" name="toc-title">
    <vt:lpwstr>Table of contents</vt:lpwstr>
  </property>
</Properties>
</file>