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The canonical documentation for UIAO has moved to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uiao-docs</w:t>
        </w:r>
      </w:hyperlink>
      <w:r>
        <w:t xml:space="preserve">.</w:t>
      </w:r>
    </w:p>
    <w:p>
      <w:pPr>
        <w:pStyle w:val="BodyText"/>
      </w:pPr>
      <w:r>
        <w:t xml:space="preserve">All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files, YAML data schemas, styled reference templates, and the Quarto rendering pipeline live there. The rendered HTML site is at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whalermike.github.io/uiao-docs</w:t>
        </w:r>
      </w:hyperlink>
      <w:r>
        <w:t xml:space="preserve">.</w:t>
      </w:r>
    </w:p>
    <w:bookmarkStart w:id="22" w:name="what-remains-here"/>
    <w:p>
      <w:pPr>
        <w:pStyle w:val="Heading2"/>
      </w:pPr>
      <w:r>
        <w:t xml:space="preserve">What remains here</w:t>
      </w:r>
    </w:p>
    <w:p>
      <w:pPr>
        <w:pStyle w:val="FirstParagraph"/>
      </w:pPr>
      <w:r>
        <w:t xml:space="preserve">This directory retains only non-document assets used by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tooling: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images referenced by generation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redirect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docs/modernization_atlas_pitch.pptx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pitch deck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docs/modernization_atlas_planner_import.csv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planner import data</w:t>
            </w:r>
          </w:p>
        </w:tc>
      </w:tr>
    </w:tbl>
    <w:bookmarkEnd w:id="22"/>
    <w:bookmarkStart w:id="25" w:name="repository-ownership"/>
    <w:p>
      <w:pPr>
        <w:pStyle w:val="Heading2"/>
      </w:pPr>
      <w:r>
        <w:t xml:space="preserve">Repository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  <w:bCs/>
                  <w:b/>
                </w:rPr>
                <w:t xml:space="preserve">uiao-docs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Documentation canon (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sources), YAML schemas, Quarto pipeline, CI/CD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  <w:bCs/>
                  <w:b/>
                </w:rPr>
                <w:t xml:space="preserve">uiao-core</w:t>
              </w:r>
            </w:hyperlink>
            <w:r>
              <w:t xml:space="preserve"> </w:t>
            </w:r>
            <w:r>
              <w:t xml:space="preserve">(this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generation engine, adapter framework, Python tooling, schemas</w:t>
            </w:r>
          </w:p>
        </w:tc>
      </w:tr>
    </w:tbl>
    <w:p>
      <w:pPr>
        <w:pStyle w:val="BodyText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SSOT Policy</w:t>
        </w:r>
      </w:hyperlink>
      <w:r>
        <w:t xml:space="preserve"> </w:t>
      </w:r>
      <w:r>
        <w:t xml:space="preserve">for the full ownership table and duplication rules.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2026-04-05T21:51:11Z</dcterms:created>
  <dcterms:modified xsi:type="dcterms:W3CDTF">2026-04-05T21:51:11Z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