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20x Phase 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Eight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9" w:name="eight-core-concepts"/>
    <w:p>
      <w:pPr>
        <w:pStyle w:val="Heading1"/>
      </w:pPr>
      <w:r>
        <w:t xml:space="preserve">Eight Core Concepts</w:t>
      </w:r>
    </w:p>
    <w:bookmarkStart w:id="31"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31"/>
    <w:bookmarkStart w:id="32"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32"/>
    <w:bookmarkStart w:id="33"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3"/>
    <w:bookmarkStart w:id="34"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4"/>
    <w:bookmarkStart w:id="35"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5"/>
    <w:bookmarkStart w:id="36"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6"/>
    <w:bookmarkStart w:id="37"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7"/>
    <w:bookmarkStart w:id="38"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8"/>
    <w:bookmarkEnd w:id="39"/>
    <w:bookmarkStart w:id="40"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40"/>
    <w:bookmarkStart w:id="41"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End w:id="41"/>
    <w:bookmarkStart w:id="45" w:name="vibrant-visualizations"/>
    <w:p>
      <w:pPr>
        <w:pStyle w:val="Heading1"/>
      </w:pPr>
      <w:r>
        <w:t xml:space="preserve">Vibrant Visualizations</w:t>
      </w:r>
    </w:p>
    <w:bookmarkStart w:id="42" w:name="modernization-journey"/>
    <w:p>
      <w:pPr>
        <w:pStyle w:val="Heading3"/>
      </w:pPr>
      <w:r>
        <w:t xml:space="preserve">Modernization Journey</w:t>
      </w:r>
    </w:p>
    <w:tbl>
      <w:tblPr>
        <w:tblStyle w:val="FigureTable"/>
        <w:tblW w:type="auto" w:w="0"/>
        <w:tblLook w:firstRow="0" w:lastRow="0" w:firstColumn="0" w:lastColumn="0"/>
        <w:jc w:val="center"/>
      </w:tblPr>
      <w:tblGrid>
        <w:gridCol w:w="7920"/>
      </w:tblGrid>
      <w:tr>
        <w:tc>
          <w:tcPr/>
          <w:p>
            <w:pPr>
              <w:pStyle w:val="Compact"/>
              <w:jc w:val="center"/>
            </w:pPr>
            <w:r>
              <w:t xml:space="preserve">Modernization Atlas</w:t>
            </w:r>
          </w:p>
        </w:tc>
      </w:tr>
    </w:tbl>
    <w:p>
      <w:pPr>
        <w:pStyle w:val="ImageCaption"/>
      </w:pPr>
      <w:r>
        <w:t xml:space="preserve">Modernization Atlas</w:t>
      </w:r>
    </w:p>
    <w:bookmarkEnd w:id="42"/>
    <w:bookmarkStart w:id="43" w:name="fedramp-20x-governance-loop"/>
    <w:p>
      <w:pPr>
        <w:pStyle w:val="Heading3"/>
      </w:pPr>
      <w:r>
        <w:t xml:space="preserve">FedRAMP 20x Governance Loop</w:t>
      </w:r>
    </w:p>
    <w:tbl>
      <w:tblPr>
        <w:tblStyle w:val="FigureTable"/>
        <w:tblW w:type="auto" w:w="0"/>
        <w:tblLook w:firstRow="0" w:lastRow="0" w:firstColumn="0" w:lastColumn="0"/>
        <w:jc w:val="center"/>
      </w:tblPr>
      <w:tblGrid>
        <w:gridCol w:w="7920"/>
      </w:tblGrid>
      <w:tr>
        <w:tc>
          <w:tcPr/>
          <w:p>
            <w:pPr>
              <w:pStyle w:val="Compact"/>
              <w:jc w:val="center"/>
            </w:pPr>
            <w:r>
              <w:t xml:space="preserve">20x Governance Hub</w:t>
            </w:r>
          </w:p>
        </w:tc>
      </w:tr>
    </w:tbl>
    <w:p>
      <w:pPr>
        <w:pStyle w:val="ImageCaption"/>
      </w:pPr>
      <w:r>
        <w:t xml:space="preserve">20x Governance Hub</w:t>
      </w:r>
    </w:p>
    <w:bookmarkEnd w:id="43"/>
    <w:bookmarkStart w:id="44" w:name="identity-to-ip-architecture"/>
    <w:p>
      <w:pPr>
        <w:pStyle w:val="Heading3"/>
      </w:pPr>
      <w:r>
        <w:t xml:space="preserve">Identity-to-IP Architecture</w:t>
      </w:r>
    </w:p>
    <w:tbl>
      <w:tblPr>
        <w:tblStyle w:val="FigureTable"/>
        <w:tblW w:type="auto" w:w="0"/>
        <w:tblLook w:firstRow="0" w:lastRow="0" w:firstColumn="0" w:lastColumn="0"/>
        <w:jc w:val="center"/>
      </w:tblPr>
      <w:tblGrid>
        <w:gridCol w:w="7920"/>
      </w:tblGrid>
      <w:tr>
        <w:tc>
          <w:tcPr/>
          <w:p>
            <w:pPr>
              <w:pStyle w:val="Compact"/>
              <w:jc w:val="center"/>
            </w:pPr>
            <w:r>
              <w:t xml:space="preserve">Identity Mapping</w:t>
            </w:r>
          </w:p>
        </w:tc>
      </w:tr>
    </w:tbl>
    <w:p>
      <w:pPr>
        <w:pStyle w:val="ImageCaption"/>
      </w:pPr>
      <w:r>
        <w:t xml:space="preserve">Identity Mapping</w:t>
      </w:r>
    </w:p>
    <w:p>
      <w:r>
        <w:pict>
          <v:rect style="width:0;height:1.5pt" o:hralign="center" o:hrstd="t" o:hr="t"/>
        </w:pict>
      </w:r>
    </w:p>
    <w:bookmarkEnd w:id="44"/>
    <w:bookmarkEnd w:id="45"/>
    <w:bookmarkStart w:id="47" w:name="fedramp-20x-audit-evidence-summary"/>
    <w:p>
      <w:pPr>
        <w:pStyle w:val="Heading1"/>
      </w:pPr>
      <w:r>
        <w:t xml:space="preserve">FedRAMP 20x Audit Evidence Summary</w:t>
      </w:r>
    </w:p>
    <w:p>
      <w:pPr>
        <w:pStyle w:val="FirstParagraph"/>
      </w:pPr>
      <w:r>
        <w:t xml:space="preserve">The following section provides a direct mapping of the UIAO Modernization Architecture to critical NIST 800-53 Revision 5 security controls. The vibrant visualizations linked below serve as high-level visual proof of implementation for auditors and agency authorizing officials (AOs).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Visual Title</w:t>
            </w:r>
          </w:p>
        </w:tc>
        <w:tc>
          <w:tcPr/>
          <w:p>
            <w:pPr>
              <w:pStyle w:val="Compact"/>
              <w:jc w:val="left"/>
            </w:pPr>
            <w:r>
              <w:t xml:space="preserve">Architectural Pillar</w:t>
            </w:r>
          </w:p>
        </w:tc>
        <w:tc>
          <w:tcPr/>
          <w:p>
            <w:pPr>
              <w:pStyle w:val="Compact"/>
              <w:jc w:val="left"/>
            </w:pPr>
            <w:r>
              <w:t xml:space="preserve">Relevant NIST Control(s)</w:t>
            </w:r>
          </w:p>
        </w:tc>
        <w:tc>
          <w:tcPr/>
          <w:p>
            <w:pPr>
              <w:pStyle w:val="Compact"/>
              <w:jc w:val="left"/>
            </w:pPr>
            <w:r>
              <w:t xml:space="preserve">Implementation Proof Visualization</w:t>
            </w:r>
          </w:p>
        </w:tc>
      </w:tr>
      <w:tr>
        <w:tc>
          <w:tcPr/>
          <w:p>
            <w:pPr>
              <w:pStyle w:val="Compact"/>
              <w:jc w:val="left"/>
            </w:pPr>
            <w:r>
              <w:rPr>
                <w:bCs/>
                <w:b/>
              </w:rPr>
              <w:t xml:space="preserve">V1: Identity-to-IP Mapping</w:t>
            </w:r>
          </w:p>
        </w:tc>
        <w:tc>
          <w:tcPr/>
          <w:p>
            <w:pPr>
              <w:pStyle w:val="Compact"/>
              <w:jc w:val="left"/>
            </w:pPr>
            <w:r>
              <w:rPr>
                <w:bCs/>
                <w:b/>
              </w:rPr>
              <w:t xml:space="preserve">U + A</w:t>
            </w:r>
            <w:r>
              <w:t xml:space="preserve"> </w:t>
            </w:r>
            <w:r>
              <w:t xml:space="preserve">(The Gate)</w:t>
            </w:r>
          </w:p>
        </w:tc>
        <w:tc>
          <w:tcPr/>
          <w:p>
            <w:pPr>
              <w:pStyle w:val="Compact"/>
              <w:jc w:val="left"/>
            </w:pPr>
            <w:r>
              <w:rPr>
                <w:bCs/>
                <w:b/>
              </w:rPr>
              <w:t xml:space="preserve">IA-2 (Identification), AC-19 (Mobile), CM-8 (Inventory)</w:t>
            </w:r>
          </w:p>
        </w:tc>
        <w:tc>
          <w:tcPr/>
          <w:p>
            <w:pPr>
              <w:pStyle w:val="Compact"/>
              <w:jc w:val="left"/>
            </w:pPr>
            <w:r>
              <w:t xml:space="preserve">V1 Evidence</w:t>
            </w:r>
          </w:p>
        </w:tc>
      </w:tr>
      <w:tr>
        <w:tc>
          <w:tcPr/>
          <w:p>
            <w:pPr>
              <w:pStyle w:val="Compact"/>
              <w:jc w:val="left"/>
            </w:pPr>
            <w:r>
              <w:rPr>
                <w:bCs/>
                <w:b/>
              </w:rPr>
              <w:t xml:space="preserve">V2: INR Fabric</w:t>
            </w:r>
          </w:p>
        </w:tc>
        <w:tc>
          <w:tcPr/>
          <w:p>
            <w:pPr>
              <w:pStyle w:val="Compact"/>
              <w:jc w:val="left"/>
            </w:pPr>
            <w:r>
              <w:rPr>
                <w:bCs/>
                <w:b/>
              </w:rPr>
              <w:t xml:space="preserve">O</w:t>
            </w:r>
            <w:r>
              <w:t xml:space="preserve"> </w:t>
            </w:r>
            <w:r>
              <w:t xml:space="preserve">(The Network)</w:t>
            </w:r>
          </w:p>
        </w:tc>
        <w:tc>
          <w:tcPr/>
          <w:p>
            <w:pPr>
              <w:pStyle w:val="Compact"/>
              <w:jc w:val="left"/>
            </w:pPr>
            <w:r>
              <w:rPr>
                <w:bCs/>
                <w:b/>
              </w:rPr>
              <w:t xml:space="preserve">AC-4 (Flow Enforcement)</w:t>
            </w:r>
          </w:p>
        </w:tc>
        <w:tc>
          <w:tcPr/>
          <w:p>
            <w:pPr>
              <w:pStyle w:val="Compact"/>
              <w:jc w:val="left"/>
            </w:pPr>
            <w:r>
              <w:t xml:space="preserve">V2 Evidence</w:t>
            </w:r>
          </w:p>
        </w:tc>
      </w:tr>
      <w:tr>
        <w:tc>
          <w:tcPr/>
          <w:p>
            <w:pPr>
              <w:pStyle w:val="Compact"/>
              <w:jc w:val="left"/>
            </w:pPr>
            <w:r>
              <w:rPr>
                <w:bCs/>
                <w:b/>
              </w:rPr>
              <w:t xml:space="preserve">V3: 20x Governance Loop</w:t>
            </w:r>
          </w:p>
        </w:tc>
        <w:tc>
          <w:tcPr/>
          <w:p>
            <w:pPr>
              <w:pStyle w:val="Compact"/>
              <w:jc w:val="left"/>
            </w:pPr>
            <w:r>
              <w:rPr>
                <w:bCs/>
                <w:b/>
              </w:rPr>
              <w:t xml:space="preserve">Governance</w:t>
            </w:r>
            <w:r>
              <w:t xml:space="preserve"> </w:t>
            </w:r>
            <w:r>
              <w:t xml:space="preserve">(The Hub)</w:t>
            </w:r>
          </w:p>
        </w:tc>
        <w:tc>
          <w:tcPr/>
          <w:p>
            <w:pPr>
              <w:pStyle w:val="Compact"/>
              <w:jc w:val="left"/>
            </w:pPr>
            <w:r>
              <w:rPr>
                <w:bCs/>
                <w:b/>
              </w:rPr>
              <w:t xml:space="preserve">CA-7 (Continuous Monitoring), IR-4 (Incident Handling)</w:t>
            </w:r>
          </w:p>
        </w:tc>
        <w:tc>
          <w:tcPr/>
          <w:p>
            <w:pPr>
              <w:pStyle w:val="Compact"/>
              <w:jc w:val="left"/>
            </w:pPr>
            <w:r>
              <w:t xml:space="preserve">V3 Evidence</w:t>
            </w:r>
          </w:p>
        </w:tc>
      </w:tr>
      <w:tr>
        <w:tc>
          <w:tcPr/>
          <w:p>
            <w:pPr>
              <w:pStyle w:val="Compact"/>
              <w:jc w:val="left"/>
            </w:pPr>
            <w:r>
              <w:rPr>
                <w:bCs/>
                <w:b/>
              </w:rPr>
              <w:t xml:space="preserve">V4: Modernization Atlas</w:t>
            </w:r>
          </w:p>
        </w:tc>
        <w:tc>
          <w:tcPr/>
          <w:p>
            <w:pPr>
              <w:pStyle w:val="Compact"/>
              <w:jc w:val="left"/>
            </w:pPr>
            <w:r>
              <w:rPr>
                <w:bCs/>
                <w:b/>
              </w:rPr>
              <w:t xml:space="preserve">Strategy</w:t>
            </w:r>
            <w:r>
              <w:t xml:space="preserve"> </w:t>
            </w:r>
            <w:r>
              <w:t xml:space="preserve">(The Journey)</w:t>
            </w:r>
          </w:p>
        </w:tc>
        <w:tc>
          <w:tcPr/>
          <w:p>
            <w:pPr>
              <w:pStyle w:val="Compact"/>
              <w:jc w:val="left"/>
            </w:pPr>
            <w:r>
              <w:rPr>
                <w:bCs/>
                <w:b/>
              </w:rPr>
              <w:t xml:space="preserve">Program Vision / TIC 3.0</w:t>
            </w:r>
          </w:p>
        </w:tc>
        <w:tc>
          <w:tcPr/>
          <w:p>
            <w:pPr>
              <w:pStyle w:val="Compact"/>
              <w:jc w:val="left"/>
            </w:pPr>
            <w:r>
              <w:t xml:space="preserve">V4 Evidence</w:t>
            </w:r>
          </w:p>
        </w:tc>
      </w:tr>
      <w:tr>
        <w:tc>
          <w:tcPr/>
          <w:p>
            <w:pPr>
              <w:pStyle w:val="Compact"/>
              <w:jc w:val="left"/>
            </w:pPr>
            <w:r>
              <w:rPr>
                <w:bCs/>
                <w:b/>
              </w:rPr>
              <w:t xml:space="preserve">V5: Cryptographic Trust Chain</w:t>
            </w:r>
          </w:p>
        </w:tc>
        <w:tc>
          <w:tcPr/>
          <w:p>
            <w:pPr>
              <w:pStyle w:val="Compact"/>
              <w:jc w:val="left"/>
            </w:pPr>
            <w:r>
              <w:rPr>
                <w:bCs/>
                <w:b/>
              </w:rPr>
              <w:t xml:space="preserve">Security</w:t>
            </w:r>
            <w:r>
              <w:t xml:space="preserve"> </w:t>
            </w:r>
            <w:r>
              <w:t xml:space="preserve">(The Lock)</w:t>
            </w:r>
          </w:p>
        </w:tc>
        <w:tc>
          <w:tcPr/>
          <w:p>
            <w:pPr>
              <w:pStyle w:val="Compact"/>
              <w:jc w:val="left"/>
            </w:pPr>
            <w:r>
              <w:rPr>
                <w:bCs/>
                <w:b/>
              </w:rPr>
              <w:t xml:space="preserve">SC-8 (Transmission Confidentiality)</w:t>
            </w:r>
          </w:p>
        </w:tc>
        <w:tc>
          <w:tcPr/>
          <w:p>
            <w:pPr>
              <w:pStyle w:val="Compact"/>
              <w:jc w:val="left"/>
            </w:pPr>
            <w:r>
              <w:t xml:space="preserve">V5 Evidence</w:t>
            </w:r>
          </w:p>
        </w:tc>
      </w:tr>
    </w:tbl>
    <w:p>
      <w:r>
        <w:pict>
          <v:rect style="width:0;height:1.5pt" o:hralign="center" o:hrstd="t" o:hr="t"/>
        </w:pict>
      </w:r>
    </w:p>
    <w:bookmarkStart w:id="46" w:name="unified-compliance-maturity-matrix"/>
    <w:p>
      <w:pPr>
        <w:pStyle w:val="Heading2"/>
      </w:pPr>
      <w:r>
        <w:t xml:space="preserve">🛡 Unified Compliance &amp; Maturity Matrix</w:t>
      </w:r>
    </w:p>
    <w:p>
      <w:pPr>
        <w:pStyle w:val="FirstParagraph"/>
      </w:pPr>
      <w:r>
        <w:t xml:space="preserve">The following table demonstrates the alignment of the UIAO project with both</w:t>
      </w:r>
      <w:r>
        <w:t xml:space="preserve"> </w:t>
      </w:r>
      <w:r>
        <w:rPr>
          <w:bCs/>
          <w:b/>
        </w:rPr>
        <w:t xml:space="preserve">CISA Zero Trust Maturity Model</w:t>
      </w:r>
      <w:r>
        <w:t xml:space="preserve"> </w:t>
      </w:r>
      <w:r>
        <w:t xml:space="preserve">pillars and</w:t>
      </w:r>
      <w:r>
        <w:t xml:space="preserve"> </w:t>
      </w:r>
      <w:r>
        <w:rPr>
          <w:bCs/>
          <w:b/>
        </w:rPr>
        <w:t xml:space="preserve">NIST 800-53 Rev. 5</w:t>
      </w:r>
      <w:r>
        <w:t xml:space="preserve"> </w:t>
      </w:r>
      <w:r>
        <w:t xml:space="preserve">security controls simultaneously.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UIAO Pillar</w:t>
            </w:r>
          </w:p>
        </w:tc>
        <w:tc>
          <w:tcPr/>
          <w:p>
            <w:pPr>
              <w:pStyle w:val="Compact"/>
              <w:jc w:val="left"/>
            </w:pPr>
            <w:r>
              <w:t xml:space="preserve">CISA ZT Pillar</w:t>
            </w:r>
          </w:p>
        </w:tc>
        <w:tc>
          <w:tcPr/>
          <w:p>
            <w:pPr>
              <w:pStyle w:val="Compact"/>
              <w:jc w:val="left"/>
            </w:pPr>
            <w:r>
              <w:t xml:space="preserve">Target Maturity</w:t>
            </w:r>
          </w:p>
        </w:tc>
        <w:tc>
          <w:tcPr/>
          <w:p>
            <w:pPr>
              <w:pStyle w:val="Compact"/>
              <w:jc w:val="left"/>
            </w:pPr>
            <w:r>
              <w:t xml:space="preserve">NIST 800-53 Controls</w:t>
            </w:r>
          </w:p>
        </w:tc>
        <w:tc>
          <w:tcPr/>
          <w:p>
            <w:pPr>
              <w:pStyle w:val="Compact"/>
              <w:jc w:val="left"/>
            </w:pPr>
            <w:r>
              <w:t xml:space="preserve">Mission Impact</w:t>
            </w:r>
          </w:p>
        </w:tc>
      </w:tr>
    </w:tbl>
    <w:p>
      <w:pPr>
        <w:pStyle w:val="BlockText"/>
      </w:pPr>
      <w:r>
        <w:rPr>
          <w:bCs/>
          <w:b/>
        </w:rPr>
        <w:t xml:space="preserve">Auditor Note:</w:t>
      </w:r>
      <w:r>
        <w:t xml:space="preserve"> </w:t>
      </w:r>
      <w:r>
        <w:t xml:space="preserve">All controls listed above are continuously monitored via the UIAO Governance Plane (V3) and reported through the ServiceNow SCuBA integration.</w:t>
      </w:r>
    </w:p>
    <w:p>
      <w:r>
        <w:pict>
          <v:rect style="width:0;height:1.5pt" o:hralign="center" o:hrstd="t" o:hr="t"/>
        </w:pict>
      </w:r>
    </w:p>
    <w:p>
      <w:pPr>
        <w:pStyle w:val="FirstParagraph"/>
      </w:pPr>
      <w:r>
        <w:rPr>
          <w:iCs/>
          <w:i/>
        </w:rPr>
        <w:t xml:space="preserve">End of Leadership Briefing v1.0</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2026-04-05T21:51:12Z</dcterms:created>
  <dcterms:modified xsi:type="dcterms:W3CDTF">2026-04-05T21:51:12Z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