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LinkedIn Post — Draft</w:t>
      </w:r>
    </w:p>
    <w:p>
      <w:pPr>
        <w:spacing w:after="36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Synthesis of three FedRAMP / GCC-Moderate assessments</w:t>
      </w:r>
    </w:p>
    <w:p>
      <w:pPr>
        <w:spacing w:after="200" w:line="312"/>
      </w:pPr>
      <w:r>
        <w:t xml:space="preserve">Federal agencies in M365 GCC-Moderate can be fully FedRAMP Moderate compliant — and structurally less observable than commercial enterprises running the same products.</w:t>
      </w:r>
    </w:p>
    <w:p>
      <w:pPr>
        <w:spacing w:after="200" w:line="312"/>
      </w:pPr>
      <w:r>
        <w:t xml:space="preserve">That paradox sits at the center of three assessments I’ve put together. The short version: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1) The gap is structural, not engineering laziness.</w:t>
      </w:r>
    </w:p>
    <w:p>
      <w:pPr>
        <w:spacing w:after="200" w:line="312"/>
      </w:pPr>
      <w:r>
        <w:t xml:space="preserve">Adoption Score, Informed Network Routing, Endpoint Analytics Advanced, Entra Identity Protection ML signals, Continuous Access Evaluation real-time paths, Copilot/DLP behavioral analytics — the common pattern isn’t that Microsoft hasn’t shipped these to GCC-Moderate. It’s that the FedRAMP Moderate authorization boundary (SI-4 / AU-2 / AU-3 / SC-7) constrains the outbound telemetry these features depend on. Absence of an explicit “not available in GCC” statement is not evidence of availability.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2) ThousandEyes closes one of seven Zero Trust pillars — not the gap.</w:t>
      </w:r>
    </w:p>
    <w:p>
      <w:pPr>
        <w:spacing w:after="200" w:line="312"/>
      </w:pPr>
      <w:r>
        <w:t xml:space="preserve">It’s a real answer for the Networks pillar: latency / jitter / packet loss to M365 front doors, BGP / DNS / MITM detection. It contributes nothing to the Identity, Devices, Data, or Applications &amp; Workloads pillars, which together drive the headline findings. Buying it as a general telemetry workaround mis-spends against the actual risk surface; buying it as a Networks-pillar component of a broader compensating stack is defensible — provided the SKU’s FedRAMP authorization is verified before ingest.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3) FedRAMP 20x changes the framing for roughly 30–40% of the gap.</w:t>
      </w:r>
    </w:p>
    <w:p>
      <w:pPr>
        <w:spacing w:after="200" w:line="312"/>
      </w:pPr>
      <w:r>
        <w:t xml:space="preserve">Minimum Assessment Scope (the new two-prong “what’s in” rule) plus the Rev5 Balance Improvement Releases give the deterministic, measurement-only end of the matrix — synthetic network metrics, anonymized endpoint performance counters, fleet-wide patch posture rollups — a credible descoping path. They do not touch the identity / data / behavioral end where federal customer data flows by routine. Necessary but not sufficient.</w:t>
      </w:r>
    </w:p>
    <w:p>
      <w:pPr>
        <w:spacing w:after="200" w:before="240" w:line="312"/>
      </w:pPr>
      <w:r>
        <w:rPr>
          <w:b/>
          <w:bCs/>
        </w:rPr>
        <w:t xml:space="preserve">Practitioner takeaway: </w:t>
      </w:r>
      <w:r>
        <w:t xml:space="preserve">the agency-side analytics build — Sentinel, custom risk models, local long-term retention of CQD exports, OS-level logs supplementing Intune — is doing more work than most procurement conversations admit. ThousandEyes and 20x both help. Neither replaces it.</w:t>
      </w:r>
    </w:p>
    <w:p>
      <w:pPr>
        <w:pBdr>
          <w:bottom w:val="single" w:color="CCCCCC" w:sz="6" w:space="1"/>
        </w:pBdr>
        <w:spacing w:after="240" w:before="12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Personal analysis — does not represent the Social Security Administration or the U.S. Government.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2026-04-27T18:04:41.116Z</dcterms:created>
  <dcterms:modified xsi:type="dcterms:W3CDTF">2026-04-27T18:04:41.137Z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