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 Fedramp20X Crosswalk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uiao-fedramp-20x-compliance-crosswalk"/>
    <w:p>
      <w:pPr>
        <w:pStyle w:val="Heading1"/>
      </w:pPr>
      <w:r>
        <w:t xml:space="preserve">1. UIAO FedRAMP 20x Compliance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Compliance Crosswalk (02_Appendices)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1.1 2. Purpose</w:t>
      </w:r>
    </w:p>
    <w:p>
      <w:pPr>
        <w:pStyle w:val="FirstParagraph"/>
      </w:pPr>
      <w:r>
        <w:t xml:space="preserve">This document provides the authoritative FedRAMP 20x compliance crosswalk for the Unified Identity-Addressing-Overlay (UIAO) architecture. It maps UIAO’s core concepts, control planes, and runtime model to the NIST SP 800-53 Rev 5 controls required for a FedRAMP Moderate (Class C) authorization under the 20x telemetry-based validation framework.</w:t>
      </w:r>
    </w:p>
    <w:p>
      <w:r>
        <w:pict>
          <v:rect style="width:0;height:1.5pt" o:hralign="center" o:hrstd="t" o:hr="t"/>
        </w:pict>
      </w:r>
    </w:p>
    <w:bookmarkEnd w:id="20"/>
    <w:bookmarkStart w:id="23" w:name="scope"/>
    <w:p>
      <w:pPr>
        <w:pStyle w:val="Heading2"/>
      </w:pPr>
      <w:r>
        <w:t xml:space="preserve">1.2 3. Scope</w:t>
      </w:r>
    </w:p>
    <w:bookmarkStart w:id="21" w:name="included"/>
    <w:p>
      <w:pPr>
        <w:pStyle w:val="Heading3"/>
      </w:pPr>
      <w:r>
        <w:t xml:space="preserve">1.2.1 Included</w:t>
      </w:r>
    </w:p>
    <w:p>
      <w:pPr>
        <w:pStyle w:val="Compact"/>
        <w:numPr>
          <w:ilvl w:val="0"/>
          <w:numId w:val="1001"/>
        </w:numPr>
      </w:pPr>
      <w:r>
        <w:t xml:space="preserve">Mapping of UIAO concepts to NIST 800-53 Rev 5 controls</w:t>
      </w:r>
    </w:p>
    <w:p>
      <w:pPr>
        <w:pStyle w:val="Compact"/>
        <w:numPr>
          <w:ilvl w:val="0"/>
          <w:numId w:val="1001"/>
        </w:numPr>
      </w:pPr>
      <w:r>
        <w:t xml:space="preserve">KSI (Key Security Indicator) alignment</w:t>
      </w:r>
    </w:p>
    <w:p>
      <w:pPr>
        <w:pStyle w:val="Compact"/>
        <w:numPr>
          <w:ilvl w:val="0"/>
          <w:numId w:val="1001"/>
        </w:numPr>
      </w:pPr>
      <w:r>
        <w:t xml:space="preserve">Evidence sources for telemetry-based validation</w:t>
      </w:r>
    </w:p>
    <w:p>
      <w:pPr>
        <w:pStyle w:val="Compact"/>
        <w:numPr>
          <w:ilvl w:val="0"/>
          <w:numId w:val="1001"/>
        </w:numPr>
      </w:pPr>
      <w:r>
        <w:t xml:space="preserve">Mandatory 2026 infrastructure requirements</w:t>
      </w:r>
    </w:p>
    <w:p>
      <w:pPr>
        <w:pStyle w:val="Compact"/>
        <w:numPr>
          <w:ilvl w:val="0"/>
          <w:numId w:val="1001"/>
        </w:numPr>
      </w:pPr>
      <w:r>
        <w:t xml:space="preserve">Audit anchors and continuous monitoring expectations</w:t>
      </w:r>
    </w:p>
    <w:bookmarkEnd w:id="21"/>
    <w:bookmarkStart w:id="22" w:name="excluded"/>
    <w:p>
      <w:pPr>
        <w:pStyle w:val="Heading3"/>
      </w:pPr>
      <w:r>
        <w:t xml:space="preserve">1.2.2 Excluded</w:t>
      </w:r>
    </w:p>
    <w:p>
      <w:pPr>
        <w:pStyle w:val="Compact"/>
        <w:numPr>
          <w:ilvl w:val="0"/>
          <w:numId w:val="1002"/>
        </w:numPr>
      </w:pPr>
      <w:r>
        <w:t xml:space="preserve">Implementation-specific configurations</w:t>
      </w:r>
    </w:p>
    <w:p>
      <w:pPr>
        <w:pStyle w:val="Compact"/>
        <w:numPr>
          <w:ilvl w:val="0"/>
          <w:numId w:val="1002"/>
        </w:numPr>
      </w:pPr>
      <w:r>
        <w:t xml:space="preserve">Vendor deployment guides</w:t>
      </w:r>
    </w:p>
    <w:p>
      <w:pPr>
        <w:pStyle w:val="Compact"/>
        <w:numPr>
          <w:ilvl w:val="0"/>
          <w:numId w:val="1002"/>
        </w:numPr>
      </w:pPr>
      <w:r>
        <w:t xml:space="preserve">Project plan sequencing (covered in modernization timeline)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ntrol-plane-alignment"/>
    <w:p>
      <w:pPr>
        <w:pStyle w:val="Heading2"/>
      </w:pPr>
      <w:r>
        <w:t xml:space="preserve">1.3 4. Control Plane Alignment</w:t>
      </w:r>
    </w:p>
    <w:p>
      <w:pPr>
        <w:pStyle w:val="FirstParagraph"/>
      </w:pPr>
      <w:r>
        <w:t xml:space="preserve">This crosswalk spans all six UIAO control planes: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Compliance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Identity assurance, MFA, lifecycle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Segmentation, routing, overlay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IPAM, DNS/DHCP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Continuous monitoring, KSI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Zero Trust enforcement, FedRAMP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CMDB, drift detection, remediation workflows</w:t>
            </w:r>
          </w:p>
        </w:tc>
      </w:tr>
    </w:tbl>
    <w:p>
      <w:pPr>
        <w:pStyle w:val="BodyText"/>
      </w:pPr>
      <w:r>
        <w:t xml:space="preserve">Each plane contributes evidence to FedRAMP 20x telemetry validation.</w:t>
      </w:r>
    </w:p>
    <w:p>
      <w:r>
        <w:pict>
          <v:rect style="width:0;height:1.5pt" o:hralign="center" o:hrstd="t" o:hr="t"/>
        </w:pict>
      </w:r>
    </w:p>
    <w:bookmarkEnd w:id="24"/>
    <w:bookmarkStart w:id="25" w:name="core-concepts"/>
    <w:p>
      <w:pPr>
        <w:pStyle w:val="Heading2"/>
      </w:pPr>
      <w:r>
        <w:t xml:space="preserve">1.4 5. Core Concepts</w:t>
      </w:r>
    </w:p>
    <w:p>
      <w:pPr>
        <w:pStyle w:val="FirstParagraph"/>
      </w:pPr>
      <w:r>
        <w:t xml:space="preserve">The crosswalk maps the Seven Core Concepts to NIST controls: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 → AC-4, SI-4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 → IA-2, AC-2</w:t>
      </w:r>
    </w:p>
    <w:p>
      <w:pPr>
        <w:pStyle w:val="Compact"/>
        <w:numPr>
          <w:ilvl w:val="0"/>
          <w:numId w:val="1003"/>
        </w:numPr>
      </w:pPr>
      <w:r>
        <w:t xml:space="preserve">Deterministic addressing → CM-8, AC-4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 → SC-8, IA-5</w:t>
      </w:r>
    </w:p>
    <w:p>
      <w:pPr>
        <w:pStyle w:val="Compact"/>
        <w:numPr>
          <w:ilvl w:val="0"/>
          <w:numId w:val="1003"/>
        </w:numPr>
      </w:pPr>
      <w:r>
        <w:t xml:space="preserve">Telemetry as control → CA-7, SI-4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 → CM-2, CM-3</w:t>
      </w:r>
    </w:p>
    <w:p>
      <w:pPr>
        <w:pStyle w:val="Compact"/>
        <w:numPr>
          <w:ilvl w:val="0"/>
          <w:numId w:val="1003"/>
        </w:numPr>
      </w:pPr>
      <w:r>
        <w:t xml:space="preserve">Public service first → PT-2 (privacy and minimization)</w:t>
      </w:r>
    </w:p>
    <w:p>
      <w:pPr>
        <w:pStyle w:val="FirstParagraph"/>
      </w:pPr>
      <w:r>
        <w:t xml:space="preserve">These mappings are frozen and must appear identically across all UIAO compliance documents.</w:t>
      </w:r>
    </w:p>
    <w:p>
      <w:r>
        <w:pict>
          <v:rect style="width:0;height:1.5pt" o:hralign="center" o:hrstd="t" o:hr="t"/>
        </w:pict>
      </w:r>
    </w:p>
    <w:bookmarkEnd w:id="25"/>
    <w:bookmarkStart w:id="28" w:name="architecture-model"/>
    <w:p>
      <w:pPr>
        <w:pStyle w:val="Heading2"/>
      </w:pPr>
      <w:r>
        <w:t xml:space="preserve">1.5 6. Architecture Model</w:t>
      </w:r>
    </w:p>
    <w:bookmarkStart w:id="26" w:name="fedramp-20x-overview"/>
    <w:p>
      <w:pPr>
        <w:pStyle w:val="Heading3"/>
      </w:pPr>
      <w:r>
        <w:t xml:space="preserve">1.5.1 6.1 FedRAMP 20x Overview</w:t>
      </w:r>
    </w:p>
    <w:p>
      <w:pPr>
        <w:pStyle w:val="FirstParagraph"/>
      </w:pPr>
      <w:r>
        <w:t xml:space="preserve">FedRAMP 20x replaces narrative-based compliance with telemetry-based validation, requiring:</w:t>
      </w:r>
    </w:p>
    <w:p>
      <w:pPr>
        <w:pStyle w:val="Compact"/>
        <w:numPr>
          <w:ilvl w:val="0"/>
          <w:numId w:val="1004"/>
        </w:numPr>
      </w:pPr>
      <w:r>
        <w:t xml:space="preserve">Machine-readable OSCAL packages</w:t>
      </w:r>
    </w:p>
    <w:p>
      <w:pPr>
        <w:pStyle w:val="Compact"/>
        <w:numPr>
          <w:ilvl w:val="0"/>
          <w:numId w:val="1004"/>
        </w:numPr>
      </w:pPr>
      <w:r>
        <w:t xml:space="preserve">Real-time Key Security Indicators (KSIs)</w:t>
      </w:r>
    </w:p>
    <w:p>
      <w:pPr>
        <w:pStyle w:val="Compact"/>
        <w:numPr>
          <w:ilvl w:val="0"/>
          <w:numId w:val="1004"/>
        </w:numPr>
      </w:pPr>
      <w:r>
        <w:t xml:space="preserve">Automated evidence generation</w:t>
      </w:r>
    </w:p>
    <w:p>
      <w:pPr>
        <w:pStyle w:val="Compact"/>
        <w:numPr>
          <w:ilvl w:val="0"/>
          <w:numId w:val="1004"/>
        </w:numPr>
      </w:pPr>
      <w:r>
        <w:t xml:space="preserve">Continuous monitoring (CA-7)</w:t>
      </w:r>
    </w:p>
    <w:p>
      <w:pPr>
        <w:pStyle w:val="Compact"/>
        <w:numPr>
          <w:ilvl w:val="0"/>
          <w:numId w:val="1004"/>
        </w:numPr>
      </w:pPr>
      <w:r>
        <w:t xml:space="preserve">Identity-anchored access control</w:t>
      </w:r>
    </w:p>
    <w:p>
      <w:pPr>
        <w:pStyle w:val="Compact"/>
        <w:numPr>
          <w:ilvl w:val="0"/>
          <w:numId w:val="1004"/>
        </w:numPr>
      </w:pPr>
      <w:r>
        <w:t xml:space="preserve">Deterministic asset inventory</w:t>
      </w:r>
    </w:p>
    <w:p>
      <w:pPr>
        <w:pStyle w:val="FirstParagraph"/>
      </w:pPr>
      <w:r>
        <w:t xml:space="preserve">UIAO is designed explicitly to satisfy these requirements.</w:t>
      </w:r>
    </w:p>
    <w:bookmarkEnd w:id="26"/>
    <w:bookmarkStart w:id="27" w:name="fundamental-concept-mapping"/>
    <w:p>
      <w:pPr>
        <w:pStyle w:val="Heading3"/>
      </w:pPr>
      <w:r>
        <w:t xml:space="preserve">1.5.2 6.2 Fundamental Concept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UIAO Concept</w:t>
            </w:r>
          </w:p>
        </w:tc>
        <w:tc>
          <w:tcPr/>
          <w:p>
            <w:pPr>
              <w:pStyle w:val="Compac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</w:pPr>
            <w:r>
              <w:t xml:space="preserve">KSI Category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as Atomic Unit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KSI-CNA</w:t>
            </w:r>
          </w:p>
        </w:tc>
        <w:tc>
          <w:tcPr/>
          <w:p>
            <w:pPr>
              <w:pStyle w:val="Compact"/>
            </w:pPr>
            <w:r>
              <w:t xml:space="preserve">SD-WAN flow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as Root Namespace</w:t>
            </w:r>
          </w:p>
        </w:tc>
        <w:tc>
          <w:tcPr/>
          <w:p>
            <w:pPr>
              <w:pStyle w:val="Compact"/>
            </w:pPr>
            <w:r>
              <w:t xml:space="preserve">IA-2 / AC-2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Entra ID &amp; CyberArk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Addressing</w:t>
            </w:r>
          </w:p>
        </w:tc>
        <w:tc>
          <w:tcPr/>
          <w:p>
            <w:pPr>
              <w:pStyle w:val="Compact"/>
            </w:pPr>
            <w:r>
              <w:t xml:space="preserve">CM-8 / AC-4</w:t>
            </w:r>
          </w:p>
        </w:tc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Infoblox BloxOne DDI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Certificate-Anchored Overlay</w:t>
            </w:r>
          </w:p>
        </w:tc>
        <w:tc>
          <w:tcPr/>
          <w:p>
            <w:pPr>
              <w:pStyle w:val="Compact"/>
            </w:pPr>
            <w:r>
              <w:t xml:space="preserve">SC-8 / IA-5</w:t>
            </w:r>
          </w:p>
        </w:tc>
        <w:tc>
          <w:tcPr/>
          <w:p>
            <w:pPr>
              <w:pStyle w:val="Compact"/>
            </w:pPr>
            <w:r>
              <w:t xml:space="preserve">KSI-SVC</w:t>
            </w:r>
          </w:p>
        </w:tc>
        <w:tc>
          <w:tcPr/>
          <w:p>
            <w:pPr>
              <w:pStyle w:val="Compact"/>
            </w:pPr>
            <w:r>
              <w:t xml:space="preserve">SD-WAN mTLS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as Control</w:t>
            </w:r>
          </w:p>
        </w:tc>
        <w:tc>
          <w:tcPr/>
          <w:p>
            <w:pPr>
              <w:pStyle w:val="Compact"/>
            </w:pPr>
            <w:r>
              <w:t xml:space="preserve">CA-7 / SI-4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M365 &amp; SD-WAN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Governance</w:t>
            </w:r>
          </w:p>
        </w:tc>
        <w:tc>
          <w:tcPr/>
          <w:p>
            <w:pPr>
              <w:pStyle w:val="Compact"/>
            </w:pPr>
            <w:r>
              <w:t xml:space="preserve">CM-2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GitHub YAML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Service First</w:t>
            </w:r>
          </w:p>
        </w:tc>
        <w:tc>
          <w:tcPr/>
          <w:p>
            <w:pPr>
              <w:pStyle w:val="Compact"/>
            </w:pPr>
            <w:r>
              <w:t xml:space="preserve">PT-2</w:t>
            </w:r>
          </w:p>
        </w:tc>
        <w:tc>
          <w:tcPr/>
          <w:p>
            <w:pPr>
              <w:pStyle w:val="Compact"/>
            </w:pPr>
            <w:r>
              <w:t xml:space="preserve">KSI-CED</w:t>
            </w:r>
          </w:p>
        </w:tc>
        <w:tc>
          <w:tcPr/>
          <w:p>
            <w:pPr>
              <w:pStyle w:val="Compact"/>
            </w:pPr>
            <w:r>
              <w:t xml:space="preserve">Identity &amp; overlay minimization</w:t>
            </w:r>
          </w:p>
        </w:tc>
      </w:tr>
    </w:tbl>
    <w:p>
      <w:pPr>
        <w:pStyle w:val="BodyText"/>
      </w:pPr>
      <w:r>
        <w:t xml:space="preserve">These mappings are canonical and must not be altered.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untime-model"/>
    <w:p>
      <w:pPr>
        <w:pStyle w:val="Heading2"/>
      </w:pPr>
      <w:r>
        <w:t xml:space="preserve">1.6 7. Runtime Model</w:t>
      </w:r>
    </w:p>
    <w:p>
      <w:pPr>
        <w:pStyle w:val="FirstParagraph"/>
      </w:pPr>
      <w:r>
        <w:t xml:space="preserve">UIAO’s runtime model directly supports FedRAMP 20x telemetry validation.</w:t>
      </w:r>
    </w:p>
    <w:bookmarkStart w:id="29" w:name="conversation-level-telemetry"/>
    <w:p>
      <w:pPr>
        <w:pStyle w:val="Heading3"/>
      </w:pPr>
      <w:r>
        <w:t xml:space="preserve">1.6.1 7.1 Conversation-Level Telemetry</w:t>
      </w:r>
    </w:p>
    <w:p>
      <w:pPr>
        <w:pStyle w:val="FirstParagraph"/>
      </w:pPr>
      <w:r>
        <w:t xml:space="preserve">Every conversation produces:</w:t>
      </w:r>
    </w:p>
    <w:p>
      <w:pPr>
        <w:pStyle w:val="Compact"/>
        <w:numPr>
          <w:ilvl w:val="0"/>
          <w:numId w:val="1005"/>
        </w:numPr>
      </w:pPr>
      <w:r>
        <w:t xml:space="preserve">Identity metadata</w:t>
      </w:r>
    </w:p>
    <w:p>
      <w:pPr>
        <w:pStyle w:val="Compact"/>
        <w:numPr>
          <w:ilvl w:val="0"/>
          <w:numId w:val="1005"/>
        </w:numPr>
      </w:pPr>
      <w:r>
        <w:t xml:space="preserve">Addressing metadata</w:t>
      </w:r>
    </w:p>
    <w:p>
      <w:pPr>
        <w:pStyle w:val="Compact"/>
        <w:numPr>
          <w:ilvl w:val="0"/>
          <w:numId w:val="1005"/>
        </w:numPr>
      </w:pPr>
      <w:r>
        <w:t xml:space="preserve">Certificate metadata</w:t>
      </w:r>
    </w:p>
    <w:p>
      <w:pPr>
        <w:pStyle w:val="Compact"/>
        <w:numPr>
          <w:ilvl w:val="0"/>
          <w:numId w:val="1005"/>
        </w:numPr>
      </w:pPr>
      <w:r>
        <w:t xml:space="preserve">Path and QoS telemetry</w:t>
      </w:r>
    </w:p>
    <w:p>
      <w:pPr>
        <w:pStyle w:val="Compact"/>
        <w:numPr>
          <w:ilvl w:val="0"/>
          <w:numId w:val="1005"/>
        </w:numPr>
      </w:pPr>
      <w:r>
        <w:t xml:space="preserve">Security and assurance signals</w:t>
      </w:r>
    </w:p>
    <w:bookmarkEnd w:id="29"/>
    <w:bookmarkStart w:id="30" w:name="deterministic-evidence"/>
    <w:p>
      <w:pPr>
        <w:pStyle w:val="Heading3"/>
      </w:pPr>
      <w:r>
        <w:t xml:space="preserve">1.6.2 7.2 Deterministic Evidence</w:t>
      </w:r>
    </w:p>
    <w:p>
      <w:pPr>
        <w:pStyle w:val="FirstParagraph"/>
      </w:pPr>
      <w:r>
        <w:t xml:space="preserve">Given identical inputs, UIAO produces identical telemetry outputs — enabling reproducible compliance.</w:t>
      </w:r>
    </w:p>
    <w:bookmarkEnd w:id="30"/>
    <w:bookmarkStart w:id="31" w:name="continuous-monitoring"/>
    <w:p>
      <w:pPr>
        <w:pStyle w:val="Heading3"/>
      </w:pPr>
      <w:r>
        <w:t xml:space="preserve">1.6.3 7.3 Continuous Monitoring</w:t>
      </w:r>
    </w:p>
    <w:p>
      <w:pPr>
        <w:pStyle w:val="FirstParagraph"/>
      </w:pPr>
      <w:r>
        <w:t xml:space="preserve">Telemetry feeds:</w:t>
      </w:r>
    </w:p>
    <w:p>
      <w:pPr>
        <w:pStyle w:val="Compact"/>
        <w:numPr>
          <w:ilvl w:val="0"/>
          <w:numId w:val="1006"/>
        </w:numPr>
      </w:pPr>
      <w:r>
        <w:t xml:space="preserve">CA-7 continuous monitoring</w:t>
      </w:r>
    </w:p>
    <w:p>
      <w:pPr>
        <w:pStyle w:val="Compact"/>
        <w:numPr>
          <w:ilvl w:val="0"/>
          <w:numId w:val="1006"/>
        </w:numPr>
      </w:pPr>
      <w:r>
        <w:t xml:space="preserve">SI-4 anomaly detection</w:t>
      </w:r>
    </w:p>
    <w:p>
      <w:pPr>
        <w:pStyle w:val="Compact"/>
        <w:numPr>
          <w:ilvl w:val="0"/>
          <w:numId w:val="1006"/>
        </w:numPr>
      </w:pPr>
      <w:r>
        <w:t xml:space="preserve">AC-4 segmentation enforcement</w:t>
      </w:r>
    </w:p>
    <w:p>
      <w:pPr>
        <w:pStyle w:val="Compact"/>
        <w:numPr>
          <w:ilvl w:val="0"/>
          <w:numId w:val="1006"/>
        </w:numPr>
      </w:pPr>
      <w:r>
        <w:t xml:space="preserve">SC-8 certificate validation</w:t>
      </w:r>
    </w:p>
    <w:p>
      <w:pPr>
        <w:pStyle w:val="FirstParagraph"/>
      </w:pPr>
      <w:r>
        <w:t xml:space="preserve">This satisfies FedRAMP’s requirement for machine-generated 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mpliance-mapping"/>
    <w:p>
      <w:pPr>
        <w:pStyle w:val="Heading2"/>
      </w:pPr>
      <w:r>
        <w:t xml:space="preserve">1.7 8. Compliance Mapping</w:t>
      </w:r>
    </w:p>
    <w:bookmarkStart w:id="33" w:name="Xc271912710ecdf595a90728b0b9ed65a548c1d6"/>
    <w:p>
      <w:pPr>
        <w:pStyle w:val="Heading3"/>
      </w:pPr>
      <w:r>
        <w:t xml:space="preserve">1.7.1 8.1 Mandatory 2026 Infrastructure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NTC-0003</w:t>
            </w:r>
          </w:p>
        </w:tc>
        <w:tc>
          <w:tcPr/>
          <w:p>
            <w:pPr>
              <w:pStyle w:val="Compact"/>
            </w:pPr>
            <w:r>
              <w:t xml:space="preserve">Automated Security Inbox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2026-01-05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RFC-0024</w:t>
            </w:r>
          </w:p>
        </w:tc>
        <w:tc>
          <w:tcPr/>
          <w:p>
            <w:pPr>
              <w:pStyle w:val="Compact"/>
            </w:pPr>
            <w:r>
              <w:t xml:space="preserve">OSCAL Machine-Readability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M-24-15</w:t>
            </w:r>
          </w:p>
        </w:tc>
        <w:tc>
          <w:tcPr/>
          <w:p>
            <w:pPr>
              <w:pStyle w:val="Compact"/>
            </w:pPr>
            <w:r>
              <w:t xml:space="preserve">Phishing-Resistant MFA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</w:tr>
    </w:tbl>
    <w:p>
      <w:pPr>
        <w:pStyle w:val="BodyText"/>
      </w:pPr>
      <w:r>
        <w:t xml:space="preserve">UIAO satisfies all three through Entra ID, SD-WAN telemetry, and GitHub-based governance.</w:t>
      </w:r>
    </w:p>
    <w:bookmarkEnd w:id="33"/>
    <w:bookmarkStart w:id="34" w:name="audit-anchor-summary"/>
    <w:p>
      <w:pPr>
        <w:pStyle w:val="Heading3"/>
      </w:pPr>
      <w:r>
        <w:t xml:space="preserve">1.7.2 8.2 Audit Anchor Summary</w:t>
      </w:r>
    </w:p>
    <w:p>
      <w:pPr>
        <w:pStyle w:val="FirstParagraph"/>
      </w:pPr>
      <w:r>
        <w:t xml:space="preserve">UIAO provides continuous telemetry via: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Identity Pillar:</w:t>
      </w:r>
      <w:r>
        <w:t xml:space="preserve"> </w:t>
      </w:r>
      <w:r>
        <w:t xml:space="preserve">Entra ID MFA, PIV/FIDO2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Addressing Pillar:</w:t>
      </w:r>
      <w:r>
        <w:t xml:space="preserve"> </w:t>
      </w:r>
      <w:r>
        <w:t xml:space="preserve">Infoblox deterministic IPAM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Overlay Pillar:</w:t>
      </w:r>
      <w:r>
        <w:t xml:space="preserve"> </w:t>
      </w:r>
      <w:r>
        <w:t xml:space="preserve">SD-WAN mTLS service chain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Telemetry Pillar:</w:t>
      </w:r>
      <w:r>
        <w:t xml:space="preserve"> </w:t>
      </w:r>
      <w:r>
        <w:t xml:space="preserve">M365, SD-WAN, DNS, endpoint signals</w:t>
      </w:r>
    </w:p>
    <w:p>
      <w:pPr>
        <w:pStyle w:val="FirstParagraph"/>
      </w:pPr>
      <w:r>
        <w:t xml:space="preserve">These anchors form the evidence base for FedRAMP 20x.</w:t>
      </w:r>
    </w:p>
    <w:bookmarkEnd w:id="34"/>
    <w:bookmarkStart w:id="35" w:name="ksi-definitions"/>
    <w:p>
      <w:pPr>
        <w:pStyle w:val="Heading3"/>
      </w:pPr>
      <w:r>
        <w:t xml:space="preserve">1.7.3 8.3 KSI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KSI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Identity authentication logs (Entra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Deterministic asset inventory (Infoblox)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Network health &amp; path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KSI-SVC</w:t>
            </w:r>
          </w:p>
        </w:tc>
        <w:tc>
          <w:tcPr/>
          <w:p>
            <w:pPr>
              <w:pStyle w:val="Compact"/>
            </w:pPr>
            <w:r>
              <w:t xml:space="preserve">Certificate enforcement 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Baseline drift detection (GitHub YAML)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KSI-CNA</w:t>
            </w:r>
          </w:p>
        </w:tc>
        <w:tc>
          <w:tcPr/>
          <w:p>
            <w:pPr>
              <w:pStyle w:val="Compact"/>
            </w:pPr>
            <w:r>
              <w:t xml:space="preserve">Packet-level identity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KSI-CED</w:t>
            </w:r>
          </w:p>
        </w:tc>
        <w:tc>
          <w:tcPr/>
          <w:p>
            <w:pPr>
              <w:pStyle w:val="Compact"/>
            </w:pPr>
            <w:r>
              <w:t xml:space="preserve">Data minimization enforcement</w:t>
            </w:r>
          </w:p>
        </w:tc>
      </w:tr>
    </w:tbl>
    <w:p>
      <w:pPr>
        <w:pStyle w:val="BodyText"/>
      </w:pPr>
      <w:r>
        <w:t xml:space="preserve">These KSIs are mandatory for FedRAMP 20x validation.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ependencies-sequencing"/>
    <w:p>
      <w:pPr>
        <w:pStyle w:val="Heading2"/>
      </w:pPr>
      <w:r>
        <w:t xml:space="preserve">1.8 9. Dependencies &amp; Sequencing</w:t>
      </w:r>
    </w:p>
    <w:bookmarkStart w:id="37" w:name="upstream-dependencies"/>
    <w:p>
      <w:pPr>
        <w:pStyle w:val="Heading3"/>
      </w:pPr>
      <w:r>
        <w:t xml:space="preserve">1.8.1 Upstream Dependencies</w:t>
      </w:r>
    </w:p>
    <w:p>
      <w:pPr>
        <w:pStyle w:val="Compact"/>
        <w:numPr>
          <w:ilvl w:val="0"/>
          <w:numId w:val="1008"/>
        </w:numPr>
      </w:pPr>
      <w:r>
        <w:t xml:space="preserve">Identity modernization (Workstream A)</w:t>
      </w:r>
    </w:p>
    <w:p>
      <w:pPr>
        <w:pStyle w:val="Compact"/>
        <w:numPr>
          <w:ilvl w:val="0"/>
          <w:numId w:val="1008"/>
        </w:numPr>
      </w:pPr>
      <w:r>
        <w:t xml:space="preserve">SD-WAN HLD/LLD (Workstream B)</w:t>
      </w:r>
    </w:p>
    <w:p>
      <w:pPr>
        <w:pStyle w:val="Compact"/>
        <w:numPr>
          <w:ilvl w:val="0"/>
          <w:numId w:val="1008"/>
        </w:numPr>
      </w:pPr>
      <w:r>
        <w:t xml:space="preserve">IPAM modernization (Workstream C)</w:t>
      </w:r>
    </w:p>
    <w:p>
      <w:pPr>
        <w:pStyle w:val="Compact"/>
        <w:numPr>
          <w:ilvl w:val="0"/>
          <w:numId w:val="1008"/>
        </w:numPr>
      </w:pPr>
      <w:r>
        <w:t xml:space="preserve">Telemetry integration (Workstream D)</w:t>
      </w:r>
    </w:p>
    <w:bookmarkEnd w:id="37"/>
    <w:bookmarkStart w:id="38" w:name="downstream-dependencies"/>
    <w:p>
      <w:pPr>
        <w:pStyle w:val="Heading3"/>
      </w:pPr>
      <w:r>
        <w:t xml:space="preserve">1.8.2 Downstream Dependencies</w:t>
      </w:r>
    </w:p>
    <w:p>
      <w:pPr>
        <w:pStyle w:val="Compact"/>
        <w:numPr>
          <w:ilvl w:val="0"/>
          <w:numId w:val="1009"/>
        </w:numPr>
      </w:pPr>
      <w:r>
        <w:t xml:space="preserve">TIC 3.0 Cloud &amp; Branch packages</w:t>
      </w:r>
    </w:p>
    <w:p>
      <w:pPr>
        <w:pStyle w:val="Compact"/>
        <w:numPr>
          <w:ilvl w:val="0"/>
          <w:numId w:val="1009"/>
        </w:numPr>
      </w:pPr>
      <w:r>
        <w:t xml:space="preserve">FedRAMP annual assessment</w:t>
      </w:r>
    </w:p>
    <w:p>
      <w:pPr>
        <w:pStyle w:val="Compact"/>
        <w:numPr>
          <w:ilvl w:val="0"/>
          <w:numId w:val="1009"/>
        </w:numPr>
      </w:pPr>
      <w:r>
        <w:t xml:space="preserve">Continuous monitoring dashboards</w:t>
      </w:r>
    </w:p>
    <w:p>
      <w:pPr>
        <w:pStyle w:val="Compact"/>
        <w:numPr>
          <w:ilvl w:val="0"/>
          <w:numId w:val="1009"/>
        </w:numPr>
      </w:pPr>
      <w:r>
        <w:t xml:space="preserve">Governance workflows</w:t>
      </w:r>
    </w:p>
    <w:bookmarkEnd w:id="38"/>
    <w:bookmarkStart w:id="39" w:name="timeline-alignment"/>
    <w:p>
      <w:pPr>
        <w:pStyle w:val="Heading3"/>
      </w:pPr>
      <w:r>
        <w:t xml:space="preserve">1.8.3 Timeline Alignment</w:t>
      </w:r>
    </w:p>
    <w:p>
      <w:pPr>
        <w:pStyle w:val="FirstParagraph"/>
      </w:pPr>
      <w:r>
        <w:t xml:space="preserve">This document aligns with Months 3-6 of the modernization timeline.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governance-drift-controls"/>
    <w:p>
      <w:pPr>
        <w:pStyle w:val="Heading2"/>
      </w:pPr>
      <w:r>
        <w:t xml:space="preserve">1.9 10. Governance &amp; Drift Controls</w:t>
      </w:r>
    </w:p>
    <w:bookmarkStart w:id="41" w:name="source-of-authority"/>
    <w:p>
      <w:pPr>
        <w:pStyle w:val="Heading3"/>
      </w:pPr>
      <w:r>
        <w:t xml:space="preserve">1.9.1 Source of Authority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lifecycle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Network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trust</w:t>
            </w:r>
          </w:p>
        </w:tc>
        <w:tc>
          <w:tcPr/>
          <w:p>
            <w:pPr>
              <w:pStyle w:val="Compact"/>
            </w:pPr>
            <w:r>
              <w:t xml:space="preserve">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baselines</w:t>
            </w:r>
          </w:p>
        </w:tc>
        <w:tc>
          <w:tcPr/>
          <w:p>
            <w:pPr>
              <w:pStyle w:val="Compact"/>
            </w:pPr>
            <w:r>
              <w:t xml:space="preserve">System owners</w:t>
            </w:r>
          </w:p>
        </w:tc>
      </w:tr>
    </w:tbl>
    <w:bookmarkEnd w:id="41"/>
    <w:bookmarkStart w:id="42" w:name="drift-detection"/>
    <w:p>
      <w:pPr>
        <w:pStyle w:val="Heading3"/>
      </w:pPr>
      <w:r>
        <w:t xml:space="preserve">1.9.2 Drift Detection</w:t>
      </w:r>
    </w:p>
    <w:p>
      <w:pPr>
        <w:pStyle w:val="Compact"/>
        <w:numPr>
          <w:ilvl w:val="0"/>
          <w:numId w:val="1010"/>
        </w:numPr>
      </w:pPr>
      <w:r>
        <w:t xml:space="preserve">GitHub YAML baseline comparison</w:t>
      </w:r>
    </w:p>
    <w:p>
      <w:pPr>
        <w:pStyle w:val="Compact"/>
        <w:numPr>
          <w:ilvl w:val="0"/>
          <w:numId w:val="1010"/>
        </w:numPr>
      </w:pPr>
      <w:r>
        <w:t xml:space="preserve">ServiceNow CMDB reconciliation</w:t>
      </w:r>
    </w:p>
    <w:p>
      <w:pPr>
        <w:pStyle w:val="Compact"/>
        <w:numPr>
          <w:ilvl w:val="0"/>
          <w:numId w:val="1010"/>
        </w:numPr>
      </w:pPr>
      <w:r>
        <w:t xml:space="preserve">Intune compliance</w:t>
      </w:r>
    </w:p>
    <w:p>
      <w:pPr>
        <w:pStyle w:val="Compact"/>
        <w:numPr>
          <w:ilvl w:val="0"/>
          <w:numId w:val="1010"/>
        </w:numPr>
      </w:pPr>
      <w:r>
        <w:t xml:space="preserve">SD-WAN overlay validation</w:t>
      </w:r>
    </w:p>
    <w:p>
      <w:pPr>
        <w:pStyle w:val="Compact"/>
        <w:numPr>
          <w:ilvl w:val="0"/>
          <w:numId w:val="1010"/>
        </w:numPr>
      </w:pPr>
      <w:r>
        <w:t xml:space="preserve">IPAM reconciliation</w:t>
      </w:r>
    </w:p>
    <w:bookmarkEnd w:id="42"/>
    <w:bookmarkStart w:id="43" w:name="remediation-workflow"/>
    <w:p>
      <w:pPr>
        <w:pStyle w:val="Heading3"/>
      </w:pPr>
      <w:r>
        <w:t xml:space="preserve">1.9.3 Remediation Workflow</w:t>
      </w:r>
    </w:p>
    <w:p>
      <w:pPr>
        <w:pStyle w:val="Compact"/>
        <w:numPr>
          <w:ilvl w:val="0"/>
          <w:numId w:val="1011"/>
        </w:numPr>
      </w:pPr>
      <w:r>
        <w:t xml:space="preserve">Automated ServiceNow change</w:t>
      </w:r>
    </w:p>
    <w:p>
      <w:pPr>
        <w:pStyle w:val="Compact"/>
        <w:numPr>
          <w:ilvl w:val="0"/>
          <w:numId w:val="1011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1"/>
        </w:numPr>
      </w:pPr>
      <w:r>
        <w:t xml:space="preserve">Certificate renewal</w:t>
      </w:r>
    </w:p>
    <w:p>
      <w:pPr>
        <w:pStyle w:val="Compact"/>
        <w:numPr>
          <w:ilvl w:val="0"/>
          <w:numId w:val="1011"/>
        </w:numPr>
      </w:pPr>
      <w:r>
        <w:t xml:space="preserve">IPAM correction</w:t>
      </w:r>
    </w:p>
    <w:bookmarkEnd w:id="43"/>
    <w:bookmarkStart w:id="44" w:name="audit-anchors"/>
    <w:p>
      <w:pPr>
        <w:pStyle w:val="Heading3"/>
      </w:pPr>
      <w:r>
        <w:t xml:space="preserve">1.9.4 Audit Anchors</w:t>
      </w:r>
    </w:p>
    <w:p>
      <w:pPr>
        <w:pStyle w:val="Compact"/>
        <w:numPr>
          <w:ilvl w:val="0"/>
          <w:numId w:val="1012"/>
        </w:numPr>
      </w:pPr>
      <w:r>
        <w:t xml:space="preserve">Entra ID logs</w:t>
      </w:r>
    </w:p>
    <w:p>
      <w:pPr>
        <w:pStyle w:val="Compact"/>
        <w:numPr>
          <w:ilvl w:val="0"/>
          <w:numId w:val="1012"/>
        </w:numPr>
      </w:pPr>
      <w:r>
        <w:t xml:space="preserve">Infoblox API records</w:t>
      </w:r>
    </w:p>
    <w:p>
      <w:pPr>
        <w:pStyle w:val="Compact"/>
        <w:numPr>
          <w:ilvl w:val="0"/>
          <w:numId w:val="1012"/>
        </w:numPr>
      </w:pPr>
      <w:r>
        <w:t xml:space="preserve">SD-WAN telemetry</w:t>
      </w:r>
    </w:p>
    <w:p>
      <w:pPr>
        <w:pStyle w:val="Compact"/>
        <w:numPr>
          <w:ilvl w:val="0"/>
          <w:numId w:val="1012"/>
        </w:numPr>
      </w:pPr>
      <w:r>
        <w:t xml:space="preserve">Intune compliance reports</w:t>
      </w:r>
    </w:p>
    <w:p>
      <w:pPr>
        <w:pStyle w:val="Compact"/>
        <w:numPr>
          <w:ilvl w:val="0"/>
          <w:numId w:val="1012"/>
        </w:numPr>
      </w:pPr>
      <w:r>
        <w:t xml:space="preserve">ServiceNow audit trails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appendices"/>
    <w:p>
      <w:pPr>
        <w:pStyle w:val="Heading2"/>
      </w:pPr>
      <w:r>
        <w:t xml:space="preserve">1.10 11. Appendices</w:t>
      </w:r>
    </w:p>
    <w:bookmarkStart w:id="46" w:name="appendix-a-definitions"/>
    <w:p>
      <w:pPr>
        <w:pStyle w:val="Heading3"/>
      </w:pPr>
      <w:r>
        <w:t xml:space="preserve">1.10.1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46"/>
    <w:bookmarkStart w:id="47" w:name="appendix-b-tables"/>
    <w:p>
      <w:pPr>
        <w:pStyle w:val="Heading3"/>
      </w:pPr>
      <w:r>
        <w:t xml:space="preserve">1.10.2 Appendix B: Tables</w:t>
      </w:r>
    </w:p>
    <w:p>
      <w:pPr>
        <w:pStyle w:val="FirstParagraph"/>
      </w:pPr>
      <w:r>
        <w:rPr>
          <w:i/>
          <w:iCs/>
        </w:rPr>
        <w:t xml:space="preserve">Fundamental Concept Mapping table is in Section 6.2. KSI Definitions table is in Section 8.3. Mandatory 2026 Requirements table is in Section 8.1.</w:t>
      </w:r>
    </w:p>
    <w:bookmarkEnd w:id="47"/>
    <w:bookmarkStart w:id="48" w:name="appendix-c-diagram-references"/>
    <w:p>
      <w:pPr>
        <w:pStyle w:val="Heading3"/>
      </w:pPr>
      <w:r>
        <w:t xml:space="preserve">1.10.3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48"/>
    <w:bookmarkStart w:id="49" w:name="appendix-d-evidence-sources"/>
    <w:p>
      <w:pPr>
        <w:pStyle w:val="Heading3"/>
      </w:pPr>
      <w:r>
        <w:t xml:space="preserve">1.10.4 Appendix D: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bookmarkEnd w:id="49"/>
    <w:bookmarkStart w:id="50" w:name="appendix-e-ksi-reference-model"/>
    <w:p>
      <w:pPr>
        <w:pStyle w:val="Heading3"/>
      </w:pPr>
      <w:r>
        <w:t xml:space="preserve">1.10.5 Appendix E: KSI Reference Model</w:t>
      </w:r>
    </w:p>
    <w:p>
      <w:pPr>
        <w:pStyle w:val="FirstParagraph"/>
      </w:pPr>
      <w:r>
        <w:rPr>
          <w:i/>
          <w:iCs/>
        </w:rPr>
        <w:t xml:space="preserve">KSI definitions are in Section 8.3. Machine-readable KSI mappings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vision-history"/>
    <w:p>
      <w:pPr>
        <w:pStyle w:val="Heading2"/>
      </w:pPr>
      <w:r>
        <w:t xml:space="preserve">1.11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Fedramp20X Crosswalk</dc:title>
  <dc:creator>UIAO Modernization Program</dc:creator>
  <dc:language>en</dc:language>
  <cp:keywords/>
  <dcterms:created xsi:type="dcterms:W3CDTF">2026-03-31T17:00:44Z</dcterms:created>
  <dcterms:modified xsi:type="dcterms:W3CDTF">2026-03-31T17:00:44Z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