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5C"/>
        </w:rPr>
        <w:t>UIAO TIC 3.0 Roadmap</w:t>
      </w:r>
    </w:p>
    <w:p>
      <w:pPr>
        <w:spacing w:before="120" w:after="120" w:line="276" w:lineRule="auto"/>
      </w:pPr>
      <w:r>
        <w:rPr>
          <w:rFonts w:ascii="Calibri" w:hAnsi="Calibri"/>
          <w:b/>
          <w:i w:val="0"/>
          <w:sz w:val="22"/>
        </w:rPr>
        <w:t>Version 1.0</w:t>
      </w:r>
    </w:p>
    <w:p>
      <w:pPr>
        <w:pStyle w:val="Heading1"/>
      </w:pPr>
      <w:r>
        <w:rPr>
          <w:color w:val="1B3A5C"/>
        </w:rPr>
        <w:t>Control Planes Supporting TIC 3.0</w:t>
      </w:r>
    </w:p>
    <w:p>
      <w:pPr>
        <w:pStyle w:val="Heading3"/>
      </w:pPr>
      <w:r>
        <w:rPr>
          <w:color w:val="1B3A5C"/>
        </w:rPr>
        <w:t>1. Identity Control Plane</w:t>
      </w:r>
    </w:p>
    <w:p>
      <w:pPr>
        <w:spacing w:before="120" w:after="120" w:line="276" w:lineRule="auto"/>
      </w:pPr>
      <w:r>
        <w:rPr>
          <w:rFonts w:ascii="Calibri" w:hAnsi="Calibri"/>
          <w:sz w:val="22"/>
        </w:rPr>
        <w:t>The Identity Control Plane is anchored in Entra ID and reinforced by ICAM governance, Conditional Access, Privileged Identity Management, and lifecycle automation. Identity becomes the authoritative source for access, addressing, certificates, and policy.</w:t>
      </w:r>
    </w:p>
    <w:p>
      <w:pPr>
        <w:pStyle w:val="Heading3"/>
      </w:pPr>
      <w:r>
        <w:rPr>
          <w:color w:val="1B3A5C"/>
        </w:rPr>
        <w:t>2. Network Control Plane</w:t>
      </w:r>
    </w:p>
    <w:p>
      <w:pPr>
        <w:spacing w:before="120" w:after="120" w:line="276" w:lineRule="auto"/>
      </w:pPr>
      <w:r>
        <w:rPr>
          <w:rFonts w:ascii="Calibri" w:hAnsi="Calibri"/>
          <w:sz w:val="22"/>
        </w:rPr>
        <w:t>The Network Control Plane uses Cisco SD-WAN to deliver cloud-first routing, performance-optimized paths for M365, and identity-aware segmentation. Integration with INR enables location-aware routing and emergency services readiness.</w:t>
      </w:r>
    </w:p>
    <w:p>
      <w:pPr>
        <w:pStyle w:val="Heading3"/>
      </w:pPr>
      <w:r>
        <w:rPr>
          <w:color w:val="1B3A5C"/>
        </w:rPr>
        <w:t>3. Addressing Control Plane</w:t>
      </w:r>
    </w:p>
    <w:p>
      <w:pPr>
        <w:spacing w:before="120" w:after="120" w:line="276" w:lineRule="auto"/>
      </w:pPr>
      <w:r>
        <w:rPr>
          <w:rFonts w:ascii="Calibri" w:hAnsi="Calibri"/>
          <w:sz w:val="22"/>
        </w:rPr>
        <w:t>The Addressing Control Plane modernizes IPAM through InfoBlox, replacing spreadsheets with authoritative, identity-derived addressing. DNS and DHCP are unified across cloud and on-prem environments, enabling consistent policy enforcement and accurate telemetry correlation.</w:t>
      </w:r>
    </w:p>
    <w:p>
      <w:pPr>
        <w:pStyle w:val="Heading3"/>
      </w:pPr>
      <w:r>
        <w:rPr>
          <w:color w:val="1B3A5C"/>
        </w:rPr>
        <w:t>4. Telemetry &amp; Location Control Plane</w:t>
      </w:r>
    </w:p>
    <w:p>
      <w:pPr>
        <w:spacing w:before="120" w:after="120" w:line="276" w:lineRule="auto"/>
      </w:pPr>
      <w:r>
        <w:rPr>
          <w:rFonts w:ascii="Calibri" w:hAnsi="Calibri"/>
          <w:sz w:val="22"/>
        </w:rPr>
        <w:t>The Telemetry and Location Control Plane consolidates signals from M365, SD-WAN, endpoints, DNS, CDM/CLAW, and SIEM platforms. Telemetry becomes a real-time control input for routing, security, and compliance, enabling conversation-level visibility across the enterprise.</w:t>
      </w:r>
    </w:p>
    <w:p>
      <w:pPr>
        <w:pStyle w:val="Heading3"/>
      </w:pPr>
      <w:r>
        <w:rPr>
          <w:color w:val="1B3A5C"/>
        </w:rPr>
        <w:t>5. Security &amp; Compliance Plane</w:t>
      </w:r>
    </w:p>
    <w:p>
      <w:pPr>
        <w:spacing w:before="120" w:after="120" w:line="276" w:lineRule="auto"/>
      </w:pPr>
      <w:r>
        <w:rPr>
          <w:rFonts w:ascii="Calibri" w:hAnsi="Calibri"/>
          <w:sz w:val="22"/>
        </w:rPr>
        <w:t>The Security and Compliance Plane aligns the architecture with TIC 3.0, Zero Trust, FedRAMP 20x Phase 2, NIST 800-63, and ICAM governance. Security becomes embedded in the architecture rather than bolted on, with automated enforcement replacing manual review.</w:t>
      </w:r>
    </w:p>
    <w:p>
      <w:pPr>
        <w:pStyle w:val="Heading1"/>
      </w:pPr>
      <w:r>
        <w:rPr>
          <w:color w:val="1B3A5C"/>
        </w:rPr>
        <w:t>Frozen State Risks (TIC 3.0 Impact)</w:t>
      </w:r>
    </w:p>
    <w:p>
      <w:pPr>
        <w:spacing w:before="120" w:after="120" w:line="276" w:lineRule="auto"/>
      </w:pPr>
      <w:r>
        <w:rPr>
          <w:rFonts w:ascii="Calibri" w:hAnsi="Calibri"/>
          <w:sz w:val="22"/>
        </w:rPr>
        <w:t>The current state is not a failure of effort. Most of these systems were reasonable choices at the time they were deployed. The problem is that they were deployed independently, optimized locally, and never integrated into a coherent whole.</w:t>
      </w:r>
    </w:p>
    <w:p>
      <w:pPr>
        <w:spacing w:before="120" w:after="120" w:line="276" w:lineRule="auto"/>
      </w:pPr>
      <w:r>
        <w:rPr>
          <w:rFonts w:ascii="Calibri" w:hAnsi="Calibri"/>
          <w:sz w:val="22"/>
        </w:rPr>
        <w:t>Identity is split across eight AD forests. Some divisions use Entra ID. Some do not. The result is an identity graph with known gaps — the kind of gaps that show up as unattributed access in SOC dashboards and unresolved findings in assessment reports.</w:t>
      </w:r>
    </w:p>
    <w:p>
      <w:pPr>
        <w:spacing w:before="120" w:after="120" w:line="276" w:lineRule="auto"/>
      </w:pPr>
      <w:r>
        <w:rPr>
          <w:rFonts w:ascii="Calibri" w:hAnsi="Calibri"/>
          <w:sz w:val="22"/>
        </w:rPr>
        <w:t>Addressing is manual. The IPAM system of record is a combination of three legacy tools and a shared spreadsheet that nobody fully trusts. IP-to-user correlation during incidents is a multi-day exercise.</w:t>
      </w:r>
    </w:p>
    <w:p>
      <w:pPr>
        <w:spacing w:before="120" w:after="120" w:line="276" w:lineRule="auto"/>
      </w:pPr>
      <w:r>
        <w:rPr>
          <w:rFonts w:ascii="Calibri" w:hAnsi="Calibri"/>
          <w:sz w:val="22"/>
        </w:rPr>
        <w:t>Network security relies on perimeter controls that were designed for an environment where all users were on-premises and all traffic went through a known boundary. That environment no longer exists. Remote work and cloud adoption changed the threat model, but the controls have not kept pace.</w:t>
      </w:r>
    </w:p>
    <w:p>
      <w:pPr>
        <w:spacing w:before="120" w:after="120" w:line="276" w:lineRule="auto"/>
      </w:pPr>
      <w:r>
        <w:rPr>
          <w:rFonts w:ascii="Calibri" w:hAnsi="Calibri"/>
          <w:sz w:val="22"/>
        </w:rPr>
        <w:t>Telemetry exists but is not correlated. The agency has Splunk. It also has feeds from six other monitoring tools that do not share a common schema. Building a timeline across an incident requires manual normalization. That is a solvable problem, but it has not been solved yet.</w:t>
      </w:r>
    </w:p>
    <w:p>
      <w:pPr>
        <w:spacing w:before="120" w:after="120" w:line="276" w:lineRule="auto"/>
      </w:pPr>
      <w:r>
        <w:rPr>
          <w:rFonts w:ascii="Calibri" w:hAnsi="Calibri"/>
          <w:sz w:val="22"/>
        </w:rPr>
        <w:t>Governance runs on email and manual change tickets. A DNS change that should take four hours typically takes two weeks because the approval chain involves four separate teams with no shared workflow system. This is not a people problem. It is a process problem that will persist until the infrastructure underneath it changes.</w:t>
      </w:r>
    </w:p>
    <w:p>
      <w:pPr>
        <w:pStyle w:val="Heading2"/>
      </w:pPr>
      <w:r>
        <w:rPr>
          <w:color w:val="1B3A5C"/>
        </w:rPr>
        <w:t>The Perimeter Collapse: TIC 2.2 to UIAO (Visual V4)</w:t>
      </w:r>
    </w:p>
    <w:p>
      <w:pPr>
        <w:spacing w:before="120" w:after="120" w:line="276" w:lineRule="auto"/>
      </w:pPr>
      <w:r>
        <w:rPr>
          <w:rFonts w:ascii="Calibri" w:hAnsi="Calibri"/>
          <w:sz w:val="22"/>
        </w:rPr>
        <w:t xml:space="preserve">The "Modernization Atlas" visualizes the fundamental shift from rigid, hardware-bound perimeters to a flexible, software-defined trust fabric. The following table details the </w:t>
      </w:r>
      <w:r>
        <w:rPr>
          <w:rFonts w:ascii="Calibri" w:hAnsi="Calibri"/>
          <w:b/>
          <w:i w:val="0"/>
          <w:sz w:val="22"/>
        </w:rPr>
        <w:t>Perimeter Collapse</w:t>
      </w:r>
      <w:r>
        <w:rPr>
          <w:rFonts w:ascii="Calibri" w:hAnsi="Calibri"/>
          <w:sz w:val="22"/>
        </w:rPr>
        <w:t>—the decommissioning of legacy silos in favor of the UIAO model.</w:t>
      </w:r>
    </w:p>
    <w:tbl>
      <w:tblPr>
        <w:tblStyle w:val="LightList-Accent1"/>
        <w:tblW w:type="auto" w:w="0"/>
        <w:tblLayout w:type="autofit"/>
        <w:tblLook w:firstColumn="1" w:firstRow="1" w:lastColumn="0" w:lastRow="0" w:noHBand="0" w:noVBand="1" w:val="04A0"/>
      </w:tblPr>
      <w:tblGrid>
        <w:gridCol w:w="2340"/>
        <w:gridCol w:w="2340"/>
        <w:gridCol w:w="2340"/>
        <w:gridCol w:w="2340"/>
      </w:tblGrid>
      <w:tr>
        <w:tc>
          <w:tcPr>
            <w:tcW w:type="dxa" w:w="2340"/>
          </w:tcPr>
          <w:p>
            <w:r>
              <w:rPr>
                <w:b/>
                <w:sz w:val="18"/>
              </w:rPr>
              <w:t>Modernization Pillar</w:t>
            </w:r>
          </w:p>
        </w:tc>
        <w:tc>
          <w:tcPr>
            <w:tcW w:type="dxa" w:w="2340"/>
          </w:tcPr>
          <w:p>
            <w:r>
              <w:rPr>
                <w:b/>
                <w:sz w:val="18"/>
              </w:rPr>
              <w:t>Legacy State (TIC 2.2)</w:t>
            </w:r>
          </w:p>
        </w:tc>
        <w:tc>
          <w:tcPr>
            <w:tcW w:type="dxa" w:w="2340"/>
          </w:tcPr>
          <w:p>
            <w:r>
              <w:rPr>
                <w:b/>
                <w:sz w:val="18"/>
              </w:rPr>
              <w:t>UIAO Future State (TIC 3.0)</w:t>
            </w:r>
          </w:p>
        </w:tc>
        <w:tc>
          <w:tcPr>
            <w:tcW w:type="dxa" w:w="2340"/>
          </w:tcPr>
          <w:p>
            <w:r>
              <w:rPr>
                <w:b/>
                <w:sz w:val="18"/>
              </w:rPr>
              <w:t>Strategic Mission Impact</w:t>
            </w:r>
          </w:p>
        </w:tc>
      </w:tr>
    </w:tbl>
    <w:p>
      <w:pPr>
        <w:spacing w:before="120" w:after="120" w:line="276" w:lineRule="auto"/>
      </w:pPr>
      <w:r>
        <w:rPr>
          <w:rFonts w:ascii="Calibri" w:hAnsi="Calibri"/>
          <w:sz w:val="22"/>
        </w:rPr>
        <w:t xml:space="preserve">&gt; </w:t>
      </w:r>
      <w:r>
        <w:rPr>
          <w:rFonts w:ascii="Calibri" w:hAnsi="Calibri"/>
          <w:b/>
          <w:i w:val="0"/>
          <w:sz w:val="22"/>
        </w:rPr>
        <w:t>Foreman's Directive:</w:t>
      </w:r>
      <w:r>
        <w:rPr>
          <w:rFonts w:ascii="Calibri" w:hAnsi="Calibri"/>
          <w:sz w:val="22"/>
        </w:rPr>
        <w:t xml:space="preserve"> This transition is verified by the </w:t>
      </w:r>
      <w:r>
        <w:rPr>
          <w:rFonts w:ascii="Calibri" w:hAnsi="Calibri"/>
          <w:b/>
          <w:i w:val="0"/>
          <w:sz w:val="22"/>
        </w:rPr>
        <w:t>V4 Modernization Atlas</w:t>
      </w:r>
      <w:r>
        <w:rPr>
          <w:rFonts w:ascii="Calibri" w:hAnsi="Calibri"/>
          <w:sz w:val="22"/>
        </w:rPr>
        <w:t xml:space="preserve"> graphic. By collapsing these silos, </w:t>
      </w:r>
      <w:r>
        <w:rPr>
          <w:rFonts w:ascii="Calibri" w:hAnsi="Calibri"/>
          <w:b/>
          <w:i w:val="0"/>
          <w:sz w:val="22"/>
        </w:rPr>
        <w:t>the agency</w:t>
      </w:r>
      <w:r>
        <w:rPr>
          <w:rFonts w:ascii="Calibri" w:hAnsi="Calibri"/>
          <w:sz w:val="22"/>
        </w:rPr>
        <w:t xml:space="preserve"> achieves the 'Advanced' level in the Network/Environment pillar of the CISA Zero Trust Maturity Model.</w:t>
      </w:r>
    </w:p>
    <w:p>
      <w:pPr>
        <w:spacing w:after="80"/>
      </w:pPr>
    </w:p>
    <w:p>
      <w:pPr>
        <w:spacing w:before="120" w:after="120" w:line="276" w:lineRule="auto"/>
      </w:pPr>
      <w:r>
        <w:rPr>
          <w:rFonts w:ascii="Calibri" w:hAnsi="Calibri"/>
          <w:b w:val="0"/>
          <w:i/>
          <w:sz w:val="22"/>
        </w:rPr>
        <w:t>End of TIC 3.0 Roadmap v1.0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CUI | UIAO Program | Generated 2026-04-10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