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12.png" ContentType="image/png"/>
  <Override PartName="/word/media/rId9.png" ContentType="image/png"/>
  <Override PartName="/word/media/rId15.png" ContentType="image/png"/>
  <Override PartName="/word/media/rId40.png" ContentType="image/png"/>
  <Override PartName="/word/media/rId46.png" ContentType="image/png"/>
  <Override PartName="/word/media/rId51.png" ContentType="image/png"/>
  <Override PartName="/word/media/rId65.png" ContentType="image/png"/>
  <Override PartName="/word/media/rId84.png" ContentType="image/png"/>
  <Override PartName="/word/media/rId18.png" ContentType="image/png"/>
  <Override PartName="/word/media/rId22.png" ContentType="image/png"/>
  <Override PartName="/word/media/rId26.png" ContentType="image/png"/>
  <Override PartName="/word/media/rId55.png" ContentType="image/png"/>
  <Override PartName="/word/media/rId36.png" ContentType="image/png"/>
  <Override PartName="/word/media/rId73.png" ContentType="image/png"/>
  <Override PartName="/word/media/rId76.png" ContentType="image/png"/>
  <Override PartName="/word/media/rId68.png" ContentType="image/png"/>
  <Override PartName="/word/media/rId92.png" ContentType="image/png"/>
  <Override PartName="/word/media/rId98.png" ContentType="image/png"/>
  <Override PartName="/word/media/rId29.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11:40 ET</w:t>
            </w:r>
          </w:p>
          <w:p/>
        </w:tc>
      </w:tr>
    </w:tbl>
    <w:p>
      <w:pPr>
        <w:pStyle w:val="BodyText"/>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6" name="Picture"/>
            <a:graphic>
              <a:graphicData uri="http://schemas.openxmlformats.org/drawingml/2006/picture">
                <pic:pic>
                  <pic:nvPicPr>
                    <pic:cNvPr descr="figs/mf-fig-01-four-acts.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1"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9" name="Picture"/>
            <a:graphic>
              <a:graphicData uri="http://schemas.openxmlformats.org/drawingml/2006/picture">
                <pic:pic>
                  <pic:nvPicPr>
                    <pic:cNvPr descr="figs/mf-fig-07-mainframe-scene.png"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21"/>
    <w:bookmarkStart w:id="25"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3" name="Picture"/>
            <a:graphic>
              <a:graphicData uri="http://schemas.openxmlformats.org/drawingml/2006/picture">
                <pic:pic>
                  <pic:nvPicPr>
                    <pic:cNvPr descr="figs/mf-fig-08-decentralization.png" id="24" name="Picture"/>
                    <pic:cNvPicPr>
                      <a:picLocks noChangeArrowheads="1" noChangeAspect="1"/>
                    </pic:cNvPicPr>
                  </pic:nvPicPr>
                  <pic:blipFill>
                    <a:blip r:embed="rId2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5"/>
    <w:bookmarkStart w:id="35"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7" name="Picture"/>
            <a:graphic>
              <a:graphicData uri="http://schemas.openxmlformats.org/drawingml/2006/picture">
                <pic:pic>
                  <pic:nvPicPr>
                    <pic:cNvPr descr="figs/mf-fig-09-security-stacking.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32"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p>
      <w:pPr>
        <w:pStyle w:val="CaptionedFigure"/>
      </w:pPr>
      <w:r>
        <w:drawing>
          <wp:inline>
            <wp:extent cx="5334000" cy="3000375"/>
            <wp:effectExtent b="0" l="0" r="0" t="0"/>
            <wp:docPr descr="Asymmetric routing — broken with perfect latency, structurally removed by the overlay" title="" id="30" name="Picture"/>
            <a:graphic>
              <a:graphicData uri="http://schemas.openxmlformats.org/drawingml/2006/picture">
                <pic:pic>
                  <pic:nvPicPr>
                    <pic:cNvPr descr="figs/mf-fig-17-asymmetric-routing.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Asymmetric routing — broken with perfect latency, structurally removed by the overlay</w:t>
      </w:r>
    </w:p>
    <w:bookmarkEnd w:id="32"/>
    <w:bookmarkStart w:id="34"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33">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4"/>
    <w:bookmarkEnd w:id="35"/>
    <w:bookmarkStart w:id="39"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7" name="Picture"/>
            <a:graphic>
              <a:graphicData uri="http://schemas.openxmlformats.org/drawingml/2006/picture">
                <pic:pic>
                  <pic:nvPicPr>
                    <pic:cNvPr descr="figs/mf-fig-11-four-environments.png" id="38" name="Picture"/>
                    <pic:cNvPicPr>
                      <a:picLocks noChangeArrowheads="1" noChangeAspect="1"/>
                    </pic:cNvPicPr>
                  </pic:nvPicPr>
                  <pic:blipFill>
                    <a:blip r:embed="rId3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9"/>
    <w:bookmarkStart w:id="45"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41" name="Picture"/>
            <a:graphic>
              <a:graphicData uri="http://schemas.openxmlformats.org/drawingml/2006/picture">
                <pic:pic>
                  <pic:nvPicPr>
                    <pic:cNvPr descr="figs/mf-fig-02-physics-floor.png" id="42" name="Picture"/>
                    <pic:cNvPicPr>
                      <a:picLocks noChangeArrowheads="1" noChangeAspect="1"/>
                    </pic:cNvPicPr>
                  </pic:nvPicPr>
                  <pic:blipFill>
                    <a:blip r:embed="rId40"/>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43"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travels</w:t>
      </w:r>
      <w:r>
        <w:t xml:space="preserve"> </w:t>
      </w:r>
      <w:r>
        <w:rPr>
          <w:b/>
          <w:bCs/>
        </w:rPr>
        <w:t xml:space="preserve">50% faster</w:t>
      </w:r>
      <w:r>
        <w:t xml:space="preserve"> </w:t>
      </w:r>
      <w:r>
        <w:t xml:space="preserve">than a signal through fiber — it covers the same distance in about one-third less time.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r>
        <w:t xml:space="preserve"> </w:t>
      </w:r>
      <w:r>
        <w:t xml:space="preserve">Two caveats bound the claim: inter-satellite laser routing is not guaranteed on domestic paths (traffic may be bent down to a nearby ground station and ride terrestrial backbone anyway), and satellite-to-satellite handovers introduce jitter that matters for voice — the G.114 jitter-buffer analysis in Book 06 §2.3 applies. The overlay’s continuous per-path measurement is what makes LEO usable despite both: it steers voice off the satellite path when jitter degrades and back when it recovers.</w:t>
      </w:r>
    </w:p>
    <w:bookmarkEnd w:id="43"/>
    <w:bookmarkStart w:id="44"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slot duration reduces the fundamental waiting time — approximately 0.5 ms slots at the mid-band sub-6 GHz numerology (30 kHz subcarrier spacing), shrinking to 0.125 ms at mmWave (120 kHz), versus 1 ms in LTE.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4"/>
    <w:bookmarkEnd w:id="45"/>
    <w:bookmarkStart w:id="50"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7" name="Picture"/>
            <a:graphic>
              <a:graphicData uri="http://schemas.openxmlformats.org/drawingml/2006/picture">
                <pic:pic>
                  <pic:nvPicPr>
                    <pic:cNvPr descr="figs/mf-fig-03-packet-vs-aan.png" id="48" name="Picture"/>
                    <pic:cNvPicPr>
                      <a:picLocks noChangeArrowheads="1" noChangeAspect="1"/>
                    </pic:cNvPicPr>
                  </pic:nvPicPr>
                  <pic:blipFill>
                    <a:blip r:embed="rId4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9"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9"/>
    <w:bookmarkEnd w:id="50"/>
    <w:bookmarkStart w:id="62"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52" name="Picture"/>
            <a:graphic>
              <a:graphicData uri="http://schemas.openxmlformats.org/drawingml/2006/picture">
                <pic:pic>
                  <pic:nvPicPr>
                    <pic:cNvPr descr="figs/mf-fig-04-multipath.png" id="53" name="Picture"/>
                    <pic:cNvPicPr>
                      <a:picLocks noChangeArrowheads="1" noChangeAspect="1"/>
                    </pic:cNvPicPr>
                  </pic:nvPicPr>
                  <pic:blipFill>
                    <a:blip r:embed="rId5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54"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4"/>
    <w:bookmarkStart w:id="59"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Why Kerberos Breaks in the Cloud: The Session Contract Assumption" title="" id="56" name="Picture"/>
            <a:graphic>
              <a:graphicData uri="http://schemas.openxmlformats.org/drawingml/2006/picture">
                <pic:pic>
                  <pic:nvPicPr>
                    <pic:cNvPr descr="figs/mf-fig-10-kerberos-breaks.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Why Kerberos Breaks in the Cloud: The Session Contract Assumption</w:t>
      </w:r>
    </w:p>
    <w:p>
      <w:pPr>
        <w:pStyle w:val="BlockText"/>
      </w:pPr>
      <w:r>
        <w:t xml:space="preserve">Note the mechanism in the figure’s right panel: the failure is</w:t>
      </w:r>
      <w:r>
        <w:t xml:space="preserve"> </w:t>
      </w:r>
      <w:r>
        <w:rPr>
          <w:i/>
          <w:iCs/>
        </w:rPr>
        <w:t xml:space="preserve">KDC unreachability at ticket issuance</w:t>
      </w:r>
      <w:r>
        <w:t xml:space="preserve"> </w:t>
      </w:r>
      <w:r>
        <w:t xml:space="preserve">and</w:t>
      </w:r>
      <w:r>
        <w:t xml:space="preserve"> </w:t>
      </w:r>
      <w:r>
        <w:rPr>
          <w:i/>
          <w:iCs/>
        </w:rPr>
        <w:t xml:space="preserve">middlebox session breaks</w:t>
      </w:r>
      <w:r>
        <w:t xml:space="preserve"> </w:t>
      </w:r>
      <w:r>
        <w:t xml:space="preserve">— not the multipath overlay, which resequences packets and holds the transport session across path switches.</w:t>
      </w:r>
      <w:r>
        <w:t xml:space="preserve"> </w:t>
      </w:r>
      <w:hyperlink r:id="rId58">
        <w:r>
          <w:rPr>
            <w:rStyle w:val="Hyperlink"/>
          </w:rPr>
          <w:t xml:space="preserve">Book 03</w:t>
        </w:r>
      </w:hyperlink>
      <w:r>
        <w:t xml:space="preserve"> </w:t>
      </w:r>
      <w:r>
        <w:t xml:space="preserve">develops the full corrected argument.</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9"/>
    <w:bookmarkStart w:id="60"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60"/>
    <w:bookmarkStart w:id="61"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61"/>
    <w:bookmarkEnd w:id="62"/>
    <w:bookmarkStart w:id="64"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63">
        <w:r>
          <w:rPr>
            <w:rStyle w:val="Hyperlink"/>
          </w:rPr>
          <w:t xml:space="preserve">Book 06</w:t>
        </w:r>
      </w:hyperlink>
      <w:r>
        <w:t xml:space="preserve">.</w:t>
      </w:r>
    </w:p>
    <w:bookmarkEnd w:id="64"/>
    <w:bookmarkStart w:id="88"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66" name="Picture"/>
            <a:graphic>
              <a:graphicData uri="http://schemas.openxmlformats.org/drawingml/2006/picture">
                <pic:pic>
                  <pic:nvPicPr>
                    <pic:cNvPr descr="figs/mf-fig-05-four-principles.png" id="67" name="Picture"/>
                    <pic:cNvPicPr>
                      <a:picLocks noChangeArrowheads="1" noChangeAspect="1"/>
                    </pic:cNvPicPr>
                  </pic:nvPicPr>
                  <pic:blipFill>
                    <a:blip r:embed="rId65"/>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71"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9" name="Picture"/>
            <a:graphic>
              <a:graphicData uri="http://schemas.openxmlformats.org/drawingml/2006/picture">
                <pic:pic>
                  <pic:nvPicPr>
                    <pic:cNvPr descr="figs/mf-fig-14-ssot-restoration.png" id="70" name="Picture"/>
                    <pic:cNvPicPr>
                      <a:picLocks noChangeArrowheads="1" noChangeAspect="1"/>
                    </pic:cNvPicPr>
                  </pic:nvPicPr>
                  <pic:blipFill>
                    <a:blip r:embed="rId6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71"/>
    <w:bookmarkStart w:id="72"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72"/>
    <w:bookmarkStart w:id="79"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74" name="Picture"/>
            <a:graphic>
              <a:graphicData uri="http://schemas.openxmlformats.org/drawingml/2006/picture">
                <pic:pic>
                  <pic:nvPicPr>
                    <pic:cNvPr descr="figs/mf-fig-12-token-vs-session.png" id="75" name="Picture"/>
                    <pic:cNvPicPr>
                      <a:picLocks noChangeArrowheads="1" noChangeAspect="1"/>
                    </pic:cNvPicPr>
                  </pic:nvPicPr>
                  <pic:blipFill>
                    <a:blip r:embed="rId7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7" name="Picture"/>
            <a:graphic>
              <a:graphicData uri="http://schemas.openxmlformats.org/drawingml/2006/picture">
                <pic:pic>
                  <pic:nvPicPr>
                    <pic:cNvPr descr="figs/mf-fig-13-fedramp-20x-mainframe.png" id="78" name="Picture"/>
                    <pic:cNvPicPr>
                      <a:picLocks noChangeArrowheads="1" noChangeAspect="1"/>
                    </pic:cNvPicPr>
                  </pic:nvPicPr>
                  <pic:blipFill>
                    <a:blip r:embed="rId7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9"/>
    <w:bookmarkStart w:id="83"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83"/>
    <w:bookmarkStart w:id="87"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85" name="Picture"/>
            <a:graphic>
              <a:graphicData uri="http://schemas.openxmlformats.org/drawingml/2006/picture">
                <pic:pic>
                  <pic:nvPicPr>
                    <pic:cNvPr descr="figs/mf-fig-06-active-governance.png" id="86" name="Picture"/>
                    <pic:cNvPicPr>
                      <a:picLocks noChangeArrowheads="1" noChangeAspect="1"/>
                    </pic:cNvPicPr>
                  </pic:nvPicPr>
                  <pic:blipFill>
                    <a:blip r:embed="rId8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7"/>
    <w:bookmarkEnd w:id="88"/>
    <w:bookmarkStart w:id="89"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9"/>
    <w:bookmarkStart w:id="118" w:name="appendix-cisco-inr"/>
    <w:p>
      <w:pPr>
        <w:pStyle w:val="Heading1"/>
      </w:pPr>
      <w:r>
        <w:t xml:space="preserve">11. Appendix A — Cisco Catalyst SD-WAN and Microsoft 365 Informed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365 Informed Network Routing (INR)</w:t>
            </w:r>
            <w:r>
              <w:t xml:space="preserve"> </w:t>
            </w:r>
            <w:r>
              <w:t xml:space="preserve">as the M365 traffic optimization layer.</w:t>
            </w:r>
          </w:p>
          <w:p/>
        </w:tc>
      </w:tr>
    </w:tbl>
    <w:bookmarkStart w:id="97"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93" name="Picture"/>
            <a:graphic>
              <a:graphicData uri="http://schemas.openxmlformats.org/drawingml/2006/picture">
                <pic:pic>
                  <pic:nvPicPr>
                    <pic:cNvPr descr="figs/mf-fig-15-cisco-sdwan-planes.png" id="94" name="Picture"/>
                    <pic:cNvPicPr>
                      <a:picLocks noChangeArrowheads="1" noChangeAspect="1"/>
                    </pic:cNvPicPr>
                  </pic:nvPicPr>
                  <pic:blipFill>
                    <a:blip r:embed="rId92"/>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7"/>
    <w:bookmarkStart w:id="101" w:name="X1cc2c2fdda035eba6a75dd47ba1014ed9ab226c"/>
    <w:p>
      <w:pPr>
        <w:pStyle w:val="Heading2"/>
      </w:pPr>
      <w:r>
        <w:t xml:space="preserve">11.2 A.2 — Microsoft 365 Informed Network Routing: What It Is</w:t>
      </w:r>
    </w:p>
    <w:p>
      <w:pPr>
        <w:pStyle w:val="FirstParagraph"/>
      </w:pPr>
      <w:r>
        <w:rPr>
          <w:b/>
          <w:bCs/>
        </w:rPr>
        <w:t xml:space="preserve">Microsoft 365 Informed Network Routing (INR)</w:t>
      </w:r>
      <w:r>
        <w:t xml:space="preserve"> </w:t>
      </w:r>
      <w:r>
        <w:t xml:space="preserve">is Microsoft’s named capability for sharing M365 path telemetry with partner SD-WAN platforms — and, more broadly,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365 Informed Network Routing — Local Breakout vs. Backhaul" title="" id="99" name="Picture"/>
            <a:graphic>
              <a:graphicData uri="http://schemas.openxmlformats.org/drawingml/2006/picture">
                <pic:pic>
                  <pic:nvPicPr>
                    <pic:cNvPr descr="figs/mf-fig-16-inr-routing.png" id="100" name="Picture"/>
                    <pic:cNvPicPr>
                      <a:picLocks noChangeArrowheads="1" noChangeAspect="1"/>
                    </pic:cNvPicPr>
                  </pic:nvPicPr>
                  <pic:blipFill>
                    <a:blip r:embed="rId98"/>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365 Informed Network Routing — Local Breakout vs. Backhaul</w:t>
      </w:r>
    </w:p>
    <w:bookmarkEnd w:id="101"/>
    <w:bookmarkStart w:id="102"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102"/>
    <w:bookmarkStart w:id="108"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105"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105"/>
    <w:bookmarkStart w:id="106"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106"/>
    <w:bookmarkStart w:id="107"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7"/>
    <w:bookmarkEnd w:id="108"/>
    <w:bookmarkStart w:id="111"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11"/>
    <w:bookmarkStart w:id="117"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CaptionedFigure"/>
      </w:pPr>
      <w:r>
        <w:drawing>
          <wp:inline>
            <wp:extent cx="5334000" cy="3000375"/>
            <wp:effectExtent b="0" l="0" r="0" t="0"/>
            <wp:docPr descr="The greenfield implementation sequence — boundary first, evidence last" title="" id="113" name="Picture"/>
            <a:graphic>
              <a:graphicData uri="http://schemas.openxmlformats.org/drawingml/2006/picture">
                <pic:pic>
                  <pic:nvPicPr>
                    <pic:cNvPr descr="figs/mf-fig-18-inr-implementation-sequence.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greenfield implementation sequence — boundary first, evidence last</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84" Target="media/rId8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hyperlink" Id="rId33" Target="Book_01_FedAAN_SSA_Landing_Zone_IPAM_FedRAMP.qmd" TargetMode="External" /><Relationship Type="http://schemas.openxmlformats.org/officeDocument/2006/relationships/hyperlink" Id="rId58" Target="Book_03_FedAAN_Certificates_Tokens_Cryptographic_Identity.qmd" TargetMode="External" /><Relationship Type="http://schemas.openxmlformats.org/officeDocument/2006/relationships/hyperlink" Id="rId63"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3" Target="Book_01_FedAAN_SSA_Landing_Zone_IPAM_FedRAMP.qmd" TargetMode="External" /><Relationship Type="http://schemas.openxmlformats.org/officeDocument/2006/relationships/hyperlink" Id="rId58" Target="Book_03_FedAAN_Certificates_Tokens_Cryptographic_Identity.qmd" TargetMode="External" /><Relationship Type="http://schemas.openxmlformats.org/officeDocument/2006/relationships/hyperlink" Id="rId63"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2026-07-08T12:58:31Z</dcterms:created>
  <dcterms:modified xsi:type="dcterms:W3CDTF">2026-07-08T12:58:31Z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