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independent assessor (3PAO if engaged)</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machine-accessible privacy notices for the CSOs it</w:t>
      </w:r>
      <w:r>
        <w:t xml:space="preserve"> </w:t>
      </w:r>
      <w:r>
        <w:t xml:space="preserve">authorizes; this series adopts the same standard for the agency package — a</w:t>
      </w:r>
      <w:r>
        <w:t xml:space="preserve"> </w:t>
      </w:r>
      <w:r>
        <w:t xml:space="preserve">stable, publicly reachable URL that independent assessors can validate without</w:t>
      </w:r>
      <w:r>
        <w:t xml:space="preserve"> </w:t>
      </w:r>
      <w:r>
        <w:t xml:space="preserve">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Package Reviewers:</w:t>
      </w:r>
      <w:r>
        <w:t xml:space="preserve"> </w:t>
      </w:r>
      <w:r>
        <w:t xml:space="preserve">Until FedRAMP PMO publishes explicit</w:t>
      </w:r>
      <w:r>
        <w:t xml:space="preserve"> </w:t>
      </w:r>
      <w:r>
        <w:t xml:space="preserve">PT → KSI mappings for the 20x schema, document PT control evidence in the</w:t>
      </w:r>
      <w:r>
        <w:t xml:space="preserve"> </w:t>
      </w:r>
      <w:r>
        <w:t xml:space="preserve">SSP privacy section and reference this document’s section numbers. The</w:t>
      </w:r>
      <w:r>
        <w:t xml:space="preserve"> </w:t>
      </w:r>
      <w:r>
        <w:t xml:space="preserve">independent privacy assessment report (3PAO-produced if one is engaged)</w:t>
      </w:r>
      <w:r>
        <w:t xml:space="preserve"> </w:t>
      </w:r>
      <w:r>
        <w:t xml:space="preserve">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the AO’s authorization decision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independent assessment</w:t>
            </w:r>
          </w:p>
        </w:tc>
        <w:tc>
          <w:tcPr/>
          <w:p>
            <w:pPr>
              <w:pStyle w:val="Compact"/>
            </w:pPr>
            <w:r>
              <w:t xml:space="preserve">Within 365 days of ATO grant</w:t>
            </w:r>
          </w:p>
        </w:tc>
        <w:tc>
          <w:tcPr/>
          <w:p>
            <w:pPr>
              <w:pStyle w:val="Compact"/>
            </w:pPr>
            <w:r>
              <w:t xml:space="preserve">SAOP + independent assessor</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2026-07-08T12:58:59Z</dcterms:created>
  <dcterms:modified xsi:type="dcterms:W3CDTF">2026-07-08T12:58:59Z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