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p>
      <w:pPr>
        <w:pStyle w:val="BlockText"/>
      </w:pPr>
      <w:r>
        <w:rPr>
          <w:b/>
          <w:bCs/>
        </w:rPr>
        <w:t xml:space="preserve">The evidence contract is LMS-agnostic; Viva Learning is the current</w:t>
      </w:r>
      <w:r>
        <w:rPr>
          <w:b/>
          <w:bCs/>
        </w:rPr>
        <w:t xml:space="preserve"> </w:t>
      </w:r>
      <w:r>
        <w:rPr>
          <w:b/>
          <w:bCs/>
        </w:rPr>
        <w:t xml:space="preserve">adapter, not the contract.</w:t>
      </w:r>
      <w:r>
        <w:t xml:space="preserve"> </w:t>
      </w:r>
      <w:r>
        <w:t xml:space="preserve">KSI-CED-RAT is satisfied by the</w:t>
      </w:r>
      <w:r>
        <w:t xml:space="preserve"> </w:t>
      </w:r>
      <w:r>
        <w:rPr>
          <w:rStyle w:val="VerbatimChar"/>
        </w:rPr>
        <w:t xml:space="preserve">governance.training-effectiveness-record</w:t>
      </w:r>
      <w:r>
        <w:t xml:space="preserve"> </w:t>
      </w:r>
      <w:r>
        <w:t xml:space="preserve">JSON schema — any LMS in the</w:t>
      </w:r>
      <w:r>
        <w:t xml:space="preserve"> </w:t>
      </w:r>
      <w:r>
        <w:t xml:space="preserve">table above that can populate that schema satisfies the control identically.</w:t>
      </w:r>
      <w:r>
        <w:t xml:space="preserve"> </w:t>
      </w:r>
      <w:r>
        <w:t xml:space="preserve">This distinction is deliberate concentration-risk management: Microsoft has</w:t>
      </w:r>
      <w:r>
        <w:t xml:space="preserve"> </w:t>
      </w:r>
      <w:r>
        <w:t xml:space="preserve">retired other Viva components (Viva Goals, December 2025; Viva Topics,</w:t>
      </w:r>
      <w:r>
        <w:t xml:space="preserve"> </w:t>
      </w:r>
      <w:r>
        <w:t xml:space="preserve">February 2025) while redirecting investment toward Copilot, and although</w:t>
      </w:r>
      <w:r>
        <w:t xml:space="preserve"> </w:t>
      </w:r>
      <w:r>
        <w:t xml:space="preserve">Viva Learning itself is not retired, the evidence pipeline must not assume</w:t>
      </w:r>
      <w:r>
        <w:t xml:space="preserve"> </w:t>
      </w:r>
      <w:r>
        <w:t xml:space="preserve">its permanence.</w:t>
      </w:r>
      <w:r>
        <w:t xml:space="preserve"> </w:t>
      </w:r>
      <w:r>
        <w:rPr>
          <w:b/>
          <w:bCs/>
        </w:rPr>
        <w:t xml:space="preserve">Verify Viva Learning GCC feature parity at time of</w:t>
      </w:r>
      <w:r>
        <w:rPr>
          <w:b/>
          <w:bCs/>
        </w:rPr>
        <w:t xml:space="preserve"> </w:t>
      </w:r>
      <w:r>
        <w:rPr>
          <w:b/>
          <w:bCs/>
        </w:rPr>
        <w:t xml:space="preserve">deployment</w:t>
      </w:r>
      <w:r>
        <w:t xml:space="preserve">, and treat an LMS swap as an adapter change (new export</w:t>
      </w:r>
      <w:r>
        <w:t xml:space="preserve"> </w:t>
      </w:r>
      <w:r>
        <w:t xml:space="preserve">mapping), not a control change.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LMS-agnostic</w:t>
            </w:r>
            <w:r>
              <w:t xml:space="preserve"> </w:t>
            </w:r>
            <w:r>
              <w:rPr>
                <w:rStyle w:val="VerbatimChar"/>
              </w:rPr>
              <w:t xml:space="preserve">governance.training-effectiveness-record</w:t>
            </w:r>
            <w:r>
              <w:t xml:space="preserve"> </w:t>
            </w:r>
            <w:r>
              <w:t xml:space="preserve">JSON schema (the evidence contract); current adapter: Viva Learning Graph API export;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2026-07-08T12:59:02Z</dcterms:created>
  <dcterms:modified xsi:type="dcterms:W3CDTF">2026-07-08T12:59:02Z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