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Telemetry &amp; Location Control Plane Deep Dive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 1.0</w:t>
      </w:r>
    </w:p>
    <w:p>
      <w:pPr>
        <w:pStyle w:val="Heading1"/>
      </w:pPr>
      <w:r>
        <w:rPr>
          <w:color w:val="1B3A5C"/>
        </w:rPr>
        <w:t>Telemetry as Control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Certificates and mutual TLS anchor tunnels, services, and trust relationships across the enterprise.</w:t>
      </w:r>
    </w:p>
    <w:p>
      <w:pPr>
        <w:pStyle w:val="Heading1"/>
      </w:pPr>
      <w:r>
        <w:rPr>
          <w:color w:val="1B3A5C"/>
        </w:rPr>
        <w:t>Telemetry‑Driven Outcomes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program has four near-term results that are measurable before the end of Phase 1.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M365 performance improves as soon as TIC 3.0 routing is in place. The pilot site recorded a 47% reduction in Teams call setup latency within the first week. That is not a projection — it is a measured result from the SD-WAN cutover already completed in the eastern region.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Three open POA&amp;M items close. They trace to IPAM fragmentation and incomplete identity governance — both of which UIAO directly addresses. Closing them reduces the agency's overall risk posture and removes a recurring finding that has appeared in the last two assessment cycles.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compliance evidence problem gets solved structurally. Instead of assembling a quarterly package that is already stale, assessors get continuous OSCAL output from the live architecture. The six-to-eight week lag goes away.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separation case — the one that used to take 24 to 48 hours — drops to under two minutes. That matters for both security and audit. Every contractor departure, every role change, every access review becomes a documented, automated event rather than a manual ticket that someone may or may not have closed.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longer-term outcome is an architecture that does not need to be replaced when a vendor changes. The control plane model is the investment. The specific vendors inside it are not.</w:t>
      </w:r>
    </w:p>
    <w:p>
      <w:pPr>
        <w:spacing w:after="80"/>
      </w:pPr>
    </w:p>
    <w:p>
      <w:pPr>
        <w:spacing w:before="120" w:after="120" w:line="276" w:lineRule="auto"/>
      </w:pPr>
      <w:r>
        <w:rPr>
          <w:rFonts w:ascii="Calibri" w:hAnsi="Calibri"/>
          <w:b w:val="0"/>
          <w:i/>
          <w:sz w:val="22"/>
        </w:rPr>
        <w:t>End of Telemetry Plane Deep Dive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