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6.png" ContentType="image/png"/>
  <Override PartName="/word/media/rId51.png" ContentType="image/png"/>
  <Override PartName="/word/media/rId63.png" ContentType="image/png"/>
  <Override PartName="/word/media/rId79.png" ContentType="image/png"/>
  <Override PartName="/word/media/rId23.png" ContentType="image/png"/>
  <Override PartName="/word/media/rId27.png" ContentType="image/png"/>
  <Override PartName="/word/media/rId31.png" ContentType="image/png"/>
  <Override PartName="/word/media/rId55.png" ContentType="image/png"/>
  <Override PartName="/word/media/rId36.png" ContentType="image/png"/>
  <Override PartName="/word/media/rId71.png" ContentType="image/png"/>
  <Override PartName="/word/media/rId74.png" ContentType="image/png"/>
  <Override PartName="/word/media/rId6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02</w:t>
      </w:r>
      <w:r>
        <w:t xml:space="preserve"> </w:t>
      </w:r>
      <w:r>
        <w:t xml:space="preserve">—</w:t>
      </w:r>
      <w:r>
        <w:t xml:space="preserve"> </w:t>
      </w:r>
      <w:r>
        <w:t xml:space="preserve">From</w:t>
      </w:r>
      <w:r>
        <w:t xml:space="preserve"> </w:t>
      </w:r>
      <w:r>
        <w:t xml:space="preserve">Mainframe</w:t>
      </w:r>
      <w:r>
        <w:t xml:space="preserve"> </w:t>
      </w:r>
      <w:r>
        <w:t xml:space="preserve">to</w:t>
      </w:r>
      <w:r>
        <w:t xml:space="preserve"> </w:t>
      </w:r>
      <w:r>
        <w:t xml:space="preserve">Application-Aware</w:t>
      </w:r>
      <w:r>
        <w:t xml:space="preserve"> </w:t>
      </w:r>
      <w:r>
        <w:t xml:space="preserve">Modernization</w:t>
      </w:r>
    </w:p>
    <w:p>
      <w:pPr>
        <w:pStyle w:val="Subtitle"/>
      </w:pPr>
      <w:r>
        <w:t xml:space="preserve">How</w:t>
      </w:r>
      <w:r>
        <w:t xml:space="preserve"> </w:t>
      </w:r>
      <w:r>
        <w:t xml:space="preserve">Federal</w:t>
      </w:r>
      <w:r>
        <w:t xml:space="preserve"> </w:t>
      </w:r>
      <w:r>
        <w:t xml:space="preserve">Agencies</w:t>
      </w:r>
      <w:r>
        <w:t xml:space="preserve"> </w:t>
      </w:r>
      <w:r>
        <w:t xml:space="preserve">Lost</w:t>
      </w:r>
      <w:r>
        <w:t xml:space="preserve"> </w:t>
      </w:r>
      <w:r>
        <w:t xml:space="preserve">Their</w:t>
      </w:r>
      <w:r>
        <w:t xml:space="preserve"> </w:t>
      </w:r>
      <w:r>
        <w:t xml:space="preserve">Single</w:t>
      </w:r>
      <w:r>
        <w:t xml:space="preserve"> </w:t>
      </w:r>
      <w:r>
        <w:t xml:space="preserve">Source</w:t>
      </w:r>
      <w:r>
        <w:t xml:space="preserve"> </w:t>
      </w:r>
      <w:r>
        <w:t xml:space="preserve">of</w:t>
      </w:r>
      <w:r>
        <w:t xml:space="preserve"> </w:t>
      </w:r>
      <w:r>
        <w:t xml:space="preserve">Truth</w:t>
      </w:r>
      <w:r>
        <w:t xml:space="preserve"> </w:t>
      </w:r>
      <w:r>
        <w:t xml:space="preserve">Across</w:t>
      </w:r>
      <w:r>
        <w:t xml:space="preserve"> </w:t>
      </w:r>
      <w:r>
        <w:t xml:space="preserve">Forty</w:t>
      </w:r>
      <w:r>
        <w:t xml:space="preserve"> </w:t>
      </w:r>
      <w:r>
        <w:t xml:space="preserve">Years</w:t>
      </w:r>
      <w:r>
        <w:t xml:space="preserve"> </w:t>
      </w:r>
      <w:r>
        <w:t xml:space="preserve">—</w:t>
      </w:r>
      <w:r>
        <w:t xml:space="preserve"> </w:t>
      </w:r>
      <w:r>
        <w:t xml:space="preserve">and</w:t>
      </w:r>
      <w:r>
        <w:t xml:space="preserve"> </w:t>
      </w:r>
      <w:r>
        <w:t xml:space="preserve">What</w:t>
      </w:r>
      <w:r>
        <w:t xml:space="preserve"> </w:t>
      </w:r>
      <w:r>
        <w:t xml:space="preserve">Zero</w:t>
      </w:r>
      <w:r>
        <w:t xml:space="preserve"> </w:t>
      </w:r>
      <w:r>
        <w:t xml:space="preserve">Trust,</w:t>
      </w:r>
      <w:r>
        <w:t xml:space="preserve"> </w:t>
      </w:r>
      <w:r>
        <w:t xml:space="preserve">CISA,</w:t>
      </w:r>
      <w:r>
        <w:t xml:space="preserve"> </w:t>
      </w:r>
      <w:r>
        <w:t xml:space="preserve">NIST,</w:t>
      </w:r>
      <w:r>
        <w:t xml:space="preserve"> </w:t>
      </w:r>
      <w:r>
        <w:t xml:space="preserve">and</w:t>
      </w:r>
      <w:r>
        <w:t xml:space="preserve"> </w:t>
      </w:r>
      <w:r>
        <w:t xml:space="preserve">FedRAMP</w:t>
      </w:r>
      <w:r>
        <w:t xml:space="preserve"> </w:t>
      </w:r>
      <w:r>
        <w:t xml:space="preserve">20x</w:t>
      </w:r>
      <w:r>
        <w:t xml:space="preserve"> </w:t>
      </w:r>
      <w:r>
        <w:t xml:space="preserve">Require</w:t>
      </w:r>
      <w:r>
        <w:t xml:space="preserve"> </w:t>
      </w:r>
      <w:r>
        <w:t xml:space="preserve">to</w:t>
      </w:r>
      <w:r>
        <w:t xml:space="preserve"> </w:t>
      </w:r>
      <w:r>
        <w:t xml:space="preserve">Restore</w:t>
      </w:r>
      <w:r>
        <w:t xml:space="preserve"> </w:t>
      </w:r>
      <w:r>
        <w:t xml:space="preserve">It</w:t>
      </w:r>
    </w:p>
    <w:p>
      <w:pPr>
        <w:pStyle w:val="Author"/>
      </w:pPr>
      <w:r>
        <w:t xml:space="preserve">Michael</w:t>
      </w:r>
      <w:r>
        <w:t xml:space="preserve"> </w:t>
      </w:r>
      <w:r>
        <w:t xml:space="preserve">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Cs/>
          <w:b/>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Cs/>
          <w:b/>
        </w:rPr>
        <w:t xml:space="preserve">Five things every decision maker needs to understand:</w:t>
      </w:r>
    </w:p>
    <w:p>
      <w:pPr>
        <w:numPr>
          <w:ilvl w:val="0"/>
          <w:numId w:val="1001"/>
        </w:numPr>
      </w:pPr>
      <w:r>
        <w:rPr>
          <w:bCs/>
          <w:b/>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Cs/>
          <w:b/>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Cs/>
          <w:b/>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Cs/>
          <w:b/>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Cs/>
          <w:b/>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p>
      <w:pPr>
        <w:pStyle w:val="FirstParagraph"/>
      </w:pPr>
      <w:r>
        <w:rPr>
          <w:bCs/>
          <w:b/>
        </w:rPr>
        <w:t xml:space="preserve">The one sentence the whole story turns on:</w:t>
      </w:r>
      <w:r>
        <w:t xml:space="preserve"> </w:t>
      </w:r>
      <w:r>
        <w:t xml:space="preserve">Active Directory conflated</w:t>
      </w:r>
      <w:r>
        <w:t xml:space="preserve"> </w:t>
      </w:r>
      <w:r>
        <w:rPr>
          <w:bCs/>
          <w:b/>
        </w:rPr>
        <w:t xml:space="preserve">the directory (truth)</w:t>
      </w:r>
      <w:r>
        <w:t xml:space="preserve"> </w:t>
      </w:r>
      <w:r>
        <w:t xml:space="preserve">with</w:t>
      </w:r>
      <w:r>
        <w:t xml:space="preserve"> </w:t>
      </w:r>
      <w:r>
        <w:rPr>
          <w:bCs/>
          <w:b/>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pPr>
        <w:pStyle w:val="CaptionedFigure"/>
      </w:pPr>
      <w:r>
        <w:drawing>
          <wp:inline>
            <wp:extent cx="6858000" cy="3657600"/>
            <wp:effectExtent b="0" l="0" r="0" t="0"/>
            <wp:docPr descr="Forty Years of Federal IT Architecture — Four Acts" title="" id="21" name="Picture"/>
            <a:graphic>
              <a:graphicData uri="http://schemas.openxmlformats.org/drawingml/2006/picture">
                <pic:pic>
                  <pic:nvPicPr>
                    <pic:cNvPr descr="figs/mf-fig-01-four-acts.png" id="22" name="Picture"/>
                    <pic:cNvPicPr>
                      <a:picLocks noChangeArrowheads="1" noChangeAspect="1"/>
                    </pic:cNvPicPr>
                  </pic:nvPicPr>
                  <pic:blipFill>
                    <a:blip r:embed="rId20"/>
                    <a:stretch>
                      <a:fillRect/>
                    </a:stretch>
                  </pic:blipFill>
                  <pic:spPr bwMode="auto">
                    <a:xfrm>
                      <a:off x="0" y="0"/>
                      <a:ext cx="6858000" cy="36576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26" w:name="prologue-the-mainframe-era-1940s1990s"/>
    <w:p>
      <w:pPr>
        <w:pStyle w:val="Heading1"/>
      </w:pPr>
      <w:r>
        <w:rPr>
          <w:rStyle w:val="SectionNumber"/>
        </w:rPr>
        <w:t xml:space="preserve">1</w:t>
      </w:r>
      <w:r>
        <w:tab/>
      </w:r>
      <w:r>
        <w:t xml:space="preserve">Prologue — The Mainframe Era (1940s–1990s)</w:t>
      </w:r>
    </w:p>
    <w:p>
      <w:pPr>
        <w:pStyle w:val="CaptionedFigure"/>
      </w:pPr>
      <w:r>
        <w:drawing>
          <wp:inline>
            <wp:extent cx="6858000" cy="3657600"/>
            <wp:effectExtent b="0" l="0" r="0" t="0"/>
            <wp:docPr descr="The Mainframe Era: Brutal Elegance of Centralized Truth" title="" id="24" name="Picture"/>
            <a:graphic>
              <a:graphicData uri="http://schemas.openxmlformats.org/drawingml/2006/picture">
                <pic:pic>
                  <pic:nvPicPr>
                    <pic:cNvPr descr="figs/mf-fig-07-mainframe-scene.png" id="25" name="Picture"/>
                    <pic:cNvPicPr>
                      <a:picLocks noChangeArrowheads="1" noChangeAspect="1"/>
                    </pic:cNvPicPr>
                  </pic:nvPicPr>
                  <pic:blipFill>
                    <a:blip r:embed="rId23"/>
                    <a:stretch>
                      <a:fillRect/>
                    </a:stretch>
                  </pic:blipFill>
                  <pic:spPr bwMode="auto">
                    <a:xfrm>
                      <a:off x="0" y="0"/>
                      <a:ext cx="6858000" cy="36576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Cs/>
          <w:b/>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Cs/>
          <w:b/>
        </w:rPr>
        <w:t xml:space="preserve">one source of truth.</w:t>
      </w:r>
      <w:r>
        <w:t xml:space="preserve"> </w:t>
      </w:r>
      <w:r>
        <w:t xml:space="preserve">The mainframe</w:t>
      </w:r>
      <w:r>
        <w:t xml:space="preserve"> </w:t>
      </w:r>
      <w:r>
        <w:rPr>
          <w:iCs/>
          <w:i/>
        </w:rPr>
        <w:t xml:space="preserve">was</w:t>
      </w:r>
      <w:r>
        <w:t xml:space="preserve"> </w:t>
      </w:r>
      <w:r>
        <w:t xml:space="preserve">the truth. When you asked</w:t>
      </w:r>
      <w:r>
        <w:t xml:space="preserve"> </w:t>
      </w:r>
      <w:r>
        <w:t xml:space="preserve">“</w:t>
      </w:r>
      <w:r>
        <w:t xml:space="preserve">how many people received benefits this month,</w:t>
      </w:r>
      <w:r>
        <w:t xml:space="preserve">”</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Cs/>
          <w:b/>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Cs/>
          <w:i/>
        </w:rPr>
        <w:t xml:space="preserve">held</w:t>
      </w:r>
      <w:r>
        <w:t xml:space="preserve"> </w:t>
      </w:r>
      <w:r>
        <w:t xml:space="preserve">the truth was the same machine that</w:t>
      </w:r>
      <w:r>
        <w:t xml:space="preserve"> </w:t>
      </w:r>
      <w:r>
        <w:rPr>
          <w:iCs/>
          <w:i/>
        </w:rPr>
        <w:t xml:space="preserve">enforced</w:t>
      </w:r>
      <w:r>
        <w:t xml:space="preserve"> </w:t>
      </w:r>
      <w:r>
        <w:t xml:space="preserve">access to it. Truth and enforcement lived in one box. Remember that; it is the seed of everything that follows.</w:t>
      </w:r>
    </w:p>
    <w:bookmarkEnd w:id="26"/>
    <w:bookmarkStart w:id="30" w:name="X18873164e95a4d6a646bc97ec64d4bf5115d173"/>
    <w:p>
      <w:pPr>
        <w:pStyle w:val="Heading1"/>
      </w:pPr>
      <w:r>
        <w:rPr>
          <w:rStyle w:val="SectionNumber"/>
        </w:rPr>
        <w:t xml:space="preserve">2</w:t>
      </w:r>
      <w:r>
        <w:tab/>
      </w:r>
      <w:r>
        <w:t xml:space="preserve">Act 1 — The Great Decentralization (Late 1980s–2000)</w:t>
      </w:r>
    </w:p>
    <w:p>
      <w:pPr>
        <w:pStyle w:val="CaptionedFigure"/>
      </w:pPr>
      <w:r>
        <w:drawing>
          <wp:inline>
            <wp:extent cx="6858000" cy="3657600"/>
            <wp:effectExtent b="0" l="0" r="0" t="0"/>
            <wp:docPr descr="Act 1 — The Great Decentralization: One Became Twelve" title="" id="28" name="Picture"/>
            <a:graphic>
              <a:graphicData uri="http://schemas.openxmlformats.org/drawingml/2006/picture">
                <pic:pic>
                  <pic:nvPicPr>
                    <pic:cNvPr descr="figs/mf-fig-08-decentralization.png" id="29" name="Picture"/>
                    <pic:cNvPicPr>
                      <a:picLocks noChangeArrowheads="1" noChangeAspect="1"/>
                    </pic:cNvPicPr>
                  </pic:nvPicPr>
                  <pic:blipFill>
                    <a:blip r:embed="rId27"/>
                    <a:stretch>
                      <a:fillRect/>
                    </a:stretch>
                  </pic:blipFill>
                  <pic:spPr bwMode="auto">
                    <a:xfrm>
                      <a:off x="0" y="0"/>
                      <a:ext cx="6858000" cy="36576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Cs/>
          <w:b/>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w:t>
      </w:r>
      <w:r>
        <w:t xml:space="preserve">benefit</w:t>
      </w:r>
      <w:r>
        <w:t xml:space="preserve">”</w:t>
      </w:r>
      <w:r>
        <w:t xml:space="preserve"> </w:t>
      </w:r>
      <w:r>
        <w:t xml:space="preserve">even meant.</w:t>
      </w:r>
    </w:p>
    <w:p>
      <w:pPr>
        <w:pStyle w:val="BodyText"/>
      </w:pPr>
      <w:r>
        <w:t xml:space="preserve">The vision of distributed intelligence was real and good. But it came at a cost:</w:t>
      </w:r>
      <w:r>
        <w:t xml:space="preserve"> </w:t>
      </w:r>
      <w:r>
        <w:rPr>
          <w:bCs/>
          <w:b/>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30"/>
    <w:bookmarkStart w:id="35" w:name="Xa5d42bf2b30a1c47baea860d55f996e17aa8aa1"/>
    <w:p>
      <w:pPr>
        <w:pStyle w:val="Heading1"/>
      </w:pPr>
      <w:r>
        <w:rPr>
          <w:rStyle w:val="SectionNumber"/>
        </w:rPr>
        <w:t xml:space="preserve">3</w:t>
      </w:r>
      <w:r>
        <w:tab/>
      </w:r>
      <w:r>
        <w:t xml:space="preserve">Act 2 — When Security Ate the Architecture (2010–2020)</w:t>
      </w:r>
    </w:p>
    <w:p>
      <w:pPr>
        <w:pStyle w:val="CaptionedFigure"/>
      </w:pPr>
      <w:r>
        <w:drawing>
          <wp:inline>
            <wp:extent cx="6858000" cy="3657600"/>
            <wp:effectExtent b="0" l="0" r="0" t="0"/>
            <wp:docPr descr="Act 2 — When Security Ate the Architecture: Stacked Defense Broke Sessions" title="" id="32" name="Picture"/>
            <a:graphic>
              <a:graphicData uri="http://schemas.openxmlformats.org/drawingml/2006/picture">
                <pic:pic>
                  <pic:nvPicPr>
                    <pic:cNvPr descr="figs/mf-fig-09-security-stacking.png" id="33" name="Picture"/>
                    <pic:cNvPicPr>
                      <a:picLocks noChangeArrowheads="1" noChangeAspect="1"/>
                    </pic:cNvPicPr>
                  </pic:nvPicPr>
                  <pic:blipFill>
                    <a:blip r:embed="rId31"/>
                    <a:stretch>
                      <a:fillRect/>
                    </a:stretch>
                  </pic:blipFill>
                  <pic:spPr bwMode="auto">
                    <a:xfrm>
                      <a:off x="0" y="0"/>
                      <a:ext cx="6858000" cy="36576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Cs/>
          <w:b/>
        </w:rPr>
        <w:t xml:space="preserve">cybersecurity became a board-level imperative.</w:t>
      </w:r>
      <w:r>
        <w:t xml:space="preserve"> </w:t>
      </w:r>
      <w:r>
        <w:t xml:space="preserve">Not just</w:t>
      </w:r>
      <w:r>
        <w:t xml:space="preserve"> </w:t>
      </w:r>
      <w:r>
        <w:t xml:space="preserve">“</w:t>
      </w:r>
      <w:r>
        <w:t xml:space="preserve">have a firewall.</w:t>
      </w:r>
      <w:r>
        <w:t xml:space="preserve">”</w:t>
      </w:r>
      <w:r>
        <w:t xml:space="preserve"> </w:t>
      </w:r>
      <w:r>
        <w:t xml:space="preserve">Defense-in-depth. Layered security. Multiple inspection points.</w:t>
      </w:r>
    </w:p>
    <w:p>
      <w:pPr>
        <w:pStyle w:val="BodyText"/>
      </w:pPr>
      <w:r>
        <w:rPr>
          <w:bCs/>
          <w:b/>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Cs/>
          <w:i/>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Cs/>
          <w:b/>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Cs/>
          <w:b/>
        </w:rPr>
        <w:t xml:space="preserve">No amount of bandwidth changes this. Bandwidth is volume. Latency is distance. You cannot buy your way out of geography.</w:t>
      </w:r>
    </w:p>
    <w:bookmarkStart w:id="34" w:name="X1d61b71b197144df5c1017d94a8b4db9bf91fc0"/>
    <w:p>
      <w:pPr>
        <w:pStyle w:val="Heading2"/>
      </w:pPr>
      <w:r>
        <w:rPr>
          <w:rStyle w:val="SectionNumber"/>
        </w:rPr>
        <w:t xml:space="preserve">3.1</w:t>
      </w:r>
      <w:r>
        <w:tab/>
      </w:r>
      <w:r>
        <w:t xml:space="preserve">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Cs/>
          <w:b/>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Cs/>
          <w:b/>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Cs/>
          <w:b/>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bookmarkEnd w:id="34"/>
    <w:bookmarkEnd w:id="35"/>
    <w:bookmarkStart w:id="39" w:name="act-3-the-breaking-point-20202026"/>
    <w:p>
      <w:pPr>
        <w:pStyle w:val="Heading1"/>
      </w:pPr>
      <w:r>
        <w:rPr>
          <w:rStyle w:val="SectionNumber"/>
        </w:rPr>
        <w:t xml:space="preserve">4</w:t>
      </w:r>
      <w:r>
        <w:tab/>
      </w:r>
      <w:r>
        <w:t xml:space="preserve">Act 3 — The Breaking Point (2020–2026)</w:t>
      </w:r>
    </w:p>
    <w:p>
      <w:pPr>
        <w:pStyle w:val="CaptionedFigure"/>
      </w:pPr>
      <w:r>
        <w:drawing>
          <wp:inline>
            <wp:extent cx="6858000" cy="3657600"/>
            <wp:effectExtent b="0" l="0" r="0" t="0"/>
            <wp:docPr descr="Act 3 — Four Environments, No Single Identity: The Breaking Point" title="" id="37" name="Picture"/>
            <a:graphic>
              <a:graphicData uri="http://schemas.openxmlformats.org/drawingml/2006/picture">
                <pic:pic>
                  <pic:nvPicPr>
                    <pic:cNvPr descr="figs/mf-fig-11-four-environments.png" id="38" name="Picture"/>
                    <pic:cNvPicPr>
                      <a:picLocks noChangeArrowheads="1" noChangeAspect="1"/>
                    </pic:cNvPicPr>
                  </pic:nvPicPr>
                  <pic:blipFill>
                    <a:blip r:embed="rId36"/>
                    <a:stretch>
                      <a:fillRect/>
                    </a:stretch>
                  </pic:blipFill>
                  <pic:spPr bwMode="auto">
                    <a:xfrm>
                      <a:off x="0" y="0"/>
                      <a:ext cx="6858000" cy="36576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Cs/>
          <w:b/>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Cs/>
          <w:b/>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Cs/>
          <w:i/>
        </w:rPr>
        <w:t xml:space="preserve">do</w:t>
      </w:r>
      <w:r>
        <w:t xml:space="preserve"> </w:t>
      </w:r>
      <w:r>
        <w:t xml:space="preserve">things but could not</w:t>
      </w:r>
      <w:r>
        <w:t xml:space="preserve"> </w:t>
      </w:r>
      <w:r>
        <w:rPr>
          <w:iCs/>
          <w:i/>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Cs/>
          <w:b/>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9"/>
    <w:bookmarkStart w:id="45" w:name="X4b5505421db170a3086556578fd2300fc212abc"/>
    <w:p>
      <w:pPr>
        <w:pStyle w:val="Heading1"/>
      </w:pPr>
      <w:r>
        <w:rPr>
          <w:rStyle w:val="SectionNumber"/>
        </w:rPr>
        <w:t xml:space="preserve">5</w:t>
      </w:r>
      <w:r>
        <w:tab/>
      </w:r>
      <w:r>
        <w:t xml:space="preserve">The Physics Argument Decision Makers Have Not Heard</w:t>
      </w:r>
    </w:p>
    <w:p>
      <w:pPr>
        <w:pStyle w:val="CaptionedFigure"/>
      </w:pPr>
      <w:r>
        <w:drawing>
          <wp:inline>
            <wp:extent cx="6858000" cy="3543300"/>
            <wp:effectExtent b="0" l="0" r="0" t="0"/>
            <wp:docPr descr="Physics Floor: Fiber vs. LEO Satellite vs. 5G" title="" id="41" name="Picture"/>
            <a:graphic>
              <a:graphicData uri="http://schemas.openxmlformats.org/drawingml/2006/picture">
                <pic:pic>
                  <pic:nvPicPr>
                    <pic:cNvPr descr="figs/mf-fig-02-physics-floor.png" id="42" name="Picture"/>
                    <pic:cNvPicPr>
                      <a:picLocks noChangeArrowheads="1" noChangeAspect="1"/>
                    </pic:cNvPicPr>
                  </pic:nvPicPr>
                  <pic:blipFill>
                    <a:blip r:embed="rId40"/>
                    <a:stretch>
                      <a:fillRect/>
                    </a:stretch>
                  </pic:blipFill>
                  <pic:spPr bwMode="auto">
                    <a:xfrm>
                      <a:off x="0" y="0"/>
                      <a:ext cx="6858000" cy="35433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w:t>
      </w:r>
      <w:r>
        <w:t xml:space="preserve">the MPLS hairpin is causing latency problems,</w:t>
      </w:r>
      <w:r>
        <w:t xml:space="preserve">”</w:t>
      </w:r>
      <w:r>
        <w:t xml:space="preserve"> </w:t>
      </w:r>
      <w:r>
        <w:t xml:space="preserve">the response is almost always:</w:t>
      </w:r>
      <w:r>
        <w:t xml:space="preserve"> </w:t>
      </w:r>
      <w:r>
        <w:t xml:space="preserve">“</w:t>
      </w:r>
      <w:r>
        <w:t xml:space="preserve">add a Direct Internet Access circuit at the branch.</w:t>
      </w:r>
      <w:r>
        <w:t xml:space="preserve">”</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Cs/>
          <w:b/>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bookmarkStart w:id="43" w:name="X9d7df7bedc6624b327225ae3c4e0228b4ada747"/>
    <w:p>
      <w:pPr>
        <w:pStyle w:val="Heading2"/>
      </w:pPr>
      <w:r>
        <w:rPr>
          <w:rStyle w:val="SectionNumber"/>
        </w:rPr>
        <w:t xml:space="preserve">5.1</w:t>
      </w:r>
      <w:r>
        <w:tab/>
      </w:r>
      <w:r>
        <w:t xml:space="preserve">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Cs/>
          <w:b/>
        </w:rPr>
        <w:t xml:space="preserve">20–40 ms and improving.</w:t>
      </w:r>
      <w:r>
        <w:t xml:space="preserve"> </w:t>
      </w:r>
      <w:r>
        <w:t xml:space="preserve">That places LEO satellite in the same competitive range as broadband DIA circuits.</w:t>
      </w:r>
    </w:p>
    <w:p>
      <w:pPr>
        <w:pStyle w:val="BlockText"/>
      </w:pPr>
      <w:r>
        <w:rPr>
          <w:bCs/>
          <w:b/>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Cs/>
          <w:b/>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Cs/>
          <w:b/>
        </w:rPr>
        <w:t xml:space="preserve">Under the right conditions the satellite path is not a compromise — it is the physics-optimal path.</w:t>
      </w:r>
    </w:p>
    <w:bookmarkEnd w:id="43"/>
    <w:bookmarkStart w:id="44" w:name="X43b2d4d43e261bb53e9a999c6a8467bea143c2c"/>
    <w:p>
      <w:pPr>
        <w:pStyle w:val="Heading2"/>
      </w:pPr>
      <w:r>
        <w:rPr>
          <w:rStyle w:val="SectionNumber"/>
        </w:rPr>
        <w:t xml:space="preserve">5.2</w:t>
      </w:r>
      <w:r>
        <w:tab/>
      </w:r>
      <w:r>
        <w:t xml:space="preserve">5G: Lower Latency Through Architecture, Not Just Physics</w:t>
      </w:r>
    </w:p>
    <w:p>
      <w:pPr>
        <w:pStyle w:val="FirstParagraph"/>
      </w:pPr>
      <w:r>
        <w:t xml:space="preserve">5G reduces latency through two distinct mechanisms:</w:t>
      </w:r>
    </w:p>
    <w:p>
      <w:pPr>
        <w:pStyle w:val="BodyText"/>
      </w:pPr>
      <w:r>
        <w:rPr>
          <w:bCs/>
          <w:b/>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Cs/>
          <w:b/>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44"/>
    <w:bookmarkEnd w:id="45"/>
    <w:bookmarkStart w:id="50" w:name="X1d6bf0764d5dd00823317c255ee2bc814a3d92a"/>
    <w:p>
      <w:pPr>
        <w:pStyle w:val="Heading1"/>
      </w:pPr>
      <w:r>
        <w:rPr>
          <w:rStyle w:val="SectionNumber"/>
        </w:rPr>
        <w:t xml:space="preserve">6</w:t>
      </w:r>
      <w:r>
        <w:tab/>
      </w:r>
      <w:r>
        <w:t xml:space="preserve">What Application-Aware Networking Actually Means</w:t>
      </w:r>
    </w:p>
    <w:p>
      <w:pPr>
        <w:pStyle w:val="CaptionedFigure"/>
      </w:pPr>
      <w:r>
        <w:drawing>
          <wp:inline>
            <wp:extent cx="6858000" cy="3657600"/>
            <wp:effectExtent b="0" l="0" r="0" t="0"/>
            <wp:docPr descr="Packet-Layer Network vs. Application-Aware Network" title="" id="47" name="Picture"/>
            <a:graphic>
              <a:graphicData uri="http://schemas.openxmlformats.org/drawingml/2006/picture">
                <pic:pic>
                  <pic:nvPicPr>
                    <pic:cNvPr descr="figs/mf-fig-03-packet-vs-aan.png" id="48" name="Picture"/>
                    <pic:cNvPicPr>
                      <a:picLocks noChangeArrowheads="1" noChangeAspect="1"/>
                    </pic:cNvPicPr>
                  </pic:nvPicPr>
                  <pic:blipFill>
                    <a:blip r:embed="rId46"/>
                    <a:stretch>
                      <a:fillRect/>
                    </a:stretch>
                  </pic:blipFill>
                  <pic:spPr bwMode="auto">
                    <a:xfrm>
                      <a:off x="0" y="0"/>
                      <a:ext cx="6858000" cy="36576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w:t>
      </w:r>
      <w:r>
        <w:t xml:space="preserve">application-aware networking</w:t>
      </w:r>
      <w:r>
        <w:t xml:space="preserve">”</w:t>
      </w:r>
      <w:r>
        <w:t xml:space="preserve"> </w:t>
      </w:r>
      <w:r>
        <w:t xml:space="preserve">appears in policy documents and vendor briefings without ever being explained in plain terms. Here is the plain version.</w:t>
      </w:r>
    </w:p>
    <w:p>
      <w:pPr>
        <w:pStyle w:val="BodyText"/>
      </w:pPr>
      <w:r>
        <w:rPr>
          <w:bCs/>
          <w:b/>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Cs/>
          <w:b/>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Cs/>
          <w:b/>
        </w:rPr>
        <w:t xml:space="preserve">The policy question that changes everything:</w:t>
      </w:r>
      <w:r>
        <w:t xml:space="preserve"> </w:t>
      </w:r>
      <w:r>
        <w:t xml:space="preserve">Packet-level enforcement asks:</w:t>
      </w:r>
      <w:r>
        <w:t xml:space="preserve"> </w:t>
      </w:r>
      <w:r>
        <w:rPr>
          <w:iCs/>
          <w:i/>
        </w:rPr>
        <w:t xml:space="preserve">should this IP address be allowed to reach this port?</w:t>
      </w:r>
      <w:r>
        <w:t xml:space="preserve"> </w:t>
      </w:r>
      <w:r>
        <w:t xml:space="preserve">Application-aware enforcement asks:</w:t>
      </w:r>
      <w:r>
        <w:t xml:space="preserve"> </w:t>
      </w:r>
      <w:r>
        <w:rPr>
          <w:iCs/>
          <w:i/>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9" w:name="X5d2cc7b1841043b384155f0a81933706e9c6a6f"/>
    <w:p>
      <w:pPr>
        <w:pStyle w:val="Heading2"/>
      </w:pPr>
      <w:r>
        <w:rPr>
          <w:rStyle w:val="SectionNumber"/>
        </w:rPr>
        <w:t xml:space="preserve">6.1</w:t>
      </w:r>
      <w:r>
        <w:tab/>
      </w:r>
      <w:r>
        <w:t xml:space="preserve">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9"/>
    <w:bookmarkEnd w:id="50"/>
    <w:bookmarkStart w:id="61" w:name="sd-wan-active-active-multipath"/>
    <w:p>
      <w:pPr>
        <w:pStyle w:val="Heading1"/>
      </w:pPr>
      <w:r>
        <w:rPr>
          <w:rStyle w:val="SectionNumber"/>
        </w:rPr>
        <w:t xml:space="preserve">7</w:t>
      </w:r>
      <w:r>
        <w:tab/>
      </w:r>
      <w:r>
        <w:t xml:space="preserve">SD-WAN Active-Active Multipath</w:t>
      </w:r>
    </w:p>
    <w:p>
      <w:pPr>
        <w:pStyle w:val="CaptionedFigure"/>
      </w:pPr>
      <w:r>
        <w:drawing>
          <wp:inline>
            <wp:extent cx="6858000" cy="3657600"/>
            <wp:effectExtent b="0" l="0" r="0" t="0"/>
            <wp:docPr descr="SD-WAN Active-Active Multipath: Four Transports, One Application View" title="" id="52" name="Picture"/>
            <a:graphic>
              <a:graphicData uri="http://schemas.openxmlformats.org/drawingml/2006/picture">
                <pic:pic>
                  <pic:nvPicPr>
                    <pic:cNvPr descr="figs/mf-fig-04-multipath.png" id="53" name="Picture"/>
                    <pic:cNvPicPr>
                      <a:picLocks noChangeArrowheads="1" noChangeAspect="1"/>
                    </pic:cNvPicPr>
                  </pic:nvPicPr>
                  <pic:blipFill>
                    <a:blip r:embed="rId51"/>
                    <a:stretch>
                      <a:fillRect/>
                    </a:stretch>
                  </pic:blipFill>
                  <pic:spPr bwMode="auto">
                    <a:xfrm>
                      <a:off x="0" y="0"/>
                      <a:ext cx="6858000" cy="36576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Cs/>
          <w:b/>
        </w:rPr>
        <w:t xml:space="preserve">latency</w:t>
      </w:r>
      <w:r>
        <w:t xml:space="preserve">,</w:t>
      </w:r>
      <w:r>
        <w:t xml:space="preserve"> </w:t>
      </w:r>
      <w:r>
        <w:rPr>
          <w:bCs/>
          <w:b/>
        </w:rPr>
        <w:t xml:space="preserve">jitter</w:t>
      </w:r>
      <w:r>
        <w:t xml:space="preserve">, and</w:t>
      </w:r>
      <w:r>
        <w:t xml:space="preserve"> </w:t>
      </w:r>
      <w:r>
        <w:rPr>
          <w:bCs/>
          <w:b/>
        </w:rPr>
        <w:t xml:space="preserve">packet loss</w:t>
      </w:r>
      <w:r>
        <w:t xml:space="preserve">. When a path degrades, the overlay knows within seconds.</w:t>
      </w:r>
    </w:p>
    <w:bookmarkStart w:id="54" w:name="X375c3c0c7c01863ac87bd4c23489e5042dc6a37"/>
    <w:p>
      <w:pPr>
        <w:pStyle w:val="Heading2"/>
      </w:pPr>
      <w:r>
        <w:rPr>
          <w:rStyle w:val="SectionNumber"/>
        </w:rPr>
        <w:t xml:space="preserve">7.1</w:t>
      </w:r>
      <w:r>
        <w:tab/>
      </w:r>
      <w:r>
        <w:t xml:space="preserve">Forward Error Correction: Recovering Toward the Physics Floor</w:t>
      </w:r>
    </w:p>
    <w:p>
      <w:pPr>
        <w:pStyle w:val="FirstParagraph"/>
      </w:pPr>
      <w:r>
        <w:rPr>
          <w:bCs/>
          <w:b/>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54"/>
    <w:bookmarkStart w:id="58" w:name="X7c36cbc0947d3d1b8627c481d917135f952a498"/>
    <w:p>
      <w:pPr>
        <w:pStyle w:val="Heading2"/>
      </w:pPr>
      <w:r>
        <w:rPr>
          <w:rStyle w:val="SectionNumber"/>
        </w:rPr>
        <w:t xml:space="preserve">7.2</w:t>
      </w:r>
      <w:r>
        <w:tab/>
      </w:r>
      <w:r>
        <w:t xml:space="preserve">Active-Active vs. Active-Passive: The Failover That Is Not a Failover</w:t>
      </w:r>
    </w:p>
    <w:p>
      <w:pPr>
        <w:pStyle w:val="FirstParagraph"/>
      </w:pPr>
      <w:r>
        <w:t xml:space="preserve">Traditional WAN design is</w:t>
      </w:r>
      <w:r>
        <w:t xml:space="preserve"> </w:t>
      </w:r>
      <w:r>
        <w:rPr>
          <w:bCs/>
          <w:b/>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Cs/>
          <w:b/>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Cs/>
          <w:b/>
        </w:rPr>
        <w:t xml:space="preserve">The Teams call did not drop. The authentication session did not timeout.</w:t>
      </w:r>
    </w:p>
    <w:p>
      <w:pPr>
        <w:pStyle w:val="CaptionedFigure"/>
      </w:pPr>
      <w:r>
        <w:drawing>
          <wp:inline>
            <wp:extent cx="6858000" cy="3657600"/>
            <wp:effectExtent b="0" l="0" r="0" t="0"/>
            <wp:docPr descr="How Kerberos Breaks Under Modern Network Paths: Multi-Path Failover Versus Session-Bound Tickets" title="" id="56" name="Picture"/>
            <a:graphic>
              <a:graphicData uri="http://schemas.openxmlformats.org/drawingml/2006/picture">
                <pic:pic>
                  <pic:nvPicPr>
                    <pic:cNvPr descr="figs/mf-fig-10-kerberos-breaks.png" id="57" name="Picture"/>
                    <pic:cNvPicPr>
                      <a:picLocks noChangeArrowheads="1" noChangeAspect="1"/>
                    </pic:cNvPicPr>
                  </pic:nvPicPr>
                  <pic:blipFill>
                    <a:blip r:embed="rId55"/>
                    <a:stretch>
                      <a:fillRect/>
                    </a:stretch>
                  </pic:blipFill>
                  <pic:spPr bwMode="auto">
                    <a:xfrm>
                      <a:off x="0" y="0"/>
                      <a:ext cx="6858000" cy="3657600"/>
                    </a:xfrm>
                    <a:prstGeom prst="rect">
                      <a:avLst/>
                    </a:prstGeom>
                    <a:noFill/>
                    <a:ln w="9525">
                      <a:noFill/>
                      <a:headEnd/>
                      <a:tailEnd/>
                    </a:ln>
                  </pic:spPr>
                </pic:pic>
              </a:graphicData>
            </a:graphic>
          </wp:inline>
        </w:drawing>
      </w:r>
    </w:p>
    <w:p>
      <w:pPr>
        <w:pStyle w:val="ImageCaption"/>
      </w:pPr>
      <w:r>
        <w:t xml:space="preserve">How Kerberos Breaks Under Modern Network Paths: Multi-Path Failover Versus Session-Bound Tickets</w:t>
      </w:r>
    </w:p>
    <w:p>
      <w:pPr>
        <w:pStyle w:val="BlockText"/>
      </w:pPr>
      <w:r>
        <w:rPr>
          <w:bCs/>
          <w:b/>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w:t>
      </w:r>
      <w:r>
        <w:t xml:space="preserve">logon takes 45 seconds</w:t>
      </w:r>
      <w:r>
        <w:t xml:space="preserve">”</w:t>
      </w:r>
      <w:r>
        <w:t xml:space="preserve"> </w:t>
      </w:r>
      <w:r>
        <w:t xml:space="preserve">symptom field offices report. Under active-active multipath, the request was already distributed across multiple paths. The user experiences a 50 ms pause rather than a 30-second timeout.</w:t>
      </w:r>
    </w:p>
    <w:bookmarkEnd w:id="58"/>
    <w:bookmarkStart w:id="59" w:name="X8655c2a6f1cf7da74d2464aa955677d1198371a"/>
    <w:p>
      <w:pPr>
        <w:pStyle w:val="Heading2"/>
      </w:pPr>
      <w:r>
        <w:rPr>
          <w:rStyle w:val="SectionNumber"/>
        </w:rPr>
        <w:t xml:space="preserve">7.3</w:t>
      </w:r>
      <w:r>
        <w:tab/>
      </w:r>
      <w:r>
        <w:t xml:space="preserve">Why</w:t>
      </w:r>
      <w:r>
        <w:t xml:space="preserve"> </w:t>
      </w:r>
      <w:r>
        <w:t xml:space="preserve">“</w:t>
      </w:r>
      <w:r>
        <w:t xml:space="preserve">DIA to M365 Will Solve It</w:t>
      </w:r>
      <w:r>
        <w:t xml:space="preserve">”</w:t>
      </w:r>
      <w:r>
        <w:t xml:space="preserve"> </w:t>
      </w:r>
      <w:r>
        <w:t xml:space="preserve">Is Half the Answer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DIA Circuit Only</w:t>
            </w:r>
          </w:p>
        </w:tc>
        <w:tc>
          <w:tcPr/>
          <w:p>
            <w:pPr>
              <w:pStyle w:val="Compact"/>
              <w:jc w:val="left"/>
            </w:pPr>
            <w:r>
              <w:t xml:space="preserve">SD-WAN Intelligent Overlay</w:t>
            </w:r>
          </w:p>
        </w:tc>
      </w:tr>
      <w:tr>
        <w:tc>
          <w:tcPr/>
          <w:p>
            <w:pPr>
              <w:pStyle w:val="Compact"/>
              <w:jc w:val="left"/>
            </w:pPr>
            <w:r>
              <w:t xml:space="preserve">Eliminates MPLS geographic hairpin to cloud</w:t>
            </w:r>
          </w:p>
        </w:tc>
        <w:tc>
          <w:tcPr/>
          <w:p>
            <w:pPr>
              <w:pStyle w:val="Compact"/>
              <w:jc w:val="left"/>
            </w:pPr>
            <w:r>
              <w:t xml:space="preserve">✔ Yes</w:t>
            </w:r>
          </w:p>
        </w:tc>
        <w:tc>
          <w:tcPr/>
          <w:p>
            <w:pPr>
              <w:pStyle w:val="Compact"/>
              <w:jc w:val="left"/>
            </w:pPr>
            <w:r>
              <w:t xml:space="preserve">✔ Yes</w:t>
            </w:r>
          </w:p>
        </w:tc>
      </w:tr>
      <w:tr>
        <w:tc>
          <w:tcPr/>
          <w:p>
            <w:pPr>
              <w:pStyle w:val="Compact"/>
              <w:jc w:val="left"/>
            </w:pPr>
            <w:r>
              <w:t xml:space="preserve">Visibility into path quality (latency, jitter, loss)</w:t>
            </w:r>
          </w:p>
        </w:tc>
        <w:tc>
          <w:tcPr/>
          <w:p>
            <w:pPr>
              <w:pStyle w:val="Compact"/>
              <w:jc w:val="left"/>
            </w:pPr>
            <w:r>
              <w:t xml:space="preserve">✘ None</w:t>
            </w:r>
          </w:p>
        </w:tc>
        <w:tc>
          <w:tcPr/>
          <w:p>
            <w:pPr>
              <w:pStyle w:val="Compact"/>
              <w:jc w:val="left"/>
            </w:pPr>
            <w:r>
              <w:t xml:space="preserve">✔ Continuous, per-transport</w:t>
            </w:r>
          </w:p>
        </w:tc>
      </w:tr>
      <w:tr>
        <w:tc>
          <w:tcPr/>
          <w:p>
            <w:pPr>
              <w:pStyle w:val="Compact"/>
              <w:jc w:val="left"/>
            </w:pPr>
            <w:r>
              <w:t xml:space="preserve">Responds to path degradation before users notice</w:t>
            </w:r>
          </w:p>
        </w:tc>
        <w:tc>
          <w:tcPr/>
          <w:p>
            <w:pPr>
              <w:pStyle w:val="Compact"/>
              <w:jc w:val="left"/>
            </w:pPr>
            <w:r>
              <w:t xml:space="preserve">✘ None</w:t>
            </w:r>
          </w:p>
        </w:tc>
        <w:tc>
          <w:tcPr/>
          <w:p>
            <w:pPr>
              <w:pStyle w:val="Compact"/>
              <w:jc w:val="left"/>
            </w:pPr>
            <w:r>
              <w:t xml:space="preserve">✔ Sub-second reweighting</w:t>
            </w:r>
          </w:p>
        </w:tc>
      </w:tr>
      <w:tr>
        <w:tc>
          <w:tcPr/>
          <w:p>
            <w:pPr>
              <w:pStyle w:val="Compact"/>
              <w:jc w:val="left"/>
            </w:pPr>
            <w:r>
              <w:t xml:space="preserve">Splits a single conversation across multiple paths simultaneously</w:t>
            </w:r>
          </w:p>
        </w:tc>
        <w:tc>
          <w:tcPr/>
          <w:p>
            <w:pPr>
              <w:pStyle w:val="Compact"/>
              <w:jc w:val="left"/>
            </w:pPr>
            <w:r>
              <w:t xml:space="preserve">✘ One path only</w:t>
            </w:r>
          </w:p>
        </w:tc>
        <w:tc>
          <w:tcPr/>
          <w:p>
            <w:pPr>
              <w:pStyle w:val="Compact"/>
              <w:jc w:val="left"/>
            </w:pPr>
            <w:r>
              <w:t xml:space="preserve">✔ Active-active multipath with resequencing</w:t>
            </w:r>
          </w:p>
        </w:tc>
      </w:tr>
      <w:tr>
        <w:tc>
          <w:tcPr/>
          <w:p>
            <w:pPr>
              <w:pStyle w:val="Compact"/>
              <w:jc w:val="left"/>
            </w:pPr>
            <w:r>
              <w:t xml:space="preserve">Aggregates bandwidth from all transports</w:t>
            </w:r>
          </w:p>
        </w:tc>
        <w:tc>
          <w:tcPr/>
          <w:p>
            <w:pPr>
              <w:pStyle w:val="Compact"/>
              <w:jc w:val="left"/>
            </w:pPr>
            <w:r>
              <w:t xml:space="preserve">✘ One path only</w:t>
            </w:r>
          </w:p>
        </w:tc>
        <w:tc>
          <w:tcPr/>
          <w:p>
            <w:pPr>
              <w:pStyle w:val="Compact"/>
              <w:jc w:val="left"/>
            </w:pPr>
            <w:r>
              <w:t xml:space="preserve">✔ Bonded capacity = sum of all paths</w:t>
            </w:r>
          </w:p>
        </w:tc>
      </w:tr>
      <w:tr>
        <w:tc>
          <w:tcPr/>
          <w:p>
            <w:pPr>
              <w:pStyle w:val="Compact"/>
              <w:jc w:val="left"/>
            </w:pPr>
            <w:r>
              <w:t xml:space="preserve">Routes audio, video, and data streams of one call to different paths</w:t>
            </w:r>
          </w:p>
        </w:tc>
        <w:tc>
          <w:tcPr/>
          <w:p>
            <w:pPr>
              <w:pStyle w:val="Compact"/>
              <w:jc w:val="left"/>
            </w:pPr>
            <w:r>
              <w:t xml:space="preserve">✘ None</w:t>
            </w:r>
          </w:p>
        </w:tc>
        <w:tc>
          <w:tcPr/>
          <w:p>
            <w:pPr>
              <w:pStyle w:val="Compact"/>
              <w:jc w:val="left"/>
            </w:pPr>
            <w:r>
              <w:t xml:space="preserve">✔ Per-stream application steering</w:t>
            </w:r>
          </w:p>
        </w:tc>
      </w:tr>
      <w:tr>
        <w:tc>
          <w:tcPr/>
          <w:p>
            <w:pPr>
              <w:pStyle w:val="Compact"/>
              <w:jc w:val="left"/>
            </w:pPr>
            <w:r>
              <w:t xml:space="preserve">Fails over within milliseconds without dropping sessions</w:t>
            </w:r>
          </w:p>
        </w:tc>
        <w:tc>
          <w:tcPr/>
          <w:p>
            <w:pPr>
              <w:pStyle w:val="Compact"/>
              <w:jc w:val="left"/>
            </w:pPr>
            <w:r>
              <w:t xml:space="preserve">✘ 30–90 second switchover</w:t>
            </w:r>
          </w:p>
        </w:tc>
        <w:tc>
          <w:tcPr/>
          <w:p>
            <w:pPr>
              <w:pStyle w:val="Compact"/>
              <w:jc w:val="left"/>
            </w:pPr>
            <w:r>
              <w:t xml:space="preserve">✔ Seamless — all paths already active</w:t>
            </w:r>
          </w:p>
        </w:tc>
      </w:tr>
      <w:tr>
        <w:tc>
          <w:tcPr/>
          <w:p>
            <w:pPr>
              <w:pStyle w:val="Compact"/>
              <w:jc w:val="left"/>
            </w:pPr>
            <w:r>
              <w:t xml:space="preserve">Uses 5G local breakout when faster than wireline</w:t>
            </w:r>
          </w:p>
        </w:tc>
        <w:tc>
          <w:tcPr/>
          <w:p>
            <w:pPr>
              <w:pStyle w:val="Compact"/>
              <w:jc w:val="left"/>
            </w:pPr>
            <w:r>
              <w:t xml:space="preserve">✘ None</w:t>
            </w:r>
          </w:p>
        </w:tc>
        <w:tc>
          <w:tcPr/>
          <w:p>
            <w:pPr>
              <w:pStyle w:val="Compact"/>
              <w:jc w:val="left"/>
            </w:pPr>
            <w:r>
              <w:t xml:space="preserve">✔ Measured and included in multipath pool</w:t>
            </w:r>
          </w:p>
        </w:tc>
      </w:tr>
      <w:tr>
        <w:tc>
          <w:tcPr/>
          <w:p>
            <w:pPr>
              <w:pStyle w:val="Compact"/>
              <w:jc w:val="left"/>
            </w:pPr>
            <w:r>
              <w:t xml:space="preserve">Uses LEO satellite vacuum path when faster than fiber</w:t>
            </w:r>
          </w:p>
        </w:tc>
        <w:tc>
          <w:tcPr/>
          <w:p>
            <w:pPr>
              <w:pStyle w:val="Compact"/>
              <w:jc w:val="left"/>
            </w:pPr>
            <w:r>
              <w:t xml:space="preserve">✘ None</w:t>
            </w:r>
          </w:p>
        </w:tc>
        <w:tc>
          <w:tcPr/>
          <w:p>
            <w:pPr>
              <w:pStyle w:val="Compact"/>
              <w:jc w:val="left"/>
            </w:pPr>
            <w:r>
              <w:t xml:space="preserve">✔ Measured and included in multipath pool</w:t>
            </w:r>
          </w:p>
        </w:tc>
      </w:tr>
      <w:tr>
        <w:tc>
          <w:tcPr/>
          <w:p>
            <w:pPr>
              <w:pStyle w:val="Compact"/>
              <w:jc w:val="left"/>
            </w:pPr>
            <w:r>
              <w:t xml:space="preserve">Applies FEC to recover toward physics minimum on lossy paths</w:t>
            </w:r>
          </w:p>
        </w:tc>
        <w:tc>
          <w:tcPr/>
          <w:p>
            <w:pPr>
              <w:pStyle w:val="Compact"/>
              <w:jc w:val="left"/>
            </w:pPr>
            <w:r>
              <w:t xml:space="preserve">✘ None</w:t>
            </w:r>
          </w:p>
        </w:tc>
        <w:tc>
          <w:tcPr/>
          <w:p>
            <w:pPr>
              <w:pStyle w:val="Compact"/>
              <w:jc w:val="left"/>
            </w:pPr>
            <w:r>
              <w:t xml:space="preserve">✔ Per-transport FEC</w:t>
            </w:r>
          </w:p>
        </w:tc>
      </w:tr>
      <w:tr>
        <w:tc>
          <w:tcPr/>
          <w:p>
            <w:pPr>
              <w:pStyle w:val="Compact"/>
              <w:jc w:val="left"/>
            </w:pPr>
            <w:r>
              <w:t xml:space="preserve">Provides audit trail of path decisions (TIC 3.0 / AU-12)</w:t>
            </w:r>
          </w:p>
        </w:tc>
        <w:tc>
          <w:tcPr/>
          <w:p>
            <w:pPr>
              <w:pStyle w:val="Compact"/>
              <w:jc w:val="left"/>
            </w:pPr>
            <w:r>
              <w:t xml:space="preserve">✘ None</w:t>
            </w:r>
          </w:p>
        </w:tc>
        <w:tc>
          <w:tcPr/>
          <w:p>
            <w:pPr>
              <w:pStyle w:val="Compact"/>
              <w:jc w:val="left"/>
            </w:pPr>
            <w:r>
              <w:t xml:space="preserve">✔ Every decision is a logged event</w:t>
            </w:r>
          </w:p>
        </w:tc>
      </w:tr>
    </w:tbl>
    <w:bookmarkEnd w:id="59"/>
    <w:bookmarkStart w:id="60" w:name="Xc717aabd4ab02927b7deab34227116e9e7db38d"/>
    <w:p>
      <w:pPr>
        <w:pStyle w:val="Heading2"/>
      </w:pPr>
      <w:r>
        <w:rPr>
          <w:rStyle w:val="SectionNumber"/>
        </w:rPr>
        <w:t xml:space="preserve">7.4</w:t>
      </w:r>
      <w:r>
        <w:tab/>
      </w:r>
      <w:r>
        <w:t xml:space="preserve">What the Commercial World Figured Out — and When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Current Federal Practice</w:t>
            </w:r>
          </w:p>
        </w:tc>
        <w:tc>
          <w:tcPr/>
          <w:p>
            <w:pPr>
              <w:pStyle w:val="Compact"/>
              <w:jc w:val="left"/>
            </w:pPr>
            <w:r>
              <w:t xml:space="preserve">When Commercial Moved On</w:t>
            </w:r>
          </w:p>
        </w:tc>
        <w:tc>
          <w:tcPr/>
          <w:p>
            <w:pPr>
              <w:pStyle w:val="Compact"/>
              <w:jc w:val="left"/>
            </w:pPr>
            <w:r>
              <w:t xml:space="preserve">What Replaced It</w:t>
            </w:r>
          </w:p>
        </w:tc>
        <w:tc>
          <w:tcPr/>
          <w:p>
            <w:pPr>
              <w:pStyle w:val="Compact"/>
              <w:jc w:val="left"/>
            </w:pPr>
            <w:r>
              <w:t xml:space="preserve">Why</w:t>
            </w:r>
          </w:p>
        </w:tc>
      </w:tr>
      <w:tr>
        <w:tc>
          <w:tcPr/>
          <w:p>
            <w:pPr>
              <w:pStyle w:val="Compact"/>
              <w:jc w:val="left"/>
            </w:pPr>
            <w:r>
              <w:t xml:space="preserve">MPLS for all branch connectivity</w:t>
            </w:r>
          </w:p>
        </w:tc>
        <w:tc>
          <w:tcPr/>
          <w:p>
            <w:pPr>
              <w:pStyle w:val="Compact"/>
              <w:jc w:val="left"/>
            </w:pPr>
            <w:r>
              <w:t xml:space="preserve">2014–2018</w:t>
            </w:r>
          </w:p>
        </w:tc>
        <w:tc>
          <w:tcPr/>
          <w:p>
            <w:pPr>
              <w:pStyle w:val="Compact"/>
              <w:jc w:val="left"/>
            </w:pPr>
            <w:r>
              <w:t xml:space="preserve">SD-WAN on broadband + LTE</w:t>
            </w:r>
          </w:p>
        </w:tc>
        <w:tc>
          <w:tcPr/>
          <w:p>
            <w:pPr>
              <w:pStyle w:val="Compact"/>
              <w:jc w:val="left"/>
            </w:pPr>
            <w:r>
              <w:t xml:space="preserve">Cost, flexibility, local breakout</w:t>
            </w:r>
          </w:p>
        </w:tc>
      </w:tr>
      <w:tr>
        <w:tc>
          <w:tcPr/>
          <w:p>
            <w:pPr>
              <w:pStyle w:val="Compact"/>
              <w:jc w:val="left"/>
            </w:pPr>
            <w:r>
              <w:t xml:space="preserve">Central internet breakout through DC</w:t>
            </w:r>
          </w:p>
        </w:tc>
        <w:tc>
          <w:tcPr/>
          <w:p>
            <w:pPr>
              <w:pStyle w:val="Compact"/>
              <w:jc w:val="left"/>
            </w:pPr>
            <w:r>
              <w:t xml:space="preserve">2016–2019</w:t>
            </w:r>
          </w:p>
        </w:tc>
        <w:tc>
          <w:tcPr/>
          <w:p>
            <w:pPr>
              <w:pStyle w:val="Compact"/>
              <w:jc w:val="left"/>
            </w:pPr>
            <w:r>
              <w:t xml:space="preserve">Local internet breakout at branch</w:t>
            </w:r>
          </w:p>
        </w:tc>
        <w:tc>
          <w:tcPr/>
          <w:p>
            <w:pPr>
              <w:pStyle w:val="Compact"/>
              <w:jc w:val="left"/>
            </w:pPr>
            <w:r>
              <w:t xml:space="preserve">Cloud apps do not need to go through DC</w:t>
            </w:r>
          </w:p>
        </w:tc>
      </w:tr>
      <w:tr>
        <w:tc>
          <w:tcPr/>
          <w:p>
            <w:pPr>
              <w:pStyle w:val="Compact"/>
              <w:jc w:val="left"/>
            </w:pPr>
            <w:r>
              <w:t xml:space="preserve">VPN as primary remote access</w:t>
            </w:r>
          </w:p>
        </w:tc>
        <w:tc>
          <w:tcPr/>
          <w:p>
            <w:pPr>
              <w:pStyle w:val="Compact"/>
              <w:jc w:val="left"/>
            </w:pPr>
            <w:r>
              <w:t xml:space="preserve">2019–2021</w:t>
            </w:r>
          </w:p>
        </w:tc>
        <w:tc>
          <w:tcPr/>
          <w:p>
            <w:pPr>
              <w:pStyle w:val="Compact"/>
              <w:jc w:val="left"/>
            </w:pPr>
            <w:r>
              <w:t xml:space="preserve">ZTNA / SASE overlay</w:t>
            </w:r>
          </w:p>
        </w:tc>
        <w:tc>
          <w:tcPr/>
          <w:p>
            <w:pPr>
              <w:pStyle w:val="Compact"/>
              <w:jc w:val="left"/>
            </w:pPr>
            <w:r>
              <w:t xml:space="preserve">Per-app access replaces per-network trust</w:t>
            </w:r>
          </w:p>
        </w:tc>
      </w:tr>
      <w:tr>
        <w:tc>
          <w:tcPr/>
          <w:p>
            <w:pPr>
              <w:pStyle w:val="Compact"/>
              <w:jc w:val="left"/>
            </w:pPr>
            <w:r>
              <w:t xml:space="preserve">Windows DNS / per-site DNS servers</w:t>
            </w:r>
          </w:p>
        </w:tc>
        <w:tc>
          <w:tcPr/>
          <w:p>
            <w:pPr>
              <w:pStyle w:val="Compact"/>
              <w:jc w:val="left"/>
            </w:pPr>
            <w:r>
              <w:t xml:space="preserve">2017–2020</w:t>
            </w:r>
          </w:p>
        </w:tc>
        <w:tc>
          <w:tcPr/>
          <w:p>
            <w:pPr>
              <w:pStyle w:val="Compact"/>
              <w:jc w:val="left"/>
            </w:pPr>
            <w:r>
              <w:t xml:space="preserve">Unified DDI (InfoBlox, BlueCat)</w:t>
            </w:r>
          </w:p>
        </w:tc>
        <w:tc>
          <w:tcPr/>
          <w:p>
            <w:pPr>
              <w:pStyle w:val="Compact"/>
              <w:jc w:val="left"/>
            </w:pPr>
            <w:r>
              <w:t xml:space="preserve">DNS became a security control surface</w:t>
            </w:r>
          </w:p>
        </w:tc>
      </w:tr>
      <w:tr>
        <w:tc>
          <w:tcPr/>
          <w:p>
            <w:pPr>
              <w:pStyle w:val="Compact"/>
              <w:jc w:val="left"/>
            </w:pPr>
            <w:r>
              <w:t xml:space="preserve">DHCP as invisible per-site utility</w:t>
            </w:r>
          </w:p>
        </w:tc>
        <w:tc>
          <w:tcPr/>
          <w:p>
            <w:pPr>
              <w:pStyle w:val="Compact"/>
              <w:jc w:val="left"/>
            </w:pPr>
            <w:r>
              <w:t xml:space="preserve">2017–2020</w:t>
            </w:r>
          </w:p>
        </w:tc>
        <w:tc>
          <w:tcPr/>
          <w:p>
            <w:pPr>
              <w:pStyle w:val="Compact"/>
              <w:jc w:val="left"/>
            </w:pPr>
            <w:r>
              <w:t xml:space="preserve">IPAM as inventory and compliance evidence</w:t>
            </w:r>
          </w:p>
        </w:tc>
        <w:tc>
          <w:tcPr/>
          <w:p>
            <w:pPr>
              <w:pStyle w:val="Compact"/>
              <w:jc w:val="left"/>
            </w:pPr>
            <w:r>
              <w:t xml:space="preserve">Zero Trust requires authoritative device inventory</w:t>
            </w:r>
          </w:p>
        </w:tc>
      </w:tr>
      <w:tr>
        <w:tc>
          <w:tcPr/>
          <w:p>
            <w:pPr>
              <w:pStyle w:val="Compact"/>
              <w:jc w:val="left"/>
            </w:pPr>
            <w:r>
              <w:t xml:space="preserve">Network-layer firewall as primary security</w:t>
            </w:r>
          </w:p>
        </w:tc>
        <w:tc>
          <w:tcPr/>
          <w:p>
            <w:pPr>
              <w:pStyle w:val="Compact"/>
              <w:jc w:val="left"/>
            </w:pPr>
            <w:r>
              <w:t xml:space="preserve">2018–2022</w:t>
            </w:r>
          </w:p>
        </w:tc>
        <w:tc>
          <w:tcPr/>
          <w:p>
            <w:pPr>
              <w:pStyle w:val="Compact"/>
              <w:jc w:val="left"/>
            </w:pPr>
            <w:r>
              <w:t xml:space="preserve">Application-layer enforcement (SASE, ZTNA)</w:t>
            </w:r>
          </w:p>
        </w:tc>
        <w:tc>
          <w:tcPr/>
          <w:p>
            <w:pPr>
              <w:pStyle w:val="Compact"/>
              <w:jc w:val="left"/>
            </w:pPr>
            <w:r>
              <w:t xml:space="preserve">Packets carry no useful identity or intent</w:t>
            </w:r>
          </w:p>
        </w:tc>
      </w:tr>
      <w:tr>
        <w:tc>
          <w:tcPr/>
          <w:p>
            <w:pPr>
              <w:pStyle w:val="Compact"/>
              <w:jc w:val="left"/>
            </w:pPr>
            <w:r>
              <w:t xml:space="preserve">Session-based application authentication</w:t>
            </w:r>
          </w:p>
        </w:tc>
        <w:tc>
          <w:tcPr/>
          <w:p>
            <w:pPr>
              <w:pStyle w:val="Compact"/>
              <w:jc w:val="left"/>
            </w:pPr>
            <w:r>
              <w:t xml:space="preserve">2015–2019</w:t>
            </w:r>
          </w:p>
        </w:tc>
        <w:tc>
          <w:tcPr/>
          <w:p>
            <w:pPr>
              <w:pStyle w:val="Compact"/>
              <w:jc w:val="left"/>
            </w:pPr>
            <w:r>
              <w:t xml:space="preserve">Token-based (OAuth 2.0 / OIDC)</w:t>
            </w:r>
          </w:p>
        </w:tc>
        <w:tc>
          <w:tcPr/>
          <w:p>
            <w:pPr>
              <w:pStyle w:val="Compact"/>
              <w:jc w:val="left"/>
            </w:pPr>
            <w:r>
              <w:t xml:space="preserve">Sessions break across WAN; tokens are stateless</w:t>
            </w:r>
          </w:p>
        </w:tc>
      </w:tr>
    </w:tbl>
    <w:p>
      <w:pPr>
        <w:pStyle w:val="BlockText"/>
      </w:pPr>
      <w:r>
        <w:rPr>
          <w:bCs/>
          <w:b/>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60"/>
    <w:bookmarkEnd w:id="61"/>
    <w:bookmarkStart w:id="62" w:name="X50c43ddecf199ebf91917431a313350dc266772"/>
    <w:p>
      <w:pPr>
        <w:pStyle w:val="Heading1"/>
      </w:pPr>
      <w:r>
        <w:rPr>
          <w:rStyle w:val="SectionNumber"/>
        </w:rPr>
        <w:t xml:space="preserve">8</w:t>
      </w:r>
      <w:r>
        <w:tab/>
      </w:r>
      <w:r>
        <w:t xml:space="preserve">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NIST Control</w:t>
            </w:r>
          </w:p>
        </w:tc>
        <w:tc>
          <w:tcPr/>
          <w:p>
            <w:pPr>
              <w:pStyle w:val="Compact"/>
              <w:jc w:val="left"/>
            </w:pPr>
            <w:r>
              <w:t xml:space="preserve">What It Requires</w:t>
            </w:r>
          </w:p>
        </w:tc>
        <w:tc>
          <w:tcPr/>
          <w:p>
            <w:pPr>
              <w:pStyle w:val="Compact"/>
              <w:jc w:val="left"/>
            </w:pPr>
            <w:r>
              <w:t xml:space="preserve">What Provides It</w:t>
            </w:r>
          </w:p>
        </w:tc>
      </w:tr>
      <w:tr>
        <w:tc>
          <w:tcPr/>
          <w:p>
            <w:pPr>
              <w:pStyle w:val="Compact"/>
              <w:jc w:val="left"/>
            </w:pPr>
            <w:r>
              <w:t xml:space="preserve">AC-4 Information Flow Enforcement</w:t>
            </w:r>
          </w:p>
        </w:tc>
        <w:tc>
          <w:tcPr/>
          <w:p>
            <w:pPr>
              <w:pStyle w:val="Compact"/>
              <w:jc w:val="left"/>
            </w:pPr>
            <w:r>
              <w:t xml:space="preserve">Application-layer enforcement identifying the destination application, not just the destination IP</w:t>
            </w:r>
          </w:p>
        </w:tc>
        <w:tc>
          <w:tcPr/>
          <w:p>
            <w:pPr>
              <w:pStyle w:val="Compact"/>
              <w:jc w:val="left"/>
            </w:pPr>
            <w:r>
              <w:t xml:space="preserve">CASB in SASE stack</w:t>
            </w:r>
          </w:p>
        </w:tc>
      </w:tr>
      <w:tr>
        <w:tc>
          <w:tcPr/>
          <w:p>
            <w:pPr>
              <w:pStyle w:val="Compact"/>
              <w:jc w:val="left"/>
            </w:pPr>
            <w:r>
              <w:t xml:space="preserve">SC-7 Boundary Protection</w:t>
            </w:r>
          </w:p>
        </w:tc>
        <w:tc>
          <w:tcPr/>
          <w:p>
            <w:pPr>
              <w:pStyle w:val="Compact"/>
              <w:jc w:val="left"/>
            </w:pPr>
            <w:r>
              <w:t xml:space="preserve">Application-layer inspection; detect C2 on port 443, exfiltration in DNS</w:t>
            </w:r>
          </w:p>
        </w:tc>
        <w:tc>
          <w:tcPr/>
          <w:p>
            <w:pPr>
              <w:pStyle w:val="Compact"/>
              <w:jc w:val="left"/>
            </w:pPr>
            <w:r>
              <w:t xml:space="preserve">SWG / FWaaS in SASE stack</w:t>
            </w:r>
          </w:p>
        </w:tc>
      </w:tr>
      <w:tr>
        <w:tc>
          <w:tcPr/>
          <w:p>
            <w:pPr>
              <w:pStyle w:val="Compact"/>
              <w:jc w:val="left"/>
            </w:pPr>
            <w:r>
              <w:t xml:space="preserve">SC-8 Transmission Confidentiality and Integrity</w:t>
            </w:r>
          </w:p>
        </w:tc>
        <w:tc>
          <w:tcPr/>
          <w:p>
            <w:pPr>
              <w:pStyle w:val="Compact"/>
              <w:jc w:val="left"/>
            </w:pPr>
            <w:r>
              <w:t xml:space="preserve">Network-layer encryption</w:t>
            </w:r>
          </w:p>
        </w:tc>
        <w:tc>
          <w:tcPr/>
          <w:p>
            <w:pPr>
              <w:pStyle w:val="Compact"/>
              <w:jc w:val="left"/>
            </w:pPr>
            <w:r>
              <w:t xml:space="preserve">SD-WAN IPsec tunnel — DIA alone encrypts nothing</w:t>
            </w:r>
          </w:p>
        </w:tc>
      </w:tr>
      <w:tr>
        <w:tc>
          <w:tcPr/>
          <w:p>
            <w:pPr>
              <w:pStyle w:val="Compact"/>
              <w:jc w:val="left"/>
            </w:pPr>
            <w:r>
              <w:t xml:space="preserve">SI-3 Malware Protection</w:t>
            </w:r>
          </w:p>
        </w:tc>
        <w:tc>
          <w:tcPr/>
          <w:p>
            <w:pPr>
              <w:pStyle w:val="Compact"/>
              <w:jc w:val="left"/>
            </w:pPr>
            <w:r>
              <w:t xml:space="preserve">Inline malware inspection at appropriate locations</w:t>
            </w:r>
          </w:p>
        </w:tc>
        <w:tc>
          <w:tcPr/>
          <w:p>
            <w:pPr>
              <w:pStyle w:val="Compact"/>
              <w:jc w:val="left"/>
            </w:pPr>
            <w:r>
              <w:t xml:space="preserve">SWG with SSL inspection in SASE stack</w:t>
            </w:r>
          </w:p>
        </w:tc>
      </w:tr>
      <w:tr>
        <w:tc>
          <w:tcPr/>
          <w:p>
            <w:pPr>
              <w:pStyle w:val="Compact"/>
              <w:jc w:val="left"/>
            </w:pPr>
            <w:r>
              <w:t xml:space="preserve">SI-4 System Monitoring</w:t>
            </w:r>
          </w:p>
        </w:tc>
        <w:tc>
          <w:tcPr/>
          <w:p>
            <w:pPr>
              <w:pStyle w:val="Compact"/>
              <w:jc w:val="left"/>
            </w:pPr>
            <w:r>
              <w:t xml:space="preserve">Application-layer telemetry — user, device, app, data, behavioral pattern</w:t>
            </w:r>
          </w:p>
        </w:tc>
        <w:tc>
          <w:tcPr/>
          <w:p>
            <w:pPr>
              <w:pStyle w:val="Compact"/>
              <w:jc w:val="left"/>
            </w:pPr>
            <w:r>
              <w:t xml:space="preserve">AAN application telemetry</w:t>
            </w:r>
          </w:p>
        </w:tc>
      </w:tr>
      <w:tr>
        <w:tc>
          <w:tcPr/>
          <w:p>
            <w:pPr>
              <w:pStyle w:val="Compact"/>
              <w:jc w:val="left"/>
            </w:pPr>
            <w:r>
              <w:t xml:space="preserve">AU-2 / AU-12 Audit Events / Audit Record Generation</w:t>
            </w:r>
          </w:p>
        </w:tc>
        <w:tc>
          <w:tcPr/>
          <w:p>
            <w:pPr>
              <w:pStyle w:val="Compact"/>
              <w:jc w:val="left"/>
            </w:pPr>
            <w:r>
              <w:t xml:space="preserve">User Z on device D accessed application A, performed action V on data type C — not just IP flows</w:t>
            </w:r>
          </w:p>
        </w:tc>
        <w:tc>
          <w:tcPr/>
          <w:p>
            <w:pPr>
              <w:pStyle w:val="Compact"/>
              <w:jc w:val="left"/>
            </w:pPr>
            <w:r>
              <w:t xml:space="preserve">Application-layer logging via AAN</w:t>
            </w:r>
          </w:p>
        </w:tc>
      </w:tr>
      <w:tr>
        <w:tc>
          <w:tcPr/>
          <w:p>
            <w:pPr>
              <w:pStyle w:val="Compact"/>
              <w:jc w:val="left"/>
            </w:pPr>
            <w:r>
              <w:t xml:space="preserve">CA-7 Continuous Monitoring</w:t>
            </w:r>
          </w:p>
        </w:tc>
        <w:tc>
          <w:tcPr/>
          <w:p>
            <w:pPr>
              <w:pStyle w:val="Compact"/>
              <w:jc w:val="left"/>
            </w:pPr>
            <w:r>
              <w:t xml:space="preserve">Per-session: identity verified, device posture, access consistent with policy — machine-readable</w:t>
            </w:r>
          </w:p>
        </w:tc>
        <w:tc>
          <w:tcPr/>
          <w:p>
            <w:pPr>
              <w:pStyle w:val="Compact"/>
              <w:jc w:val="left"/>
            </w:pPr>
            <w:r>
              <w:t xml:space="preserve">AAN and SASE stack</w:t>
            </w:r>
          </w:p>
        </w:tc>
      </w:tr>
    </w:tbl>
    <w:p>
      <w:pPr>
        <w:pStyle w:val="BlockText"/>
      </w:pPr>
      <w:r>
        <w:rPr>
          <w:bCs/>
          <w:b/>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t>
      </w:r>
      <w:r>
        <w:t xml:space="preserve">we have DIA</w:t>
      </w:r>
      <w:r>
        <w:t xml:space="preserve">”</w:t>
      </w:r>
      <w:r>
        <w:t xml:space="preserve"> </w:t>
      </w:r>
      <w:r>
        <w:t xml:space="preserve">as a compliance achievement, the correct technical response is:</w:t>
      </w:r>
      <w:r>
        <w:t xml:space="preserve"> </w:t>
      </w:r>
      <w:r>
        <w:rPr>
          <w:bCs/>
          <w:b/>
        </w:rPr>
        <w:t xml:space="preserve">you have the pipe. Where is the control stack?</w:t>
      </w:r>
    </w:p>
    <w:bookmarkEnd w:id="62"/>
    <w:bookmarkStart w:id="83" w:name="X1a497c7ea6d83df250265fb5a83ec23fa2fa09e"/>
    <w:p>
      <w:pPr>
        <w:pStyle w:val="Heading1"/>
      </w:pPr>
      <w:r>
        <w:rPr>
          <w:rStyle w:val="SectionNumber"/>
        </w:rPr>
        <w:t xml:space="preserve">9</w:t>
      </w:r>
      <w:r>
        <w:tab/>
      </w:r>
      <w:r>
        <w:t xml:space="preserve">Act 4 — The Way Forward: Application-Aware Modernization</w:t>
      </w:r>
    </w:p>
    <w:p>
      <w:pPr>
        <w:pStyle w:val="CaptionedFigure"/>
      </w:pPr>
      <w:r>
        <w:drawing>
          <wp:inline>
            <wp:extent cx="6858000" cy="3771900"/>
            <wp:effectExtent b="0" l="0" r="0" t="0"/>
            <wp:docPr descr="The Four Principles of Application-Aware Modernization" title="" id="64" name="Picture"/>
            <a:graphic>
              <a:graphicData uri="http://schemas.openxmlformats.org/drawingml/2006/picture">
                <pic:pic>
                  <pic:nvPicPr>
                    <pic:cNvPr descr="figs/mf-fig-05-four-principles.png" id="65" name="Picture"/>
                    <pic:cNvPicPr>
                      <a:picLocks noChangeArrowheads="1" noChangeAspect="1"/>
                    </pic:cNvPicPr>
                  </pic:nvPicPr>
                  <pic:blipFill>
                    <a:blip r:embed="rId63"/>
                    <a:stretch>
                      <a:fillRect/>
                    </a:stretch>
                  </pic:blipFill>
                  <pic:spPr bwMode="auto">
                    <a:xfrm>
                      <a:off x="0" y="0"/>
                      <a:ext cx="6858000" cy="37719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Cs/>
          <w:b/>
        </w:rPr>
        <w:t xml:space="preserve">the directory (truth)</w:t>
      </w:r>
      <w:r>
        <w:t xml:space="preserve"> </w:t>
      </w:r>
      <w:r>
        <w:t xml:space="preserve">with</w:t>
      </w:r>
      <w:r>
        <w:t xml:space="preserve"> </w:t>
      </w:r>
      <w:r>
        <w:rPr>
          <w:bCs/>
          <w:b/>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69" w:name="Xbc698cae2942f33fdb0065bde2168bfe6efbd56"/>
    <w:p>
      <w:pPr>
        <w:pStyle w:val="Heading2"/>
      </w:pPr>
      <w:r>
        <w:rPr>
          <w:rStyle w:val="SectionNumber"/>
        </w:rPr>
        <w:t xml:space="preserve">9.1</w:t>
      </w:r>
      <w:r>
        <w:tab/>
      </w:r>
      <w:r>
        <w:t xml:space="preserve">Principle 1 — Restore a Single Source of Truth</w:t>
      </w:r>
    </w:p>
    <w:p>
      <w:pPr>
        <w:pStyle w:val="CaptionedFigure"/>
      </w:pPr>
      <w:r>
        <w:drawing>
          <wp:inline>
            <wp:extent cx="6858000" cy="3657600"/>
            <wp:effectExtent b="0" l="0" r="0" t="0"/>
            <wp:docPr descr="Principle 1 — SSOT Restoration: Collapsing Twelve Regional Silos Into One Authoritative Model" title="" id="67" name="Picture"/>
            <a:graphic>
              <a:graphicData uri="http://schemas.openxmlformats.org/drawingml/2006/picture">
                <pic:pic>
                  <pic:nvPicPr>
                    <pic:cNvPr descr="figs/mf-fig-14-ssot-restoration.png" id="68" name="Picture"/>
                    <pic:cNvPicPr>
                      <a:picLocks noChangeArrowheads="1" noChangeAspect="1"/>
                    </pic:cNvPicPr>
                  </pic:nvPicPr>
                  <pic:blipFill>
                    <a:blip r:embed="rId66"/>
                    <a:stretch>
                      <a:fillRect/>
                    </a:stretch>
                  </pic:blipFill>
                  <pic:spPr bwMode="auto">
                    <a:xfrm>
                      <a:off x="0" y="0"/>
                      <a:ext cx="6858000" cy="36576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Cs/>
          <w:b/>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Cs/>
          <w:b/>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Cs/>
          <w:b/>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Cs/>
          <w:b/>
        </w:rPr>
        <w:t xml:space="preserve">Evidence Act (2018)</w:t>
      </w:r>
      <w:r>
        <w:t xml:space="preserve"> </w:t>
      </w:r>
      <w:r>
        <w:t xml:space="preserve">and the</w:t>
      </w:r>
      <w:r>
        <w:t xml:space="preserve"> </w:t>
      </w:r>
      <w:r>
        <w:rPr>
          <w:bCs/>
          <w:b/>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69"/>
    <w:bookmarkStart w:id="70" w:name="Xdfa5d8d43cb38b7775800e99b3c0ea4c41bc9b7"/>
    <w:p>
      <w:pPr>
        <w:pStyle w:val="Heading2"/>
      </w:pPr>
      <w:r>
        <w:rPr>
          <w:rStyle w:val="SectionNumber"/>
        </w:rPr>
        <w:t xml:space="preserve">9.2</w:t>
      </w:r>
      <w:r>
        <w:tab/>
      </w:r>
      <w:r>
        <w:t xml:space="preserve">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Cs/>
          <w:i/>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Cs/>
          <w:b/>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Cs/>
          <w:b/>
        </w:rPr>
        <w:t xml:space="preserve">OMB M-22-09</w:t>
      </w:r>
      <w:r>
        <w:t xml:space="preserve"> </w:t>
      </w:r>
      <w:r>
        <w:t xml:space="preserve">§4 requires agencies to implement network visibility and traffic inspection that operates at the application layer, not the IP/port layer.</w:t>
      </w:r>
      <w:r>
        <w:t xml:space="preserve"> </w:t>
      </w:r>
      <w:r>
        <w:rPr>
          <w:bCs/>
          <w:b/>
        </w:rPr>
        <w:t xml:space="preserve">TIC 3.0</w:t>
      </w:r>
      <w:r>
        <w:t xml:space="preserve"> </w:t>
      </w:r>
      <w:r>
        <w:t xml:space="preserve">Use Cases E and F mandate application-layer visibility as a condition of compliant remote and branch connectivity.</w:t>
      </w:r>
    </w:p>
    <w:p>
      <w:pPr>
        <w:pStyle w:val="BodyText"/>
      </w:pPr>
      <w:r>
        <w:rPr>
          <w:bCs/>
          <w:b/>
        </w:rPr>
        <w:t xml:space="preserve">Application-Aware Networking framework alignment:</w:t>
      </w:r>
    </w:p>
    <w:p>
      <w:pPr>
        <w:numPr>
          <w:ilvl w:val="0"/>
          <w:numId w:val="1002"/>
        </w:numPr>
        <w:pStyle w:val="Compact"/>
      </w:pPr>
      <w:r>
        <w:rPr>
          <w:bCs/>
          <w:b/>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numPr>
          <w:ilvl w:val="0"/>
          <w:numId w:val="1002"/>
        </w:numPr>
        <w:pStyle w:val="Compact"/>
      </w:pPr>
      <w:r>
        <w:rPr>
          <w:bCs/>
          <w:b/>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numPr>
          <w:ilvl w:val="0"/>
          <w:numId w:val="1002"/>
        </w:numPr>
        <w:pStyle w:val="Compact"/>
      </w:pPr>
      <w:r>
        <w:rPr>
          <w:bCs/>
          <w:b/>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70"/>
    <w:bookmarkStart w:id="77" w:name="X2ee2d00d99ef33eb9ff54cc77a73ec551d5614f"/>
    <w:p>
      <w:pPr>
        <w:pStyle w:val="Heading2"/>
      </w:pPr>
      <w:r>
        <w:rPr>
          <w:rStyle w:val="SectionNumber"/>
        </w:rPr>
        <w:t xml:space="preserve">9.3</w:t>
      </w:r>
      <w:r>
        <w:tab/>
      </w:r>
      <w:r>
        <w:t xml:space="preserve">Principle 3 — Move From Session-Based to Token-Based Identity</w:t>
      </w:r>
    </w:p>
    <w:p>
      <w:pPr>
        <w:pStyle w:val="CaptionedFigure"/>
      </w:pPr>
      <w:r>
        <w:drawing>
          <wp:inline>
            <wp:extent cx="6858000" cy="3657600"/>
            <wp:effectExtent b="0" l="0" r="0" t="0"/>
            <wp:docPr descr="Principle 3 — Token vs Session: How Modern Identity Works Across Networks" title="" id="72" name="Picture"/>
            <a:graphic>
              <a:graphicData uri="http://schemas.openxmlformats.org/drawingml/2006/picture">
                <pic:pic>
                  <pic:nvPicPr>
                    <pic:cNvPr descr="figs/mf-fig-12-token-vs-session.png" id="73" name="Picture"/>
                    <pic:cNvPicPr>
                      <a:picLocks noChangeArrowheads="1" noChangeAspect="1"/>
                    </pic:cNvPicPr>
                  </pic:nvPicPr>
                  <pic:blipFill>
                    <a:blip r:embed="rId71"/>
                    <a:stretch>
                      <a:fillRect/>
                    </a:stretch>
                  </pic:blipFill>
                  <pic:spPr bwMode="auto">
                    <a:xfrm>
                      <a:off x="0" y="0"/>
                      <a:ext cx="6858000" cy="36576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Cs/>
          <w:i/>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Cs/>
          <w:b/>
        </w:rPr>
        <w:t xml:space="preserve">BOD 25-01</w:t>
      </w:r>
      <w:r>
        <w:t xml:space="preserve"> </w:t>
      </w:r>
      <w:r>
        <w:t xml:space="preserve">mandates SCuBA secure configuration baselines for Microsoft 365 that require modern authentication throughout.</w:t>
      </w:r>
      <w:r>
        <w:t xml:space="preserve"> </w:t>
      </w:r>
      <w:r>
        <w:rPr>
          <w:bCs/>
          <w:b/>
        </w:rPr>
        <w:t xml:space="preserve">OMB M-22-09</w:t>
      </w:r>
      <w:r>
        <w:t xml:space="preserve"> </w:t>
      </w:r>
      <w:r>
        <w:t xml:space="preserve">requires phishing-resistant MFA government-wide. The</w:t>
      </w:r>
      <w:r>
        <w:t xml:space="preserve"> </w:t>
      </w:r>
      <w:r>
        <w:rPr>
          <w:bCs/>
          <w:b/>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Cs/>
          <w:b/>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Cs/>
          <w:b/>
        </w:rPr>
        <w:t xml:space="preserve">That is why Principle 3 depends on Principle 1: the token must assert an authorization that is</w:t>
      </w:r>
      <w:r>
        <w:rPr>
          <w:bCs/>
          <w:b/>
        </w:rPr>
        <w:t xml:space="preserve"> </w:t>
      </w:r>
      <w:r>
        <w:rPr>
          <w:iCs/>
          <w:i/>
          <w:bCs/>
          <w:b/>
        </w:rPr>
        <w:t xml:space="preserve">true</w:t>
      </w:r>
      <w:r>
        <w:rPr>
          <w:bCs/>
          <w:b/>
        </w:rPr>
        <w:t xml:space="preserve"> </w:t>
      </w:r>
      <w:r>
        <w:rPr>
          <w:bCs/>
          <w:b/>
        </w:rPr>
        <w:t xml:space="preserve">rather than merely</w:t>
      </w:r>
      <w:r>
        <w:rPr>
          <w:bCs/>
          <w:b/>
        </w:rPr>
        <w:t xml:space="preserve"> </w:t>
      </w:r>
      <w:r>
        <w:rPr>
          <w:iCs/>
          <w:i/>
          <w:bCs/>
          <w:b/>
        </w:rPr>
        <w:t xml:space="preserve">well-formed.</w:t>
      </w:r>
    </w:p>
    <w:p>
      <w:pPr>
        <w:pStyle w:val="CaptionedFigure"/>
      </w:pPr>
      <w:r>
        <w:drawing>
          <wp:inline>
            <wp:extent cx="6858000" cy="3505199"/>
            <wp:effectExtent b="0" l="0" r="0" t="0"/>
            <wp:docPr descr="FedRAMP 20x — From Periodic Assessment to Continuous Machine-Readable Evidence" title="" id="75" name="Picture"/>
            <a:graphic>
              <a:graphicData uri="http://schemas.openxmlformats.org/drawingml/2006/picture">
                <pic:pic>
                  <pic:nvPicPr>
                    <pic:cNvPr descr="figs/mf-fig-13-fedramp-20x-mainframe.png" id="76" name="Picture"/>
                    <pic:cNvPicPr>
                      <a:picLocks noChangeArrowheads="1" noChangeAspect="1"/>
                    </pic:cNvPicPr>
                  </pic:nvPicPr>
                  <pic:blipFill>
                    <a:blip r:embed="rId74"/>
                    <a:stretch>
                      <a:fillRect/>
                    </a:stretch>
                  </pic:blipFill>
                  <pic:spPr bwMode="auto">
                    <a:xfrm>
                      <a:off x="0" y="0"/>
                      <a:ext cx="6858000" cy="3505199"/>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7"/>
    <w:bookmarkStart w:id="78" w:name="sec-fedramp-20x-mainframe"/>
    <w:p>
      <w:pPr>
        <w:pStyle w:val="Heading2"/>
      </w:pPr>
      <w:r>
        <w:rPr>
          <w:rStyle w:val="SectionNumber"/>
        </w:rPr>
        <w:t xml:space="preserve">9.4</w:t>
      </w:r>
      <w:r>
        <w:tab/>
      </w:r>
      <w:r>
        <w:t xml:space="preserve">FedRAMP 20x Consolidated Rules — What Modernization Must Achieve</w:t>
      </w:r>
    </w:p>
    <w:p>
      <w:pPr>
        <w:pStyle w:val="FirstParagraph"/>
      </w:pPr>
      <w:r>
        <w:t xml:space="preserve">FedRAMP published its</w:t>
      </w:r>
      <w:r>
        <w:t xml:space="preserve"> </w:t>
      </w:r>
      <w:r>
        <w:rPr>
          <w:bCs/>
          <w:b/>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Cs/>
          <w:b/>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 {.striped .hover}</w:t>
      </w:r>
    </w:p>
    <w:tbl>
      <w:tblPr>
        <w:tblStyle w:val="Table"/>
        <w:tblW w:type="pct" w:w="5000"/>
        <w:tblLook w:firstRow="1" w:lastRow="0" w:firstColumn="0" w:lastColumn="0" w:noHBand="0" w:noVBand="0" w:val="0020"/>
        <w:jc w:val="start"/>
        <w:tblCaption w:val="FedRAMP 20x Consolidated Rules Alignment {.striped .hover}"/>
      </w:tblPr>
      <w:tblGrid>
        <w:gridCol w:w="3960"/>
        <w:gridCol w:w="3960"/>
      </w:tblGrid>
      <w:tr>
        <w:trPr>
          <w:tblHeader w:val="true"/>
        </w:trPr>
        <w:tc>
          <w:tcPr/>
          <w:p>
            <w:pPr>
              <w:pStyle w:val="Compact"/>
              <w:jc w:val="left"/>
            </w:pPr>
            <w:r>
              <w:t xml:space="preserve">FedRAMP 20x Requirement</w:t>
            </w:r>
          </w:p>
        </w:tc>
        <w:tc>
          <w:tcPr/>
          <w:p>
            <w:pPr>
              <w:pStyle w:val="Compact"/>
              <w:jc w:val="left"/>
            </w:pPr>
            <w:r>
              <w:t xml:space="preserve">What the Modern Architecture Provides</w:t>
            </w:r>
          </w:p>
        </w:tc>
      </w:tr>
      <w:tr>
        <w:tc>
          <w:tcPr/>
          <w:p>
            <w:pPr>
              <w:pStyle w:val="Compact"/>
              <w:jc w:val="left"/>
            </w:pPr>
            <w:r>
              <w:t xml:space="preserve">Continuous, automated KSI verification</w:t>
            </w:r>
          </w:p>
        </w:tc>
        <w:tc>
          <w:tcPr/>
          <w:p>
            <w:pPr>
              <w:pStyle w:val="Compact"/>
              <w:jc w:val="left"/>
            </w:pPr>
            <w:r>
              <w:t xml:space="preserve">SD-WAN probes every transport every second; SASE logs every session; DDI logs every DNS query</w:t>
            </w:r>
          </w:p>
        </w:tc>
      </w:tr>
      <w:tr>
        <w:tc>
          <w:tcPr/>
          <w:p>
            <w:pPr>
              <w:pStyle w:val="Compact"/>
              <w:jc w:val="left"/>
            </w:pPr>
            <w:r>
              <w:t xml:space="preserve">Machine-readable evidence format (JSON)</w:t>
            </w:r>
          </w:p>
        </w:tc>
        <w:tc>
          <w:tcPr/>
          <w:p>
            <w:pPr>
              <w:pStyle w:val="Compact"/>
              <w:jc w:val="left"/>
            </w:pPr>
            <w:r>
              <w:t xml:space="preserve">SD-WAN telemetry APIs, SIEM structured exports, InfoBlox WAPI — all native JSON</w:t>
            </w:r>
          </w:p>
        </w:tc>
      </w:tr>
      <w:tr>
        <w:tc>
          <w:tcPr/>
          <w:p>
            <w:pPr>
              <w:pStyle w:val="Compact"/>
              <w:jc w:val="left"/>
            </w:pPr>
            <w:r>
              <w:t xml:space="preserve">Infrastructure-as-code guardrails</w:t>
            </w:r>
          </w:p>
        </w:tc>
        <w:tc>
          <w:tcPr/>
          <w:p>
            <w:pPr>
              <w:pStyle w:val="Compact"/>
              <w:jc w:val="left"/>
            </w:pPr>
            <w:r>
              <w:t xml:space="preserve">Terraform for DDI, IaC for SASE policy, GitOps for network config — guardrails enforced at commit</w:t>
            </w:r>
          </w:p>
        </w:tc>
      </w:tr>
      <w:tr>
        <w:tc>
          <w:tcPr/>
          <w:p>
            <w:pPr>
              <w:pStyle w:val="Compact"/>
              <w:jc w:val="left"/>
            </w:pPr>
            <w:r>
              <w:t xml:space="preserve">No manual evidence assembly for assessments</w:t>
            </w:r>
          </w:p>
        </w:tc>
        <w:tc>
          <w:tcPr/>
          <w:p>
            <w:pPr>
              <w:pStyle w:val="Compact"/>
              <w:jc w:val="left"/>
            </w:pPr>
            <w:r>
              <w:t xml:space="preserve">The control plane’s continuous observation IS the evidence — not a report prepared for an assessor</w:t>
            </w:r>
          </w:p>
        </w:tc>
      </w:tr>
      <w:tr>
        <w:tc>
          <w:tcPr/>
          <w:p>
            <w:pPr>
              <w:pStyle w:val="Compact"/>
              <w:jc w:val="left"/>
            </w:pPr>
            <w:r>
              <w:t xml:space="preserve">Automated KSI: all DNS encrypted or integrity-protected</w:t>
            </w:r>
          </w:p>
        </w:tc>
        <w:tc>
          <w:tcPr/>
          <w:p>
            <w:pPr>
              <w:pStyle w:val="Compact"/>
              <w:jc w:val="left"/>
            </w:pPr>
            <w:r>
              <w:t xml:space="preserve">DNSSEC on all zones; DoH/DoT on Grid Members</w:t>
            </w:r>
          </w:p>
        </w:tc>
      </w:tr>
      <w:tr>
        <w:tc>
          <w:tcPr/>
          <w:p>
            <w:pPr>
              <w:pStyle w:val="Compact"/>
              <w:jc w:val="left"/>
            </w:pPr>
            <w:r>
              <w:t xml:space="preserve">Automated KSI: no CIDR overlap between environments</w:t>
            </w:r>
          </w:p>
        </w:tc>
        <w:tc>
          <w:tcPr/>
          <w:p>
            <w:pPr>
              <w:pStyle w:val="Compact"/>
              <w:jc w:val="left"/>
            </w:pPr>
            <w:r>
              <w:t xml:space="preserve">Terraform InfoBlox provider blocks overlapping allocation at request time</w:t>
            </w:r>
          </w:p>
        </w:tc>
      </w:tr>
      <w:tr>
        <w:tc>
          <w:tcPr/>
          <w:p>
            <w:pPr>
              <w:pStyle w:val="Compact"/>
              <w:jc w:val="left"/>
            </w:pPr>
            <w:r>
              <w:t xml:space="preserve">Automated KSI: every workload has machine identity</w:t>
            </w:r>
          </w:p>
        </w:tc>
        <w:tc>
          <w:tcPr/>
          <w:p>
            <w:pPr>
              <w:pStyle w:val="Compact"/>
              <w:jc w:val="left"/>
            </w:pPr>
            <w:r>
              <w:t xml:space="preserve">SCEP/EST auto-enrollment triggered at IP provisioning</w:t>
            </w:r>
          </w:p>
        </w:tc>
      </w:tr>
    </w:tbl>
    <w:p>
      <w:pPr>
        <w:pStyle w:val="BodyText"/>
      </w:pPr>
      <w:r>
        <w:rPr>
          <w:bCs/>
          <w:b/>
        </w:rPr>
        <w:t xml:space="preserve">Key dates all agencies must track:</w:t>
      </w:r>
    </w:p>
    <w:p>
      <w:pPr>
        <w:numPr>
          <w:ilvl w:val="0"/>
          <w:numId w:val="1003"/>
        </w:numPr>
        <w:pStyle w:val="Compact"/>
      </w:pPr>
      <w:r>
        <w:rPr>
          <w:bCs/>
          <w:b/>
        </w:rPr>
        <w:t xml:space="preserve">July 28, 2026:</w:t>
      </w:r>
      <w:r>
        <w:t xml:space="preserve"> </w:t>
      </w:r>
      <w:r>
        <w:t xml:space="preserve">FedRAMP Ready submissions cease — no new Ready pathway submissions accepted</w:t>
      </w:r>
    </w:p>
    <w:p>
      <w:pPr>
        <w:numPr>
          <w:ilvl w:val="0"/>
          <w:numId w:val="1003"/>
        </w:numPr>
        <w:pStyle w:val="Compact"/>
      </w:pPr>
      <w:r>
        <w:rPr>
          <w:bCs/>
          <w:b/>
        </w:rPr>
        <w:t xml:space="preserve">August 3, 2026:</w:t>
      </w:r>
      <w:r>
        <w:t xml:space="preserve"> </w:t>
      </w:r>
      <w:r>
        <w:t xml:space="preserve">Class A pipeline opens</w:t>
      </w:r>
    </w:p>
    <w:p>
      <w:pPr>
        <w:numPr>
          <w:ilvl w:val="0"/>
          <w:numId w:val="1003"/>
        </w:numPr>
        <w:pStyle w:val="Compact"/>
      </w:pPr>
      <w:r>
        <w:rPr>
          <w:bCs/>
          <w:b/>
        </w:rPr>
        <w:t xml:space="preserve">August 31, 2026:</w:t>
      </w:r>
      <w:r>
        <w:t xml:space="preserve"> </w:t>
      </w:r>
      <w:r>
        <w:t xml:space="preserve">Class B and C pipelines open</w:t>
      </w:r>
    </w:p>
    <w:p>
      <w:pPr>
        <w:numPr>
          <w:ilvl w:val="0"/>
          <w:numId w:val="1003"/>
        </w:numPr>
        <w:pStyle w:val="Compact"/>
      </w:pPr>
      <w:r>
        <w:rPr>
          <w:bCs/>
          <w:b/>
        </w:rPr>
        <w:t xml:space="preserve">January 1, 2027:</w:t>
      </w:r>
      <w:r>
        <w:t xml:space="preserve"> </w:t>
      </w:r>
      <w:r>
        <w:t xml:space="preserve">Consolidated Rules mandatory for all certified systems — all ConMon evidence must meet machine-readable KSI format</w:t>
      </w:r>
    </w:p>
    <w:p>
      <w:pPr>
        <w:numPr>
          <w:ilvl w:val="0"/>
          <w:numId w:val="1003"/>
        </w:numPr>
        <w:pStyle w:val="Compact"/>
      </w:pPr>
      <w:r>
        <w:rPr>
          <w:bCs/>
          <w:b/>
        </w:rPr>
        <w:t xml:space="preserve">June 11, 2027:</w:t>
      </w:r>
      <w:r>
        <w:t xml:space="preserve"> </w:t>
      </w:r>
      <w:r>
        <w:t xml:space="preserve">No new Rev5 certifications accepted</w:t>
      </w:r>
    </w:p>
    <w:p>
      <w:pPr>
        <w:pStyle w:val="FirstParagraph"/>
      </w:pPr>
      <w:r>
        <w:rPr>
          <w:bCs/>
          <w:b/>
        </w:rPr>
        <w:t xml:space="preserve">The precise alignment:</w:t>
      </w:r>
      <w:r>
        <w:t xml:space="preserve"> </w:t>
      </w:r>
      <w:r>
        <w:t xml:space="preserve">FedRAMP 20x’s demand for</w:t>
      </w:r>
      <w:r>
        <w:t xml:space="preserve"> </w:t>
      </w:r>
      <w:r>
        <w:t xml:space="preserve">“</w:t>
      </w:r>
      <w:r>
        <w:t xml:space="preserve">continuous, automated, machine-readable evidence</w:t>
      </w:r>
      <w:r>
        <w:t xml:space="preserv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bookmarkEnd w:id="78"/>
    <w:bookmarkStart w:id="82" w:name="X83e0d573bebbfeb4b5a4df8ed0603d864d64519"/>
    <w:p>
      <w:pPr>
        <w:pStyle w:val="Heading2"/>
      </w:pPr>
      <w:r>
        <w:rPr>
          <w:rStyle w:val="SectionNumber"/>
        </w:rPr>
        <w:t xml:space="preserve">9.5</w:t>
      </w:r>
      <w:r>
        <w:tab/>
      </w:r>
      <w:r>
        <w:t xml:space="preserve">Principle 4 — Govern Actively: The Control Plane Over the Data Plane</w:t>
      </w:r>
    </w:p>
    <w:p>
      <w:pPr>
        <w:pStyle w:val="CaptionedFigure"/>
      </w:pPr>
      <w:r>
        <w:drawing>
          <wp:inline>
            <wp:extent cx="6858000" cy="3657600"/>
            <wp:effectExtent b="0" l="0" r="0" t="0"/>
            <wp:docPr descr="Active Governance: Control Plane and Actuation Ladder" title="" id="80" name="Picture"/>
            <a:graphic>
              <a:graphicData uri="http://schemas.openxmlformats.org/drawingml/2006/picture">
                <pic:pic>
                  <pic:nvPicPr>
                    <pic:cNvPr descr="figs/mf-fig-06-active-governance.png" id="81" name="Picture"/>
                    <pic:cNvPicPr>
                      <a:picLocks noChangeArrowheads="1" noChangeAspect="1"/>
                    </pic:cNvPicPr>
                  </pic:nvPicPr>
                  <pic:blipFill>
                    <a:blip r:embed="rId79"/>
                    <a:stretch>
                      <a:fillRect/>
                    </a:stretch>
                  </pic:blipFill>
                  <pic:spPr bwMode="auto">
                    <a:xfrm>
                      <a:off x="0" y="0"/>
                      <a:ext cx="6858000" cy="36576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Cs/>
          <w:b/>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Cs/>
          <w:b/>
        </w:rPr>
        <w:t xml:space="preserve">data planes</w:t>
      </w:r>
      <w:r>
        <w:t xml:space="preserve"> </w:t>
      </w:r>
      <w:r>
        <w:t xml:space="preserve">that authenticate, route, resolve, and store at runtime.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CISA ZT Stage</w:t>
            </w:r>
          </w:p>
        </w:tc>
        <w:tc>
          <w:tcPr/>
          <w:p>
            <w:pPr>
              <w:pStyle w:val="Compact"/>
              <w:jc w:val="left"/>
            </w:pPr>
            <w:r>
              <w:t xml:space="preserve">Governance Posture</w:t>
            </w:r>
          </w:p>
        </w:tc>
        <w:tc>
          <w:tcPr/>
          <w:p>
            <w:pPr>
              <w:pStyle w:val="Compact"/>
              <w:jc w:val="left"/>
            </w:pPr>
            <w:r>
              <w:t xml:space="preserve">What This Means in Practice</w:t>
            </w:r>
          </w:p>
        </w:tc>
      </w:tr>
      <w:tr>
        <w:tc>
          <w:tcPr/>
          <w:p>
            <w:pPr>
              <w:pStyle w:val="Compact"/>
              <w:jc w:val="left"/>
            </w:pPr>
            <w:r>
              <w:t xml:space="preserve">Traditional</w:t>
            </w:r>
          </w:p>
        </w:tc>
        <w:tc>
          <w:tcPr/>
          <w:p>
            <w:pPr>
              <w:pStyle w:val="Compact"/>
              <w:jc w:val="left"/>
            </w:pPr>
            <w:r>
              <w:t xml:space="preserve">Record and observe only</w:t>
            </w:r>
          </w:p>
        </w:tc>
        <w:tc>
          <w:tcPr/>
          <w:p>
            <w:pPr>
              <w:pStyle w:val="Compact"/>
              <w:jc w:val="left"/>
            </w:pPr>
            <w:r>
              <w:t xml:space="preserve">Desired state documented; actual state collected manually. No automated detection or correction.</w:t>
            </w:r>
          </w:p>
        </w:tc>
      </w:tr>
      <w:tr>
        <w:tc>
          <w:tcPr/>
          <w:p>
            <w:pPr>
              <w:pStyle w:val="Compact"/>
              <w:jc w:val="left"/>
            </w:pPr>
            <w:r>
              <w:t xml:space="preserve">Initial</w:t>
            </w:r>
          </w:p>
        </w:tc>
        <w:tc>
          <w:tcPr/>
          <w:p>
            <w:pPr>
              <w:pStyle w:val="Compact"/>
              <w:jc w:val="left"/>
            </w:pPr>
            <w:r>
              <w:t xml:space="preserve">Observe and advise</w:t>
            </w:r>
          </w:p>
        </w:tc>
        <w:tc>
          <w:tcPr/>
          <w:p>
            <w:pPr>
              <w:pStyle w:val="Compact"/>
              <w:jc w:val="left"/>
            </w:pPr>
            <w:r>
              <w:t xml:space="preserve">Automated detection of drift from policy. Corrective actions generated and surfaced to operators. No automated writes.</w:t>
            </w:r>
          </w:p>
        </w:tc>
      </w:tr>
      <w:tr>
        <w:tc>
          <w:tcPr/>
          <w:p>
            <w:pPr>
              <w:pStyle w:val="Compact"/>
              <w:jc w:val="left"/>
            </w:pPr>
            <w:r>
              <w:rPr>
                <w:bCs/>
                <w:b/>
              </w:rPr>
              <w:t xml:space="preserve">Advanced</w:t>
            </w:r>
          </w:p>
        </w:tc>
        <w:tc>
          <w:tcPr/>
          <w:p>
            <w:pPr>
              <w:pStyle w:val="Compact"/>
              <w:jc w:val="left"/>
            </w:pPr>
            <w:r>
              <w:rPr>
                <w:bCs/>
                <w:b/>
              </w:rPr>
              <w:t xml:space="preserve">Gated actuation</w:t>
            </w:r>
          </w:p>
        </w:tc>
        <w:tc>
          <w:tcPr/>
          <w:p>
            <w:pPr>
              <w:pStyle w:val="Compact"/>
              <w:jc w:val="left"/>
            </w:pPr>
            <w:r>
              <w:rPr>
                <w:bCs/>
                <w:b/>
              </w:rPr>
              <w:t xml:space="preserve">Governance framework generates a corrective action; a human approves before it executes. Dry-run required before production. Federal ConMon standard posture.</w:t>
            </w:r>
          </w:p>
        </w:tc>
      </w:tr>
      <w:tr>
        <w:tc>
          <w:tcPr/>
          <w:p>
            <w:pPr>
              <w:pStyle w:val="Compact"/>
              <w:jc w:val="left"/>
            </w:pPr>
            <w:r>
              <w:t xml:space="preserve">Optimal</w:t>
            </w:r>
          </w:p>
        </w:tc>
        <w:tc>
          <w:tcPr/>
          <w:p>
            <w:pPr>
              <w:pStyle w:val="Compact"/>
              <w:jc w:val="left"/>
            </w:pPr>
            <w:r>
              <w:t xml:space="preserve">Autonomous within guardrails</w:t>
            </w:r>
          </w:p>
        </w:tc>
        <w:tc>
          <w:tcPr/>
          <w:p>
            <w:pPr>
              <w:pStyle w:val="Compact"/>
              <w:jc w:val="left"/>
            </w:pPr>
            <w:r>
              <w:t xml:space="preserve">Governance framework closes the loop without human intervention for enumerated low-blast-radius operation classes. High-blast-radius operations remain gated permanently.</w:t>
            </w:r>
          </w:p>
        </w:tc>
      </w:tr>
    </w:tbl>
    <w:p>
      <w:pPr>
        <w:pStyle w:val="BlockText"/>
      </w:pPr>
      <w:r>
        <w:rPr>
          <w:bCs/>
          <w:b/>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2"/>
    <w:bookmarkEnd w:id="83"/>
    <w:bookmarkStart w:id="84" w:name="federal-framework-alignment"/>
    <w:p>
      <w:pPr>
        <w:pStyle w:val="Heading1"/>
      </w:pPr>
      <w:r>
        <w:rPr>
          <w:rStyle w:val="SectionNumber"/>
        </w:rPr>
        <w:t xml:space="preserve">10</w:t>
      </w:r>
      <w:r>
        <w:tab/>
      </w:r>
      <w:r>
        <w:t xml:space="preserve">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Narrative Claim</w:t>
            </w:r>
          </w:p>
        </w:tc>
        <w:tc>
          <w:tcPr/>
          <w:p>
            <w:pPr>
              <w:pStyle w:val="Compact"/>
              <w:jc w:val="left"/>
            </w:pPr>
            <w:r>
              <w:t xml:space="preserve">Federal Mandate</w:t>
            </w:r>
          </w:p>
        </w:tc>
        <w:tc>
          <w:tcPr/>
          <w:p>
            <w:pPr>
              <w:pStyle w:val="Compact"/>
              <w:jc w:val="left"/>
            </w:pPr>
            <w:r>
              <w:t xml:space="preserve">Standard / Reference</w:t>
            </w:r>
          </w:p>
        </w:tc>
      </w:tr>
      <w:tr>
        <w:tc>
          <w:tcPr/>
          <w:p>
            <w:pPr>
              <w:pStyle w:val="Compact"/>
              <w:jc w:val="left"/>
            </w:pPr>
            <w:r>
              <w:t xml:space="preserve">Separate truth from runtime enforcement</w:t>
            </w:r>
          </w:p>
        </w:tc>
        <w:tc>
          <w:tcPr/>
          <w:p>
            <w:pPr>
              <w:pStyle w:val="Compact"/>
              <w:jc w:val="left"/>
            </w:pPr>
            <w:r>
              <w:t xml:space="preserve">EO 14028 (May 2021), OMB M-22-09</w:t>
            </w:r>
          </w:p>
        </w:tc>
        <w:tc>
          <w:tcPr/>
          <w:p>
            <w:pPr>
              <w:pStyle w:val="Compact"/>
              <w:jc w:val="left"/>
            </w:pPr>
            <w:r>
              <w:t xml:space="preserve">NIST SP 800-207 §2 (Zero Trust tenets)</w:t>
            </w:r>
          </w:p>
        </w:tc>
      </w:tr>
      <w:tr>
        <w:tc>
          <w:tcPr/>
          <w:p>
            <w:pPr>
              <w:pStyle w:val="Compact"/>
              <w:jc w:val="left"/>
            </w:pPr>
            <w:r>
              <w:t xml:space="preserve">Single source of truth for identity and data</w:t>
            </w:r>
          </w:p>
        </w:tc>
        <w:tc>
          <w:tcPr/>
          <w:p>
            <w:pPr>
              <w:pStyle w:val="Compact"/>
              <w:jc w:val="left"/>
            </w:pPr>
            <w:r>
              <w:t xml:space="preserve">Evidence Act (2018), Federal Data Strategy</w:t>
            </w:r>
          </w:p>
        </w:tc>
        <w:tc>
          <w:tcPr/>
          <w:p>
            <w:pPr>
              <w:pStyle w:val="Compact"/>
              <w:jc w:val="left"/>
            </w:pPr>
            <w:r>
              <w:t xml:space="preserve">NIST SP 800-53 Rev 5 CM-8, SI-12</w:t>
            </w:r>
          </w:p>
        </w:tc>
      </w:tr>
      <w:tr>
        <w:tc>
          <w:tcPr/>
          <w:p>
            <w:pPr>
              <w:pStyle w:val="Compact"/>
              <w:jc w:val="left"/>
            </w:pPr>
            <w:r>
              <w:t xml:space="preserve">Authoritative identity attributes from HR / authoritative sources</w:t>
            </w:r>
          </w:p>
        </w:tc>
        <w:tc>
          <w:tcPr/>
          <w:p>
            <w:pPr>
              <w:pStyle w:val="Compact"/>
              <w:jc w:val="left"/>
            </w:pPr>
            <w:r>
              <w:t xml:space="preserve">FICAM Architecture, OMB M-22-09</w:t>
            </w:r>
          </w:p>
        </w:tc>
        <w:tc>
          <w:tcPr/>
          <w:p>
            <w:pPr>
              <w:pStyle w:val="Compact"/>
              <w:jc w:val="left"/>
            </w:pPr>
            <w:r>
              <w:t xml:space="preserve">NIST SP 800-63 Digital Identity Guidelines</w:t>
            </w:r>
          </w:p>
        </w:tc>
      </w:tr>
      <w:tr>
        <w:tc>
          <w:tcPr/>
          <w:p>
            <w:pPr>
              <w:pStyle w:val="Compact"/>
              <w:jc w:val="left"/>
            </w:pPr>
            <w:r>
              <w:t xml:space="preserve">Application-aware networking; per-transaction policy enforcement</w:t>
            </w:r>
          </w:p>
        </w:tc>
        <w:tc>
          <w:tcPr/>
          <w:p>
            <w:pPr>
              <w:pStyle w:val="Compact"/>
              <w:jc w:val="left"/>
            </w:pPr>
            <w:r>
              <w:t xml:space="preserve">OMB M-22-09 §4, EO 14028</w:t>
            </w:r>
          </w:p>
        </w:tc>
        <w:tc>
          <w:tcPr/>
          <w:p>
            <w:pPr>
              <w:pStyle w:val="Compact"/>
              <w:jc w:val="left"/>
            </w:pPr>
            <w:r>
              <w:t xml:space="preserve">NIST SP 800-207, TIC 3.0 Use Cases E and F</w:t>
            </w:r>
          </w:p>
        </w:tc>
      </w:tr>
      <w:tr>
        <w:tc>
          <w:tcPr/>
          <w:p>
            <w:pPr>
              <w:pStyle w:val="Compact"/>
              <w:jc w:val="left"/>
            </w:pPr>
            <w:r>
              <w:t xml:space="preserve">Phishing-resistant MFA / Certificate-Based Authentication</w:t>
            </w:r>
          </w:p>
        </w:tc>
        <w:tc>
          <w:tcPr/>
          <w:p>
            <w:pPr>
              <w:pStyle w:val="Compact"/>
              <w:jc w:val="left"/>
            </w:pPr>
            <w:r>
              <w:t xml:space="preserve">BOD 25-01, OMB M-22-09</w:t>
            </w:r>
          </w:p>
        </w:tc>
        <w:tc>
          <w:tcPr/>
          <w:p>
            <w:pPr>
              <w:pStyle w:val="Compact"/>
              <w:jc w:val="left"/>
            </w:pPr>
            <w:r>
              <w:t xml:space="preserve">CISA ZTMM v2.0 Identity pillar (Advanced/Optimal)</w:t>
            </w:r>
          </w:p>
        </w:tc>
      </w:tr>
      <w:tr>
        <w:tc>
          <w:tcPr/>
          <w:p>
            <w:pPr>
              <w:pStyle w:val="Compact"/>
              <w:jc w:val="left"/>
            </w:pPr>
            <w:r>
              <w:t xml:space="preserve">Eliminate NTLM; move to token-based identity</w:t>
            </w:r>
          </w:p>
        </w:tc>
        <w:tc>
          <w:tcPr/>
          <w:p>
            <w:pPr>
              <w:pStyle w:val="Compact"/>
              <w:jc w:val="left"/>
            </w:pPr>
            <w:r>
              <w:t xml:space="preserve">BOD 25-01 (M365 SCuBA baselines)</w:t>
            </w:r>
          </w:p>
        </w:tc>
        <w:tc>
          <w:tcPr/>
          <w:p>
            <w:pPr>
              <w:pStyle w:val="Compact"/>
              <w:jc w:val="left"/>
            </w:pPr>
            <w:r>
              <w:t xml:space="preserve">CISA ZTMM v2.0 Identity pillar</w:t>
            </w:r>
          </w:p>
        </w:tc>
      </w:tr>
      <w:tr>
        <w:tc>
          <w:tcPr/>
          <w:p>
            <w:pPr>
              <w:pStyle w:val="Compact"/>
              <w:jc w:val="left"/>
            </w:pPr>
            <w:r>
              <w:t xml:space="preserve">Device compliance as input to access decisions</w:t>
            </w:r>
          </w:p>
        </w:tc>
        <w:tc>
          <w:tcPr/>
          <w:p>
            <w:pPr>
              <w:pStyle w:val="Compact"/>
              <w:jc w:val="left"/>
            </w:pPr>
            <w:r>
              <w:t xml:space="preserve">OMB M-22-09 §3</w:t>
            </w:r>
          </w:p>
        </w:tc>
        <w:tc>
          <w:tcPr/>
          <w:p>
            <w:pPr>
              <w:pStyle w:val="Compact"/>
              <w:jc w:val="left"/>
            </w:pPr>
            <w:r>
              <w:t xml:space="preserve">CISA ZTMM v2.0 Devices pillar</w:t>
            </w:r>
          </w:p>
        </w:tc>
      </w:tr>
      <w:tr>
        <w:tc>
          <w:tcPr/>
          <w:p>
            <w:pPr>
              <w:pStyle w:val="Compact"/>
              <w:jc w:val="left"/>
            </w:pPr>
            <w:r>
              <w:t xml:space="preserve">SD-WAN local internet breakout; eliminate MPLS hairpin</w:t>
            </w:r>
          </w:p>
        </w:tc>
        <w:tc>
          <w:tcPr/>
          <w:p>
            <w:pPr>
              <w:pStyle w:val="Compact"/>
              <w:jc w:val="left"/>
            </w:pPr>
            <w:r>
              <w:t xml:space="preserve">TIC 3.0 (Trusted Internet Connections)</w:t>
            </w:r>
          </w:p>
        </w:tc>
        <w:tc>
          <w:tcPr/>
          <w:p>
            <w:pPr>
              <w:pStyle w:val="Compact"/>
              <w:jc w:val="left"/>
            </w:pPr>
            <w:r>
              <w:t xml:space="preserve">CISA ZTMM v2.0 Networks pillar</w:t>
            </w:r>
          </w:p>
        </w:tc>
      </w:tr>
      <w:tr>
        <w:tc>
          <w:tcPr/>
          <w:p>
            <w:pPr>
              <w:pStyle w:val="Compact"/>
              <w:jc w:val="left"/>
            </w:pPr>
            <w:r>
              <w:t xml:space="preserve">SASE / ZTNA as access model replacing VPN</w:t>
            </w:r>
          </w:p>
        </w:tc>
        <w:tc>
          <w:tcPr/>
          <w:p>
            <w:pPr>
              <w:pStyle w:val="Compact"/>
              <w:jc w:val="left"/>
            </w:pPr>
            <w:r>
              <w:t xml:space="preserve">OMB M-22-09 §4, TIC 3.0</w:t>
            </w:r>
          </w:p>
        </w:tc>
        <w:tc>
          <w:tcPr/>
          <w:p>
            <w:pPr>
              <w:pStyle w:val="Compact"/>
              <w:jc w:val="left"/>
            </w:pPr>
            <w:r>
              <w:t xml:space="preserve">NIST SP 800-207, CISA ZTMM Networks pillar</w:t>
            </w:r>
          </w:p>
        </w:tc>
      </w:tr>
      <w:tr>
        <w:tc>
          <w:tcPr/>
          <w:p>
            <w:pPr>
              <w:pStyle w:val="Compact"/>
              <w:jc w:val="left"/>
            </w:pPr>
            <w:r>
              <w:t xml:space="preserve">Unified DNS as security control (DNSSEC, RPZ, threat blocking)</w:t>
            </w:r>
          </w:p>
        </w:tc>
        <w:tc>
          <w:tcPr/>
          <w:p>
            <w:pPr>
              <w:pStyle w:val="Compact"/>
              <w:jc w:val="left"/>
            </w:pPr>
            <w:r>
              <w:t xml:space="preserve">FedRAMP Moderate SC-20/21</w:t>
            </w:r>
          </w:p>
        </w:tc>
        <w:tc>
          <w:tcPr/>
          <w:p>
            <w:pPr>
              <w:pStyle w:val="Compact"/>
              <w:jc w:val="left"/>
            </w:pPr>
            <w:r>
              <w:t xml:space="preserve">NIST SP 800-53 Rev 5 SC-20, SC-21</w:t>
            </w:r>
          </w:p>
        </w:tc>
      </w:tr>
      <w:tr>
        <w:tc>
          <w:tcPr/>
          <w:p>
            <w:pPr>
              <w:pStyle w:val="Compact"/>
              <w:jc w:val="left"/>
            </w:pPr>
            <w:r>
              <w:t xml:space="preserve">IP address inventory as compliance evidence (CM-8)</w:t>
            </w:r>
          </w:p>
        </w:tc>
        <w:tc>
          <w:tcPr/>
          <w:p>
            <w:pPr>
              <w:pStyle w:val="Compact"/>
              <w:jc w:val="left"/>
            </w:pPr>
            <w:r>
              <w:t xml:space="preserve">FedRAMP Moderate</w:t>
            </w:r>
          </w:p>
        </w:tc>
        <w:tc>
          <w:tcPr/>
          <w:p>
            <w:pPr>
              <w:pStyle w:val="Compact"/>
              <w:jc w:val="left"/>
            </w:pPr>
            <w:r>
              <w:t xml:space="preserve">NIST SP 800-53 Rev 5 CM-8</w:t>
            </w:r>
          </w:p>
        </w:tc>
      </w:tr>
      <w:tr>
        <w:tc>
          <w:tcPr/>
          <w:p>
            <w:pPr>
              <w:pStyle w:val="Compact"/>
              <w:jc w:val="left"/>
            </w:pPr>
            <w:r>
              <w:t xml:space="preserve">Audit provenance: every transaction traceable to authorized source</w:t>
            </w:r>
          </w:p>
        </w:tc>
        <w:tc>
          <w:tcPr/>
          <w:p>
            <w:pPr>
              <w:pStyle w:val="Compact"/>
              <w:jc w:val="left"/>
            </w:pPr>
            <w:r>
              <w:t xml:space="preserve">FedRAMP Moderate AU-2/12</w:t>
            </w:r>
          </w:p>
        </w:tc>
        <w:tc>
          <w:tcPr/>
          <w:p>
            <w:pPr>
              <w:pStyle w:val="Compact"/>
              <w:jc w:val="left"/>
            </w:pPr>
            <w:r>
              <w:t xml:space="preserve">NIST SP 800-53 Rev 5 AU-2, AU-12</w:t>
            </w:r>
          </w:p>
        </w:tc>
      </w:tr>
      <w:tr>
        <w:tc>
          <w:tcPr/>
          <w:p>
            <w:pPr>
              <w:pStyle w:val="Compact"/>
              <w:jc w:val="left"/>
            </w:pPr>
            <w:r>
              <w:t xml:space="preserve">Continuous monitoring; automated KSI enforcement</w:t>
            </w:r>
          </w:p>
        </w:tc>
        <w:tc>
          <w:tcPr/>
          <w:p>
            <w:pPr>
              <w:pStyle w:val="Compact"/>
              <w:jc w:val="left"/>
            </w:pPr>
            <w:r>
              <w:t xml:space="preserve">FedRAMP 20x Consolidated Rules (Jun 25, 2026); OMB Circular A-130</w:t>
            </w:r>
          </w:p>
        </w:tc>
        <w:tc>
          <w:tcPr/>
          <w:p>
            <w:pPr>
              <w:pStyle w:val="Compact"/>
              <w:jc w:val="left"/>
            </w:pPr>
            <w:r>
              <w:t xml:space="preserve">NIST SP 800-37 Rev 2 CA-7; FedRAMP 20x KSIs; mandatory Jan 1, 2027</w:t>
            </w:r>
          </w:p>
        </w:tc>
      </w:tr>
      <w:tr>
        <w:tc>
          <w:tcPr/>
          <w:p>
            <w:pPr>
              <w:pStyle w:val="Compact"/>
              <w:jc w:val="left"/>
            </w:pPr>
            <w:r>
              <w:t xml:space="preserve">Gated actuation as standard governance posture (Advanced maturity)</w:t>
            </w:r>
          </w:p>
        </w:tc>
        <w:tc>
          <w:tcPr/>
          <w:p>
            <w:pPr>
              <w:pStyle w:val="Compact"/>
              <w:jc w:val="left"/>
            </w:pPr>
            <w:r>
              <w:t xml:space="preserve">FedRAMP ConMon, OMB M-22-09</w:t>
            </w:r>
          </w:p>
        </w:tc>
        <w:tc>
          <w:tcPr/>
          <w:p>
            <w:pPr>
              <w:pStyle w:val="Compact"/>
              <w:jc w:val="left"/>
            </w:pPr>
            <w:r>
              <w:t xml:space="preserve">CISA ZTMM v2.0 Automation and Orchestration pillar</w:t>
            </w:r>
          </w:p>
        </w:tc>
      </w:tr>
      <w:tr>
        <w:tc>
          <w:tcPr/>
          <w:p>
            <w:pPr>
              <w:pStyle w:val="Compact"/>
              <w:jc w:val="left"/>
            </w:pPr>
            <w:r>
              <w:t xml:space="preserve">Machine-readable KSI evidence; no manual evidence assembly</w:t>
            </w:r>
          </w:p>
        </w:tc>
        <w:tc>
          <w:tcPr/>
          <w:p>
            <w:pPr>
              <w:pStyle w:val="Compact"/>
              <w:jc w:val="left"/>
            </w:pPr>
            <w:r>
              <w:t xml:space="preserve">FedRAMP 20x Consolidated Rules — Class A/B/C pipelines open Aug 3/31, 2026</w:t>
            </w:r>
          </w:p>
        </w:tc>
        <w:tc>
          <w:tcPr/>
          <w:p>
            <w:pPr>
              <w:pStyle w:val="Compact"/>
              <w:jc w:val="left"/>
            </w:pPr>
            <w:r>
              <w:t xml:space="preserve">FedRAMP 20x JSON evidence format; GitHub-published structured rules</w:t>
            </w:r>
          </w:p>
        </w:tc>
      </w:tr>
    </w:tbl>
    <w:bookmarkEnd w:id="84"/>
    <w:bookmarkStart w:id="100" w:name="appendix-cisco-inr"/>
    <w:p>
      <w:pPr>
        <w:pStyle w:val="Heading1"/>
      </w:pPr>
      <w:r>
        <w:rPr>
          <w:rStyle w:val="SectionNumber"/>
        </w:rPr>
        <w:t xml:space="preserve">11</w:t>
      </w:r>
      <w:r>
        <w:tab/>
      </w:r>
      <w:r>
        <w:t xml:space="preserve">Appendix A — Cisco Catalyst SD-WAN and Microsoft Intelligent Network Routing: Federal Implementation Reference</w:t>
      </w:r>
    </w:p>
    <w:p>
      <w:pPr>
        <w:pStyle w:val="FirstParagraph"/>
      </w:pPr>
      <w:r>
        <w:rPr>
          <w:bCs/>
          <w:b/>
        </w:rPr>
        <w:t xml:space="preserve">Scope: FedRAMP Moderate civilian agencies using Microsoft 365 GCC.</w:t>
      </w:r>
      <w:r>
        <w:t xml:space="preserve"> </w:t>
      </w:r>
      <w:r>
        <w:t xml:space="preserve">This appendix is scoped to</w:t>
      </w:r>
      <w:r>
        <w:t xml:space="preserve"> </w:t>
      </w:r>
      <w:r>
        <w:rPr>
          <w:bCs/>
          <w:b/>
        </w:rPr>
        <w:t xml:space="preserve">FedRAMP Moderate</w:t>
      </w:r>
      <w:r>
        <w:t xml:space="preserve"> </w:t>
      </w:r>
      <w:r>
        <w:t xml:space="preserve">— civilian federal agencies operating M365 GCC tenants. GCC High, DoD IL4/IL5, and FedRAMP High authorizations are out of scope. Book 02’s main narrative describes SD-WAN in platform-neutral terms. This appendix addresses the specific combination that most FedRAMP Moderate agencies encounter:</w:t>
      </w:r>
      <w:r>
        <w:t xml:space="preserve"> </w:t>
      </w:r>
      <w:r>
        <w:rPr>
          <w:bCs/>
          <w:b/>
        </w:rPr>
        <w:t xml:space="preserve">Cisco Catalyst SD-WAN</w:t>
      </w:r>
      <w:r>
        <w:t xml:space="preserve"> </w:t>
      </w:r>
      <w:r>
        <w:t xml:space="preserve">as the branch transport platform and</w:t>
      </w:r>
      <w:r>
        <w:t xml:space="preserve"> </w:t>
      </w:r>
      <w:r>
        <w:rPr>
          <w:bCs/>
          <w:b/>
        </w:rPr>
        <w:t xml:space="preserve">Microsoft Intelligent Network Routing (INR)</w:t>
      </w:r>
      <w:r>
        <w:t xml:space="preserve"> </w:t>
      </w:r>
      <w:r>
        <w:t xml:space="preserve">as the M365 traffic optimization layer.</w:t>
      </w:r>
    </w:p>
    <w:bookmarkStart w:id="88" w:name="X69b36ee78dd9a090e7e5b9eacd6d8e488a21350"/>
    <w:p>
      <w:pPr>
        <w:pStyle w:val="Heading2"/>
      </w:pPr>
      <w:r>
        <w:rPr>
          <w:rStyle w:val="SectionNumber"/>
        </w:rPr>
        <w:t xml:space="preserve">11.1</w:t>
      </w:r>
      <w:r>
        <w:tab/>
      </w:r>
      <w:r>
        <w:t xml:space="preserve">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Cs/>
          <w:b/>
        </w:rPr>
        <w:t xml:space="preserve">on-premises managed</w:t>
      </w:r>
      <w:r>
        <w:t xml:space="preserve"> </w:t>
      </w:r>
      <w:r>
        <w:t xml:space="preserve">(SD-WAN Manager self-hosted in agency data center or GovCloud) or</w:t>
      </w:r>
      <w:r>
        <w:t xml:space="preserve"> </w:t>
      </w:r>
      <w:r>
        <w:rPr>
          <w:bCs/>
          <w:b/>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 {.striped .hover}</w:t>
      </w:r>
    </w:p>
    <w:tbl>
      <w:tblPr>
        <w:tblStyle w:val="Table"/>
        <w:tblW w:type="pct" w:w="5000"/>
        <w:tblLook w:firstRow="1" w:lastRow="0" w:firstColumn="0" w:lastColumn="0" w:noHBand="0" w:noVBand="0" w:val="0020"/>
        <w:jc w:val="start"/>
        <w:tblCaption w:val="Cisco Catalyst SD-WAN Functional Planes {.striped .hover}"/>
      </w:tblPr>
      <w:tblGrid>
        <w:gridCol w:w="2640"/>
        <w:gridCol w:w="2640"/>
        <w:gridCol w:w="2640"/>
      </w:tblGrid>
      <w:tr>
        <w:trPr>
          <w:tblHeader w:val="true"/>
        </w:trPr>
        <w:tc>
          <w:tcPr/>
          <w:p>
            <w:pPr>
              <w:pStyle w:val="Compact"/>
              <w:jc w:val="left"/>
            </w:pPr>
            <w:r>
              <w:t xml:space="preserve">Plane</w:t>
            </w:r>
          </w:p>
        </w:tc>
        <w:tc>
          <w:tcPr/>
          <w:p>
            <w:pPr>
              <w:pStyle w:val="Compact"/>
              <w:jc w:val="left"/>
            </w:pPr>
            <w:r>
              <w:t xml:space="preserve">Component</w:t>
            </w:r>
          </w:p>
        </w:tc>
        <w:tc>
          <w:tcPr/>
          <w:p>
            <w:pPr>
              <w:pStyle w:val="Compact"/>
              <w:jc w:val="left"/>
            </w:pPr>
            <w:r>
              <w:t xml:space="preserve">What It Does</w:t>
            </w:r>
          </w:p>
        </w:tc>
      </w:tr>
      <w:tr>
        <w:tc>
          <w:tcPr/>
          <w:p>
            <w:pPr>
              <w:pStyle w:val="Compact"/>
              <w:jc w:val="left"/>
            </w:pPr>
            <w:r>
              <w:rPr>
                <w:bCs/>
                <w:b/>
              </w:rPr>
              <w:t xml:space="preserve">Management</w:t>
            </w:r>
          </w:p>
        </w:tc>
        <w:tc>
          <w:tcPr/>
          <w:p>
            <w:pPr>
              <w:pStyle w:val="Compact"/>
              <w:jc w:val="left"/>
            </w:pPr>
            <w:r>
              <w:t xml:space="preserve">SD-WAN Manager (vManage)</w:t>
            </w:r>
          </w:p>
        </w:tc>
        <w:tc>
          <w:tcPr/>
          <w:p>
            <w:pPr>
              <w:pStyle w:val="Compact"/>
              <w:jc w:val="left"/>
            </w:pPr>
            <w:r>
              <w:t xml:space="preserve">Policy authoring, template deployment, telemetry aggregation, audit logging — the authoritative governance surface for all WAN configuration</w:t>
            </w:r>
          </w:p>
        </w:tc>
      </w:tr>
      <w:tr>
        <w:tc>
          <w:tcPr/>
          <w:p>
            <w:pPr>
              <w:pStyle w:val="Compact"/>
              <w:jc w:val="left"/>
            </w:pPr>
            <w:r>
              <w:rPr>
                <w:bCs/>
                <w:b/>
              </w:rPr>
              <w:t xml:space="preserve">Control</w:t>
            </w:r>
          </w:p>
        </w:tc>
        <w:tc>
          <w:tcPr/>
          <w:p>
            <w:pPr>
              <w:pStyle w:val="Compact"/>
              <w:jc w:val="left"/>
            </w:pPr>
            <w:r>
              <w:t xml:space="preserve">SD-WAN Controller (vSmart)</w:t>
            </w:r>
          </w:p>
        </w:tc>
        <w:tc>
          <w:tcPr/>
          <w:p>
            <w:pPr>
              <w:pStyle w:val="Compact"/>
              <w:jc w:val="left"/>
            </w:pPr>
            <w:r>
              <w:t xml:space="preserve">Distributes routing policy and reachability information to all WAN Edge devices; OMP (Overlay Management Protocol) equivalent of BGP for the SD-WAN fabric</w:t>
            </w:r>
          </w:p>
        </w:tc>
      </w:tr>
      <w:tr>
        <w:tc>
          <w:tcPr/>
          <w:p>
            <w:pPr>
              <w:pStyle w:val="Compact"/>
              <w:jc w:val="left"/>
            </w:pPr>
            <w:r>
              <w:rPr>
                <w:bCs/>
                <w:b/>
              </w:rPr>
              <w:t xml:space="preserve">Orchestration</w:t>
            </w:r>
          </w:p>
        </w:tc>
        <w:tc>
          <w:tcPr/>
          <w:p>
            <w:pPr>
              <w:pStyle w:val="Compact"/>
              <w:jc w:val="left"/>
            </w:pPr>
            <w:r>
              <w:t xml:space="preserve">SD-WAN Validator (vBond)</w:t>
            </w:r>
          </w:p>
        </w:tc>
        <w:tc>
          <w:tcPr/>
          <w:p>
            <w:pPr>
              <w:pStyle w:val="Compact"/>
              <w:jc w:val="left"/>
            </w:pPr>
            <w:r>
              <w:t xml:space="preserve">Zero-touch provisioning; authenticates WAN Edge devices before they join the fabric; single network-facing IP that field offices reach to onboard</w:t>
            </w:r>
          </w:p>
        </w:tc>
      </w:tr>
      <w:tr>
        <w:tc>
          <w:tcPr/>
          <w:p>
            <w:pPr>
              <w:pStyle w:val="Compact"/>
              <w:jc w:val="left"/>
            </w:pPr>
            <w:r>
              <w:rPr>
                <w:bCs/>
                <w:b/>
              </w:rPr>
              <w:t xml:space="preserve">Data</w:t>
            </w:r>
          </w:p>
        </w:tc>
        <w:tc>
          <w:tcPr/>
          <w:p>
            <w:pPr>
              <w:pStyle w:val="Compact"/>
              <w:jc w:val="left"/>
            </w:pPr>
            <w:r>
              <w:t xml:space="preserve">WAN Edge (cEdge / ISR / ASR)</w:t>
            </w:r>
          </w:p>
        </w:tc>
        <w:tc>
          <w:tcPr/>
          <w:p>
            <w:pPr>
              <w:pStyle w:val="Compact"/>
              <w:jc w:val="left"/>
            </w:pPr>
            <w:r>
              <w:t xml:space="preserve">The physical or virtual device at the branch; applies policy, measures paths, performs DPI, steers traffic — the only plane users’ packets traverse</w:t>
            </w:r>
          </w:p>
        </w:tc>
      </w:tr>
    </w:tbl>
    <w:p>
      <w:pPr>
        <w:pStyle w:val="CaptionedFigure"/>
      </w:pPr>
      <w:r>
        <w:drawing>
          <wp:inline>
            <wp:extent cx="6858000" cy="3297115"/>
            <wp:effectExtent b="0" l="0" r="0" t="0"/>
            <wp:docPr descr="Cisco Catalyst SD-WAN — Four Functional Planes" title="" id="86" name="Picture"/>
            <a:graphic>
              <a:graphicData uri="http://schemas.openxmlformats.org/drawingml/2006/picture">
                <pic:pic>
                  <pic:nvPicPr>
                    <pic:cNvPr descr="figs/mf-fig-15-cisco-sdwan-planes.png" id="87" name="Picture"/>
                    <pic:cNvPicPr>
                      <a:picLocks noChangeArrowheads="1" noChangeAspect="1"/>
                    </pic:cNvPicPr>
                  </pic:nvPicPr>
                  <pic:blipFill>
                    <a:blip r:embed="rId85"/>
                    <a:stretch>
                      <a:fillRect/>
                    </a:stretch>
                  </pic:blipFill>
                  <pic:spPr bwMode="auto">
                    <a:xfrm>
                      <a:off x="0" y="0"/>
                      <a:ext cx="6858000" cy="3297115"/>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Cs/>
          <w:b/>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p>
      <w:pPr>
        <w:pStyle w:val="BodyText"/>
      </w:pPr>
      <w:r>
        <w:rPr>
          <w:bCs/>
          <w:b/>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bookmarkEnd w:id="88"/>
    <w:bookmarkStart w:id="92" w:name="X5460198fb276c8cde740bafc8b06344fb8862d7"/>
    <w:p>
      <w:pPr>
        <w:pStyle w:val="Heading2"/>
      </w:pPr>
      <w:r>
        <w:rPr>
          <w:rStyle w:val="SectionNumber"/>
        </w:rPr>
        <w:t xml:space="preserve">11.2</w:t>
      </w:r>
      <w:r>
        <w:tab/>
      </w:r>
      <w:r>
        <w:t xml:space="preserve">A.2 — Microsoft Intelligent Network Routing: What It Is</w:t>
      </w:r>
    </w:p>
    <w:p>
      <w:pPr>
        <w:pStyle w:val="FirstParagraph"/>
      </w:pPr>
      <w:r>
        <w:rPr>
          <w:bCs/>
          <w:b/>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Cs/>
          <w:i/>
        </w:rPr>
        <w:t xml:space="preserve">where should agency SD-WAN terminate M365 traffic?</w:t>
      </w:r>
    </w:p>
    <w:p>
      <w:pPr>
        <w:pStyle w:val="BodyText"/>
      </w:pPr>
      <w:r>
        <w:t xml:space="preserve">The model works as follows:</w:t>
      </w:r>
    </w:p>
    <w:p>
      <w:pPr>
        <w:pStyle w:val="BodyText"/>
      </w:pPr>
      <w:r>
        <w:rPr>
          <w:bCs/>
          <w:b/>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Cs/>
          <w:b/>
        </w:rPr>
        <w:t xml:space="preserve">The front door matters more than the destination.</w:t>
      </w:r>
      <w:r>
        <w:t xml:space="preserve"> </w:t>
      </w:r>
      <w:r>
        <w:t xml:space="preserve">The single most important routing decision in a Cisco Catalyst SD-WAN + M365 deployment is:</w:t>
      </w:r>
      <w:r>
        <w:t xml:space="preserve"> </w:t>
      </w:r>
      <w:r>
        <w:rPr>
          <w:iCs/>
          <w:i/>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Cs/>
          <w:b/>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Cs/>
          <w:b/>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Cs/>
          <w:b/>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Cs/>
          <w:b/>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Cs/>
          <w:b/>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Cs/>
          <w:b/>
        </w:rPr>
        <w:t xml:space="preserve">Differentiate M365 traffic categories.</w:t>
      </w:r>
      <w:r>
        <w:t xml:space="preserve"> </w:t>
      </w:r>
      <w:r>
        <w:t xml:space="preserve">Microsoft publishes three endpoint categories —</w:t>
      </w:r>
      <w:r>
        <w:t xml:space="preserve"> </w:t>
      </w:r>
      <w:r>
        <w:rPr>
          <w:bCs/>
          <w:b/>
        </w:rPr>
        <w:t xml:space="preserve">Optimize</w:t>
      </w:r>
      <w:r>
        <w:t xml:space="preserve"> </w:t>
      </w:r>
      <w:r>
        <w:t xml:space="preserve">(Teams media, SharePoint Online),</w:t>
      </w:r>
      <w:r>
        <w:t xml:space="preserve"> </w:t>
      </w:r>
      <w:r>
        <w:rPr>
          <w:bCs/>
          <w:b/>
        </w:rPr>
        <w:t xml:space="preserve">Allow</w:t>
      </w:r>
      <w:r>
        <w:t xml:space="preserve"> </w:t>
      </w:r>
      <w:r>
        <w:t xml:space="preserve">(general M365), and</w:t>
      </w:r>
      <w:r>
        <w:t xml:space="preserve"> </w:t>
      </w:r>
      <w:r>
        <w:rPr>
          <w:bCs/>
          <w:b/>
        </w:rPr>
        <w:t xml:space="preserve">Default</w:t>
      </w:r>
      <w:r>
        <w:t xml:space="preserve"> </w:t>
      </w:r>
      <w:r>
        <w:t xml:space="preserve">(non-M365). The</w:t>
      </w:r>
      <w:r>
        <w:t xml:space="preserve"> </w:t>
      </w:r>
      <w:r>
        <w:rPr>
          <w:bCs/>
          <w:b/>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6858000" cy="3033346"/>
            <wp:effectExtent b="0" l="0" r="0" t="0"/>
            <wp:docPr descr="Microsoft Intelligent Network Routing — Local Breakout vs. Backhaul" title="" id="90" name="Picture"/>
            <a:graphic>
              <a:graphicData uri="http://schemas.openxmlformats.org/drawingml/2006/picture">
                <pic:pic>
                  <pic:nvPicPr>
                    <pic:cNvPr descr="figs/mf-fig-16-inr-routing.png" id="91" name="Picture"/>
                    <pic:cNvPicPr>
                      <a:picLocks noChangeArrowheads="1" noChangeAspect="1"/>
                    </pic:cNvPicPr>
                  </pic:nvPicPr>
                  <pic:blipFill>
                    <a:blip r:embed="rId89"/>
                    <a:stretch>
                      <a:fillRect/>
                    </a:stretch>
                  </pic:blipFill>
                  <pic:spPr bwMode="auto">
                    <a:xfrm>
                      <a:off x="0" y="0"/>
                      <a:ext cx="6858000" cy="3033346"/>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92"/>
    <w:bookmarkStart w:id="93" w:name="X95eeb4b5d2965258901cb62cb853ef92cb59463"/>
    <w:p>
      <w:pPr>
        <w:pStyle w:val="Heading2"/>
      </w:pPr>
      <w:r>
        <w:rPr>
          <w:rStyle w:val="SectionNumber"/>
        </w:rPr>
        <w:t xml:space="preserve">11.3</w:t>
      </w:r>
      <w:r>
        <w:tab/>
      </w:r>
      <w:r>
        <w:t xml:space="preserve">A.3 — The Integration: How Cisco Catalyst SD-WAN Activates Microsoft INR</w:t>
      </w:r>
    </w:p>
    <w:p>
      <w:pPr>
        <w:pStyle w:val="FirstParagraph"/>
      </w:pPr>
      <w:r>
        <w:t xml:space="preserve">The integration is implemented through</w:t>
      </w:r>
      <w:r>
        <w:t xml:space="preserve"> </w:t>
      </w:r>
      <w:r>
        <w:rPr>
          <w:bCs/>
          <w:b/>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Cs/>
          <w:b/>
        </w:rPr>
        <w:t xml:space="preserve">How it works in practice:</w:t>
      </w:r>
    </w:p>
    <w:p>
      <w:pPr>
        <w:numPr>
          <w:ilvl w:val="0"/>
          <w:numId w:val="1005"/>
        </w:numPr>
      </w:pPr>
      <w:r>
        <w:rPr>
          <w:bCs/>
          <w:b/>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Cs/>
          <w:b/>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Cs/>
          <w:b/>
        </w:rPr>
        <w:t xml:space="preserve">Microsoft Peering Service (MAPS).</w:t>
      </w:r>
      <w:r>
        <w:t xml:space="preserve"> </w:t>
      </w:r>
      <w:r>
        <w:t xml:space="preserve">For agencies with MPLS circuits from carriers that participate in</w:t>
      </w:r>
      <w:r>
        <w:t xml:space="preserve"> </w:t>
      </w:r>
      <w:r>
        <w:rPr>
          <w:bCs/>
          <w:b/>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Cs/>
          <w:b/>
        </w:rPr>
        <w:t xml:space="preserve">Azure Virtual WAN integration.</w:t>
      </w:r>
      <w:r>
        <w:t xml:space="preserve"> </w:t>
      </w:r>
      <w:r>
        <w:t xml:space="preserve">For agencies using Azure for other workloads, Cisco Catalyst SD-WAN can peer directly with</w:t>
      </w:r>
      <w:r>
        <w:t xml:space="preserve"> </w:t>
      </w:r>
      <w:r>
        <w:rPr>
          <w:bCs/>
          <w:b/>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 {.striped .hover}</w:t>
      </w:r>
    </w:p>
    <w:tbl>
      <w:tblPr>
        <w:tblStyle w:val="Table"/>
        <w:tblW w:type="pct" w:w="5000"/>
        <w:tblLook w:firstRow="1" w:lastRow="0" w:firstColumn="0" w:lastColumn="0" w:noHBand="0" w:noVBand="0" w:val="0020"/>
        <w:jc w:val="start"/>
        <w:tblCaption w:val="Cisco Catalyst SD-WAN + Microsoft INR Integration Paths — FedRAMP Moderate {.striped .hover}"/>
      </w:tblPr>
      <w:tblGrid>
        <w:gridCol w:w="2640"/>
        <w:gridCol w:w="2640"/>
        <w:gridCol w:w="2640"/>
      </w:tblGrid>
      <w:tr>
        <w:trPr>
          <w:tblHeader w:val="true"/>
        </w:trPr>
        <w:tc>
          <w:tcPr/>
          <w:p>
            <w:pPr>
              <w:pStyle w:val="Compact"/>
              <w:jc w:val="left"/>
            </w:pPr>
            <w:r>
              <w:t xml:space="preserve">Integration Path</w:t>
            </w:r>
          </w:p>
        </w:tc>
        <w:tc>
          <w:tcPr/>
          <w:p>
            <w:pPr>
              <w:pStyle w:val="Compact"/>
              <w:jc w:val="left"/>
            </w:pPr>
            <w:r>
              <w:t xml:space="preserve">What Agency Has</w:t>
            </w:r>
          </w:p>
        </w:tc>
        <w:tc>
          <w:tcPr/>
          <w:p>
            <w:pPr>
              <w:pStyle w:val="Compact"/>
              <w:jc w:val="left"/>
            </w:pPr>
            <w:r>
              <w:t xml:space="preserve">What INR Quality Level It Achieves</w:t>
            </w:r>
          </w:p>
        </w:tc>
      </w:tr>
      <w:tr>
        <w:tc>
          <w:tcPr/>
          <w:p>
            <w:pPr>
              <w:pStyle w:val="Compact"/>
              <w:jc w:val="left"/>
            </w:pPr>
            <w:r>
              <w:t xml:space="preserve">Cloud OnRamp + DIA local breakout</w:t>
            </w:r>
          </w:p>
        </w:tc>
        <w:tc>
          <w:tcPr/>
          <w:p>
            <w:pPr>
              <w:pStyle w:val="Compact"/>
              <w:jc w:val="left"/>
            </w:pPr>
            <w:r>
              <w:t xml:space="preserve">DIA circuit at branch; any ISP</w:t>
            </w:r>
          </w:p>
        </w:tc>
        <w:tc>
          <w:tcPr/>
          <w:p>
            <w:pPr>
              <w:pStyle w:val="Compact"/>
              <w:jc w:val="left"/>
            </w:pPr>
            <w:r>
              <w:t xml:space="preserve">Good — reaches nearest Microsoft front door; public internet hand-off</w:t>
            </w:r>
          </w:p>
        </w:tc>
      </w:tr>
      <w:tr>
        <w:tc>
          <w:tcPr/>
          <w:p>
            <w:pPr>
              <w:pStyle w:val="Compact"/>
              <w:jc w:val="left"/>
            </w:pPr>
            <w:r>
              <w:t xml:space="preserve">Cloud OnRamp + 5G local breakout</w:t>
            </w:r>
          </w:p>
        </w:tc>
        <w:tc>
          <w:tcPr/>
          <w:p>
            <w:pPr>
              <w:pStyle w:val="Compact"/>
              <w:jc w:val="left"/>
            </w:pPr>
            <w:r>
              <w:t xml:space="preserve">5G radio at branch</w:t>
            </w:r>
          </w:p>
        </w:tc>
        <w:tc>
          <w:tcPr/>
          <w:p>
            <w:pPr>
              <w:pStyle w:val="Compact"/>
              <w:jc w:val="left"/>
            </w:pPr>
            <w:r>
              <w:t xml:space="preserve">Good to excellent — low latency to local cell tower; ISP hand-off to Microsoft</w:t>
            </w:r>
          </w:p>
        </w:tc>
      </w:tr>
      <w:tr>
        <w:tc>
          <w:tcPr/>
          <w:p>
            <w:pPr>
              <w:pStyle w:val="Compact"/>
              <w:jc w:val="left"/>
            </w:pPr>
            <w:r>
              <w:t xml:space="preserve">Cloud OnRamp + MPLS (non-MAPS carrier)</w:t>
            </w:r>
          </w:p>
        </w:tc>
        <w:tc>
          <w:tcPr/>
          <w:p>
            <w:pPr>
              <w:pStyle w:val="Compact"/>
              <w:jc w:val="left"/>
            </w:pPr>
            <w:r>
              <w:t xml:space="preserve">MPLS circuit; carrier not MAPS-enrolled</w:t>
            </w:r>
          </w:p>
        </w:tc>
        <w:tc>
          <w:tcPr/>
          <w:p>
            <w:pPr>
              <w:pStyle w:val="Compact"/>
              <w:jc w:val="left"/>
            </w:pPr>
            <w:r>
              <w:t xml:space="preserve">Moderate — MPLS reach may introduce geographic suboptimality</w:t>
            </w:r>
          </w:p>
        </w:tc>
      </w:tr>
      <w:tr>
        <w:tc>
          <w:tcPr/>
          <w:p>
            <w:pPr>
              <w:pStyle w:val="Compact"/>
              <w:jc w:val="left"/>
            </w:pPr>
            <w:r>
              <w:t xml:space="preserve">Cloud OnRamp + MAPS carrier</w:t>
            </w:r>
          </w:p>
        </w:tc>
        <w:tc>
          <w:tcPr/>
          <w:p>
            <w:pPr>
              <w:pStyle w:val="Compact"/>
              <w:jc w:val="left"/>
            </w:pPr>
            <w:r>
              <w:t xml:space="preserve">MPLS circuit; MAPS-enrolled carrier</w:t>
            </w:r>
          </w:p>
        </w:tc>
        <w:tc>
          <w:tcPr/>
          <w:p>
            <w:pPr>
              <w:pStyle w:val="Compact"/>
              <w:jc w:val="left"/>
            </w:pPr>
            <w:r>
              <w:t xml:space="preserve">Excellent — private BGP hand-off to Microsoft backbone</w:t>
            </w:r>
          </w:p>
        </w:tc>
      </w:tr>
      <w:tr>
        <w:tc>
          <w:tcPr/>
          <w:p>
            <w:pPr>
              <w:pStyle w:val="Compact"/>
              <w:jc w:val="left"/>
            </w:pPr>
            <w:r>
              <w:t xml:space="preserve">Cisco SD-WAN + Azure Virtual WAN (commercial)</w:t>
            </w:r>
          </w:p>
        </w:tc>
        <w:tc>
          <w:tcPr/>
          <w:p>
            <w:pPr>
              <w:pStyle w:val="Compact"/>
              <w:jc w:val="left"/>
            </w:pPr>
            <w:r>
              <w:t xml:space="preserve">Azure commercial presence; FedRAMP Moderate</w:t>
            </w:r>
          </w:p>
        </w:tc>
        <w:tc>
          <w:tcPr/>
          <w:p>
            <w:pPr>
              <w:pStyle w:val="Compact"/>
              <w:jc w:val="left"/>
            </w:pPr>
            <w:r>
              <w:t xml:space="preserve">Excellent — traffic on Microsoft backbone from Azure VWan hub</w:t>
            </w:r>
          </w:p>
        </w:tc>
      </w:tr>
      <w:tr>
        <w:tc>
          <w:tcPr/>
          <w:p>
            <w:pPr>
              <w:pStyle w:val="Compact"/>
              <w:jc w:val="left"/>
            </w:pPr>
            <w:r>
              <w:t xml:space="preserve">Cisco SD-WAN + Azure Virtual WAN + MAPS</w:t>
            </w:r>
          </w:p>
        </w:tc>
        <w:tc>
          <w:tcPr/>
          <w:p>
            <w:pPr>
              <w:pStyle w:val="Compact"/>
              <w:jc w:val="left"/>
            </w:pPr>
            <w:r>
              <w:t xml:space="preserve">Both Azure presence and MAPS carrier</w:t>
            </w:r>
          </w:p>
        </w:tc>
        <w:tc>
          <w:tcPr/>
          <w:p>
            <w:pPr>
              <w:pStyle w:val="Compact"/>
              <w:jc w:val="left"/>
            </w:pPr>
            <w:r>
              <w:t xml:space="preserve">Optimal — dual private backbone integration; maximum redundancy</w:t>
            </w:r>
          </w:p>
        </w:tc>
      </w:tr>
    </w:tbl>
    <w:bookmarkEnd w:id="93"/>
    <w:bookmarkStart w:id="97" w:name="a.4-fedramp-specific-considerations"/>
    <w:p>
      <w:pPr>
        <w:pStyle w:val="Heading2"/>
      </w:pPr>
      <w:r>
        <w:rPr>
          <w:rStyle w:val="SectionNumber"/>
        </w:rPr>
        <w:t xml:space="preserve">11.4</w:t>
      </w:r>
      <w:r>
        <w:tab/>
      </w:r>
      <w:r>
        <w:t xml:space="preserve">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94" w:name="a.4.1-boundary-documentation"/>
    <w:p>
      <w:pPr>
        <w:pStyle w:val="Heading3"/>
      </w:pPr>
      <w:r>
        <w:rPr>
          <w:rStyle w:val="SectionNumber"/>
        </w:rPr>
        <w:t xml:space="preserve">11.4.1</w:t>
      </w:r>
      <w:r>
        <w:tab/>
      </w:r>
      <w:r>
        <w:t xml:space="preserve">A.4.1 — Boundary Documentation</w:t>
      </w:r>
    </w:p>
    <w:p>
      <w:pPr>
        <w:pStyle w:val="FirstParagraph"/>
      </w:pPr>
      <w:r>
        <w:t xml:space="preserve">FedRAMP requires that the</w:t>
      </w:r>
      <w:r>
        <w:t xml:space="preserve"> </w:t>
      </w:r>
      <w:r>
        <w:rPr>
          <w:bCs/>
          <w:b/>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 {.striped .hover}</w:t>
      </w:r>
    </w:p>
    <w:tbl>
      <w:tblPr>
        <w:tblStyle w:val="Table"/>
        <w:tblW w:type="pct" w:w="5000"/>
        <w:tblLook w:firstRow="1" w:lastRow="0" w:firstColumn="0" w:lastColumn="0" w:noHBand="0" w:noVBand="0" w:val="0020"/>
        <w:jc w:val="start"/>
        <w:tblCaption w:val="Cisco Catalyst SD-WAN + INR — FedRAMP Boundary Component Classification {.striped .hover}"/>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Inside or Outside FedRAMP Boundary</w:t>
            </w:r>
          </w:p>
        </w:tc>
        <w:tc>
          <w:tcPr/>
          <w:p>
            <w:pPr>
              <w:pStyle w:val="Compact"/>
              <w:jc w:val="left"/>
            </w:pPr>
            <w:r>
              <w:t xml:space="preserve">Documentation Required</w:t>
            </w:r>
          </w:p>
        </w:tc>
      </w:tr>
      <w:tr>
        <w:tc>
          <w:tcPr/>
          <w:p>
            <w:pPr>
              <w:pStyle w:val="Compact"/>
              <w:jc w:val="left"/>
            </w:pPr>
            <w:r>
              <w:t xml:space="preserve">Branch WAN Edge (cEdge)</w:t>
            </w:r>
          </w:p>
        </w:tc>
        <w:tc>
          <w:tcPr/>
          <w:p>
            <w:pPr>
              <w:pStyle w:val="Compact"/>
              <w:jc w:val="left"/>
            </w:pPr>
            <w:r>
              <w:rPr>
                <w:bCs/>
                <w:b/>
              </w:rPr>
              <w:t xml:space="preserve">Inside</w:t>
            </w:r>
          </w:p>
        </w:tc>
        <w:tc>
          <w:tcPr/>
          <w:p>
            <w:pPr>
              <w:pStyle w:val="Compact"/>
              <w:jc w:val="left"/>
            </w:pPr>
            <w:r>
              <w:t xml:space="preserve">Component inventory; CM-8 entry</w:t>
            </w:r>
          </w:p>
        </w:tc>
      </w:tr>
      <w:tr>
        <w:tc>
          <w:tcPr/>
          <w:p>
            <w:pPr>
              <w:pStyle w:val="Compact"/>
              <w:jc w:val="left"/>
            </w:pPr>
            <w:r>
              <w:t xml:space="preserve">SD-WAN Manager (self-hosted GovCloud)</w:t>
            </w:r>
          </w:p>
        </w:tc>
        <w:tc>
          <w:tcPr/>
          <w:p>
            <w:pPr>
              <w:pStyle w:val="Compact"/>
              <w:jc w:val="left"/>
            </w:pPr>
            <w:r>
              <w:rPr>
                <w:bCs/>
                <w:b/>
              </w:rPr>
              <w:t xml:space="preserve">Inside</w:t>
            </w:r>
          </w:p>
        </w:tc>
        <w:tc>
          <w:tcPr/>
          <w:p>
            <w:pPr>
              <w:pStyle w:val="Compact"/>
              <w:jc w:val="left"/>
            </w:pPr>
            <w:r>
              <w:t xml:space="preserve">Full FedRAMP control inheritance</w:t>
            </w:r>
          </w:p>
        </w:tc>
      </w:tr>
      <w:tr>
        <w:tc>
          <w:tcPr/>
          <w:p>
            <w:pPr>
              <w:pStyle w:val="Compact"/>
              <w:jc w:val="left"/>
            </w:pPr>
            <w:r>
              <w:t xml:space="preserve">SD-WAN Manager (Cisco cloud SaaS)</w:t>
            </w:r>
          </w:p>
        </w:tc>
        <w:tc>
          <w:tcPr/>
          <w:p>
            <w:pPr>
              <w:pStyle w:val="Compact"/>
              <w:jc w:val="left"/>
            </w:pPr>
            <w:r>
              <w:rPr>
                <w:bCs/>
                <w:b/>
              </w:rPr>
              <w:t xml:space="preserve">Outside</w:t>
            </w:r>
            <w:r>
              <w:t xml:space="preserve"> </w:t>
            </w:r>
            <w:r>
              <w:t xml:space="preserve">— external service</w:t>
            </w:r>
          </w:p>
        </w:tc>
        <w:tc>
          <w:tcPr/>
          <w:p>
            <w:pPr>
              <w:pStyle w:val="Compact"/>
              <w:jc w:val="left"/>
            </w:pPr>
            <w:r>
              <w:t xml:space="preserve">Interconnection Security Agreement (ISA); verify Cisco SD-WAN Manager FedRAMP authorization status</w:t>
            </w:r>
          </w:p>
        </w:tc>
      </w:tr>
      <w:tr>
        <w:tc>
          <w:tcPr/>
          <w:p>
            <w:pPr>
              <w:pStyle w:val="Compact"/>
              <w:jc w:val="left"/>
            </w:pPr>
            <w:r>
              <w:t xml:space="preserve">SD-WAN Controller (vSmart)</w:t>
            </w:r>
          </w:p>
        </w:tc>
        <w:tc>
          <w:tcPr/>
          <w:p>
            <w:pPr>
              <w:pStyle w:val="Compact"/>
              <w:jc w:val="left"/>
            </w:pPr>
            <w:r>
              <w:rPr>
                <w:bCs/>
                <w:b/>
              </w:rPr>
              <w:t xml:space="preserve">Inside</w:t>
            </w:r>
          </w:p>
        </w:tc>
        <w:tc>
          <w:tcPr/>
          <w:p>
            <w:pPr>
              <w:pStyle w:val="Compact"/>
              <w:jc w:val="left"/>
            </w:pPr>
            <w:r>
              <w:t xml:space="preserve">Component inventory</w:t>
            </w:r>
          </w:p>
        </w:tc>
      </w:tr>
      <w:tr>
        <w:tc>
          <w:tcPr/>
          <w:p>
            <w:pPr>
              <w:pStyle w:val="Compact"/>
              <w:jc w:val="left"/>
            </w:pPr>
            <w:r>
              <w:t xml:space="preserve">Microsoft M365 GCC</w:t>
            </w:r>
          </w:p>
        </w:tc>
        <w:tc>
          <w:tcPr/>
          <w:p>
            <w:pPr>
              <w:pStyle w:val="Compact"/>
              <w:jc w:val="left"/>
            </w:pPr>
            <w:r>
              <w:rPr>
                <w:bCs/>
                <w:b/>
              </w:rPr>
              <w:t xml:space="preserve">Outside</w:t>
            </w:r>
            <w:r>
              <w:t xml:space="preserve"> </w:t>
            </w:r>
            <w:r>
              <w:t xml:space="preserve">— FedRAMP-authorized external service</w:t>
            </w:r>
          </w:p>
        </w:tc>
        <w:tc>
          <w:tcPr/>
          <w:p>
            <w:pPr>
              <w:pStyle w:val="Compact"/>
              <w:jc w:val="left"/>
            </w:pPr>
            <w:r>
              <w:t xml:space="preserve">Microsoft CSP ISA; FedRAMP Moderate package reference (M365 GCC)</w:t>
            </w:r>
          </w:p>
        </w:tc>
      </w:tr>
      <w:tr>
        <w:tc>
          <w:tcPr/>
          <w:p>
            <w:pPr>
              <w:pStyle w:val="Compact"/>
              <w:jc w:val="left"/>
            </w:pPr>
            <w:r>
              <w:t xml:space="preserve">Azure Virtual WAN hub (commercial)</w:t>
            </w:r>
          </w:p>
        </w:tc>
        <w:tc>
          <w:tcPr/>
          <w:p>
            <w:pPr>
              <w:pStyle w:val="Compact"/>
              <w:jc w:val="left"/>
            </w:pPr>
            <w:r>
              <w:rPr>
                <w:bCs/>
                <w:b/>
              </w:rPr>
              <w:t xml:space="preserve">Outside</w:t>
            </w:r>
            <w:r>
              <w:t xml:space="preserve"> </w:t>
            </w:r>
            <w:r>
              <w:t xml:space="preserve">— FedRAMP-authorized external service</w:t>
            </w:r>
          </w:p>
        </w:tc>
        <w:tc>
          <w:tcPr/>
          <w:p>
            <w:pPr>
              <w:pStyle w:val="Compact"/>
              <w:jc w:val="left"/>
            </w:pPr>
            <w:r>
              <w:t xml:space="preserve">Azure FedRAMP Moderate package reference; data flow to/from</w:t>
            </w:r>
          </w:p>
        </w:tc>
      </w:tr>
      <w:tr>
        <w:tc>
          <w:tcPr/>
          <w:p>
            <w:pPr>
              <w:pStyle w:val="Compact"/>
              <w:jc w:val="left"/>
            </w:pPr>
            <w:r>
              <w:t xml:space="preserve">MAPS carrier hand-off point</w:t>
            </w:r>
          </w:p>
        </w:tc>
        <w:tc>
          <w:tcPr/>
          <w:p>
            <w:pPr>
              <w:pStyle w:val="Compact"/>
              <w:jc w:val="left"/>
            </w:pPr>
            <w:r>
              <w:rPr>
                <w:bCs/>
                <w:b/>
              </w:rPr>
              <w:t xml:space="preserve">Outside</w:t>
            </w:r>
            <w:r>
              <w:t xml:space="preserve"> </w:t>
            </w:r>
            <w:r>
              <w:t xml:space="preserve">— carrier service</w:t>
            </w:r>
          </w:p>
        </w:tc>
        <w:tc>
          <w:tcPr/>
          <w:p>
            <w:pPr>
              <w:pStyle w:val="Compact"/>
              <w:jc w:val="left"/>
            </w:pPr>
            <w:r>
              <w:t xml:space="preserve">Service agreement; no federal data at rest at carrier POP</w:t>
            </w:r>
          </w:p>
        </w:tc>
      </w:tr>
      <w:tr>
        <w:tc>
          <w:tcPr/>
          <w:p>
            <w:pPr>
              <w:pStyle w:val="Compact"/>
              <w:jc w:val="left"/>
            </w:pPr>
            <w:r>
              <w:t xml:space="preserve">Cloud OnRamp probes to M365</w:t>
            </w:r>
          </w:p>
        </w:tc>
        <w:tc>
          <w:tcPr/>
          <w:p>
            <w:pPr>
              <w:pStyle w:val="Compact"/>
              <w:jc w:val="left"/>
            </w:pPr>
            <w:r>
              <w:t xml:space="preserve">Telemetry only; no federal data in probe</w:t>
            </w:r>
          </w:p>
        </w:tc>
        <w:tc>
          <w:tcPr/>
          <w:p>
            <w:pPr>
              <w:pStyle w:val="Compact"/>
              <w:jc w:val="left"/>
            </w:pPr>
            <w:r>
              <w:t xml:space="preserve">Document as monitoring telemetry; not a data flow</w:t>
            </w:r>
          </w:p>
        </w:tc>
      </w:tr>
    </w:tbl>
    <w:p>
      <w:pPr>
        <w:pStyle w:val="BodyText"/>
      </w:pPr>
      <w:r>
        <w:rPr>
          <w:bCs/>
          <w:b/>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bookmarkEnd w:id="94"/>
    <w:bookmarkStart w:id="95" w:name="a.4.2-tic-3.0-alignment"/>
    <w:p>
      <w:pPr>
        <w:pStyle w:val="Heading3"/>
      </w:pPr>
      <w:r>
        <w:rPr>
          <w:rStyle w:val="SectionNumber"/>
        </w:rPr>
        <w:t xml:space="preserve">11.4.2</w:t>
      </w:r>
      <w:r>
        <w:tab/>
      </w:r>
      <w:r>
        <w:t xml:space="preserve">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Cs/>
          <w:b/>
        </w:rPr>
        <w:t xml:space="preserve">aligned with TIC 3.0 Use Case E</w:t>
      </w:r>
      <w:r>
        <w:t xml:space="preserve"> </w:t>
      </w:r>
      <w:r>
        <w:t xml:space="preserve">— but only if the following conditions are met:</w:t>
      </w:r>
    </w:p>
    <w:p>
      <w:pPr>
        <w:numPr>
          <w:ilvl w:val="0"/>
          <w:numId w:val="1006"/>
        </w:numPr>
      </w:pPr>
      <w:r>
        <w:rPr>
          <w:bCs/>
          <w:b/>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Cs/>
          <w:b/>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Cs/>
          <w:b/>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Cs/>
          <w:b/>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Cs/>
          <w:b/>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95"/>
    <w:bookmarkStart w:id="96" w:name="a.4.3-nist-control-satisfaction"/>
    <w:p>
      <w:pPr>
        <w:pStyle w:val="Heading3"/>
      </w:pPr>
      <w:r>
        <w:rPr>
          <w:rStyle w:val="SectionNumber"/>
        </w:rPr>
        <w:t xml:space="preserve">11.4.3</w:t>
      </w:r>
      <w:r>
        <w:tab/>
      </w:r>
      <w:r>
        <w:t xml:space="preserve">A.4.3 — NIST Control Satisfaction</w:t>
      </w:r>
    </w:p>
    <w:p>
      <w:pPr>
        <w:pStyle w:val="TableCaption"/>
      </w:pPr>
      <w:r>
        <w:t xml:space="preserve">Cisco Catalyst SD-WAN + Microsoft INR — NIST SP 800-53 Rev 5 Control Satisfaction {.striped .hover}</w:t>
      </w:r>
    </w:p>
    <w:tbl>
      <w:tblPr>
        <w:tblStyle w:val="Table"/>
        <w:tblW w:type="pct" w:w="5000"/>
        <w:tblLook w:firstRow="1" w:lastRow="0" w:firstColumn="0" w:lastColumn="0" w:noHBand="0" w:noVBand="0" w:val="0020"/>
        <w:jc w:val="start"/>
        <w:tblCaption w:val="Cisco Catalyst SD-WAN + Microsoft INR — NIST SP 800-53 Rev 5 Control Satisfaction {.striped .hover}"/>
      </w:tblPr>
      <w:tblGrid>
        <w:gridCol w:w="2640"/>
        <w:gridCol w:w="2640"/>
        <w:gridCol w:w="2640"/>
      </w:tblGrid>
      <w:tr>
        <w:trPr>
          <w:tblHeader w:val="true"/>
        </w:trPr>
        <w:tc>
          <w:tcPr/>
          <w:p>
            <w:pPr>
              <w:pStyle w:val="Compact"/>
              <w:jc w:val="left"/>
            </w:pPr>
            <w:r>
              <w:t xml:space="preserve">NIST SP 800-53 Rev 5 Control</w:t>
            </w:r>
          </w:p>
        </w:tc>
        <w:tc>
          <w:tcPr/>
          <w:p>
            <w:pPr>
              <w:pStyle w:val="Compact"/>
              <w:jc w:val="left"/>
            </w:pPr>
            <w:r>
              <w:t xml:space="preserve">What It Requires</w:t>
            </w:r>
          </w:p>
        </w:tc>
        <w:tc>
          <w:tcPr/>
          <w:p>
            <w:pPr>
              <w:pStyle w:val="Compact"/>
              <w:jc w:val="left"/>
            </w:pPr>
            <w:r>
              <w:t xml:space="preserve">How Cisco Catalyst SD-WAN + INR Satisfies It</w:t>
            </w:r>
          </w:p>
        </w:tc>
      </w:tr>
      <w:tr>
        <w:tc>
          <w:tcPr/>
          <w:p>
            <w:pPr>
              <w:pStyle w:val="Compact"/>
              <w:jc w:val="left"/>
            </w:pPr>
            <w:r>
              <w:rPr>
                <w:bCs/>
                <w:b/>
              </w:rPr>
              <w:t xml:space="preserve">SC-8</w:t>
            </w:r>
            <w:r>
              <w:t xml:space="preserve"> </w:t>
            </w:r>
            <w:r>
              <w:t xml:space="preserve">Transmission Confidentiality and Integrity</w:t>
            </w:r>
          </w:p>
        </w:tc>
        <w:tc>
          <w:tcPr/>
          <w:p>
            <w:pPr>
              <w:pStyle w:val="Compact"/>
              <w:jc w:val="left"/>
            </w:pPr>
            <w:r>
              <w:t xml:space="preserve">Encrypt all WAN traffic</w:t>
            </w:r>
          </w:p>
        </w:tc>
        <w:tc>
          <w:tcPr/>
          <w:p>
            <w:pPr>
              <w:pStyle w:val="Compact"/>
              <w:jc w:val="left"/>
            </w:pPr>
            <w:r>
              <w:t xml:space="preserve">IPsec BFD tunnels between all cEdge WAN Edges — including DIA and 5G paths; Cisco’s DTLS-over-UDP for data-plane encryption; cipher suite is configurable to FIPS 140-3 validated AES-256-GCM</w:t>
            </w:r>
          </w:p>
        </w:tc>
      </w:tr>
      <w:tr>
        <w:tc>
          <w:tcPr/>
          <w:p>
            <w:pPr>
              <w:pStyle w:val="Compact"/>
              <w:jc w:val="left"/>
            </w:pPr>
            <w:r>
              <w:rPr>
                <w:bCs/>
                <w:b/>
              </w:rPr>
              <w:t xml:space="preserve">SC-20 / SC-21</w:t>
            </w:r>
            <w:r>
              <w:t xml:space="preserve"> </w:t>
            </w:r>
            <w:r>
              <w:t xml:space="preserve">Secure DNS</w:t>
            </w:r>
          </w:p>
        </w:tc>
        <w:tc>
          <w:tcPr/>
          <w:p>
            <w:pPr>
              <w:pStyle w:val="Compact"/>
              <w:jc w:val="left"/>
            </w:pPr>
            <w:r>
              <w:t xml:space="preserve">DNS responses integrity-protected</w:t>
            </w:r>
          </w:p>
        </w:tc>
        <w:tc>
          <w:tcPr/>
          <w:p>
            <w:pPr>
              <w:pStyle w:val="Compact"/>
              <w:jc w:val="left"/>
            </w:pPr>
            <w:r>
              <w:t xml:space="preserve">Cisco Umbrella (DNS-over-HTTPS / DNS-over-TLS) on branch; SD-WAN Manager integrates Umbrella DNS policy — all branch DNS queries resolve through Umbrella, not local recursive resolvers</w:t>
            </w:r>
          </w:p>
        </w:tc>
      </w:tr>
      <w:tr>
        <w:tc>
          <w:tcPr/>
          <w:p>
            <w:pPr>
              <w:pStyle w:val="Compact"/>
              <w:jc w:val="left"/>
            </w:pPr>
            <w:r>
              <w:rPr>
                <w:bCs/>
                <w:b/>
              </w:rPr>
              <w:t xml:space="preserve">AC-4</w:t>
            </w:r>
            <w:r>
              <w:t xml:space="preserve"> </w:t>
            </w:r>
            <w:r>
              <w:t xml:space="preserve">Information Flow Enforcement</w:t>
            </w:r>
          </w:p>
        </w:tc>
        <w:tc>
          <w:tcPr/>
          <w:p>
            <w:pPr>
              <w:pStyle w:val="Compact"/>
              <w:jc w:val="left"/>
            </w:pPr>
            <w:r>
              <w:t xml:space="preserve">Application-layer flow control</w:t>
            </w:r>
          </w:p>
        </w:tc>
        <w:tc>
          <w:tcPr/>
          <w:p>
            <w:pPr>
              <w:pStyle w:val="Compact"/>
              <w:jc w:val="lef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jc w:val="left"/>
            </w:pPr>
            <w:r>
              <w:rPr>
                <w:bCs/>
                <w:b/>
              </w:rPr>
              <w:t xml:space="preserve">AU-2 / AU-12</w:t>
            </w:r>
            <w:r>
              <w:t xml:space="preserve"> </w:t>
            </w:r>
            <w:r>
              <w:t xml:space="preserve">Audit Events / Audit Record Generation</w:t>
            </w:r>
          </w:p>
        </w:tc>
        <w:tc>
          <w:tcPr/>
          <w:p>
            <w:pPr>
              <w:pStyle w:val="Compact"/>
              <w:jc w:val="left"/>
            </w:pPr>
            <w:r>
              <w:t xml:space="preserve">Every flow traceable to source, destination, application, policy decision</w:t>
            </w:r>
          </w:p>
        </w:tc>
        <w:tc>
          <w:tcPr/>
          <w:p>
            <w:pPr>
              <w:pStyle w:val="Compact"/>
              <w:jc w:val="left"/>
            </w:pPr>
            <w:r>
              <w:t xml:space="preserve">SD-WAN Manager retains full flow telemetry: WAN Edge ID, source/destination IP, application ID, path selected, policy applied, timestamp; exported via syslog or streaming telemetry to SIEM</w:t>
            </w:r>
          </w:p>
        </w:tc>
      </w:tr>
      <w:tr>
        <w:tc>
          <w:tcPr/>
          <w:p>
            <w:pPr>
              <w:pStyle w:val="Compact"/>
              <w:jc w:val="left"/>
            </w:pPr>
            <w:r>
              <w:rPr>
                <w:bCs/>
                <w:b/>
              </w:rPr>
              <w:t xml:space="preserve">CA-7</w:t>
            </w:r>
            <w:r>
              <w:t xml:space="preserve"> </w:t>
            </w:r>
            <w:r>
              <w:t xml:space="preserve">Continuous Monitoring</w:t>
            </w:r>
          </w:p>
        </w:tc>
        <w:tc>
          <w:tcPr/>
          <w:p>
            <w:pPr>
              <w:pStyle w:val="Compact"/>
              <w:jc w:val="left"/>
            </w:pPr>
            <w:r>
              <w:t xml:space="preserve">Real-time observation of security posture</w:t>
            </w:r>
          </w:p>
        </w:tc>
        <w:tc>
          <w:tcPr/>
          <w:p>
            <w:pPr>
              <w:pStyle w:val="Compact"/>
              <w:jc w:val="left"/>
            </w:pPr>
            <w:r>
              <w:t xml:space="preserve">Cloud OnRamp path-quality metrics (per-transport latency, jitter, loss) exported continuously; Umbrella DNS security events; deviation from desired path policy triggers alert in SD-WAN Manager</w:t>
            </w:r>
          </w:p>
        </w:tc>
      </w:tr>
      <w:tr>
        <w:tc>
          <w:tcPr/>
          <w:p>
            <w:pPr>
              <w:pStyle w:val="Compact"/>
              <w:jc w:val="left"/>
            </w:pPr>
            <w:r>
              <w:rPr>
                <w:bCs/>
                <w:b/>
              </w:rPr>
              <w:t xml:space="preserve">SI-4</w:t>
            </w:r>
            <w:r>
              <w:t xml:space="preserve"> </w:t>
            </w:r>
            <w:r>
              <w:t xml:space="preserve">System Monitoring</w:t>
            </w:r>
          </w:p>
        </w:tc>
        <w:tc>
          <w:tcPr/>
          <w:p>
            <w:pPr>
              <w:pStyle w:val="Compact"/>
              <w:jc w:val="left"/>
            </w:pPr>
            <w:r>
              <w:t xml:space="preserve">Detect anomalies in communications</w:t>
            </w:r>
          </w:p>
        </w:tc>
        <w:tc>
          <w:tcPr/>
          <w:p>
            <w:pPr>
              <w:pStyle w:val="Compact"/>
              <w:jc w:val="left"/>
            </w:pPr>
            <w:r>
              <w:t xml:space="preserve">Cisco SD-WAN integrates with Cisco Cyber Vision and Cisco XDR for behavioral anomaly detection; Umbrella cloud-delivered security provides CASB and threat intelligence integration</w:t>
            </w:r>
          </w:p>
        </w:tc>
      </w:tr>
      <w:tr>
        <w:tc>
          <w:tcPr/>
          <w:p>
            <w:pPr>
              <w:pStyle w:val="Compact"/>
              <w:jc w:val="left"/>
            </w:pPr>
            <w:r>
              <w:rPr>
                <w:bCs/>
                <w:b/>
              </w:rPr>
              <w:t xml:space="preserve">CM-7</w:t>
            </w:r>
            <w:r>
              <w:t xml:space="preserve"> </w:t>
            </w:r>
            <w:r>
              <w:t xml:space="preserve">Least Functionality</w:t>
            </w:r>
          </w:p>
        </w:tc>
        <w:tc>
          <w:tcPr/>
          <w:p>
            <w:pPr>
              <w:pStyle w:val="Compact"/>
              <w:jc w:val="left"/>
            </w:pPr>
            <w:r>
              <w:t xml:space="preserve">Disable unused services on branch devices</w:t>
            </w:r>
          </w:p>
        </w:tc>
        <w:tc>
          <w:tcPr/>
          <w:p>
            <w:pPr>
              <w:pStyle w:val="Compact"/>
              <w:jc w:val="left"/>
            </w:pPr>
            <w:r>
              <w:t xml:space="preserve">cEdge configuration templates in SD-WAN Manager enforce device hardening baseline (no unused services, no local management plane access); template drift is detected and alerted by SD-WAN Manager</w:t>
            </w:r>
          </w:p>
        </w:tc>
      </w:tr>
      <w:tr>
        <w:tc>
          <w:tcPr/>
          <w:p>
            <w:pPr>
              <w:pStyle w:val="Compact"/>
              <w:jc w:val="left"/>
            </w:pPr>
            <w:r>
              <w:rPr>
                <w:bCs/>
                <w:b/>
              </w:rPr>
              <w:t xml:space="preserve">CM-2</w:t>
            </w:r>
            <w:r>
              <w:t xml:space="preserve"> </w:t>
            </w:r>
            <w:r>
              <w:t xml:space="preserve">Baseline Configuration</w:t>
            </w:r>
          </w:p>
        </w:tc>
        <w:tc>
          <w:tcPr/>
          <w:p>
            <w:pPr>
              <w:pStyle w:val="Compact"/>
              <w:jc w:val="left"/>
            </w:pPr>
            <w:r>
              <w:t xml:space="preserve">Maintain authorized baseline</w:t>
            </w:r>
          </w:p>
        </w:tc>
        <w:tc>
          <w:tcPr/>
          <w:p>
            <w:pPr>
              <w:pStyle w:val="Compact"/>
              <w:jc w:val="left"/>
            </w:pPr>
            <w:r>
              <w:t xml:space="preserve">SD-WAN Manager configuration templates ARE the authoritative baseline — every device must conform to the template; configuration drift triggers an automated alert and corrective action</w:t>
            </w:r>
          </w:p>
        </w:tc>
      </w:tr>
      <w:tr>
        <w:tc>
          <w:tcPr/>
          <w:p>
            <w:pPr>
              <w:pStyle w:val="Compact"/>
              <w:jc w:val="left"/>
            </w:pPr>
            <w:r>
              <w:rPr>
                <w:bCs/>
                <w:b/>
              </w:rPr>
              <w:t xml:space="preserve">IR-4</w:t>
            </w:r>
            <w:r>
              <w:t xml:space="preserve"> </w:t>
            </w:r>
            <w:r>
              <w:t xml:space="preserve">Incident Handling</w:t>
            </w:r>
          </w:p>
        </w:tc>
        <w:tc>
          <w:tcPr/>
          <w:p>
            <w:pPr>
              <w:pStyle w:val="Compact"/>
              <w:jc w:val="left"/>
            </w:pPr>
            <w:r>
              <w:t xml:space="preserve">Contain and isolate during incident</w:t>
            </w:r>
          </w:p>
        </w:tc>
        <w:tc>
          <w:tcPr/>
          <w:p>
            <w:pPr>
              <w:pStyle w:val="Compact"/>
              <w:jc w:val="left"/>
            </w:pPr>
            <w:r>
              <w:t xml:space="preserve">SD-WAN Manager policy can be pushed to isolate a branch or device within seconds — change the data-plane policy to block all traffic except OOB management; no physical access to branch required</w:t>
            </w:r>
          </w:p>
        </w:tc>
      </w:tr>
    </w:tbl>
    <w:bookmarkEnd w:id="96"/>
    <w:bookmarkEnd w:id="97"/>
    <w:bookmarkStart w:id="98" w:name="a.5-fedramp-20x-ksi-evidence-contracts"/>
    <w:p>
      <w:pPr>
        <w:pStyle w:val="Heading2"/>
      </w:pPr>
      <w:r>
        <w:rPr>
          <w:rStyle w:val="SectionNumber"/>
        </w:rPr>
        <w:t xml:space="preserve">11.5</w:t>
      </w:r>
      <w:r>
        <w:tab/>
      </w:r>
      <w:r>
        <w:t xml:space="preserve">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 {.striped .hover}</w:t>
      </w:r>
    </w:p>
    <w:tbl>
      <w:tblPr>
        <w:tblStyle w:val="Table"/>
        <w:tblW w:type="pct" w:w="5000"/>
        <w:tblLook w:firstRow="1" w:lastRow="0" w:firstColumn="0" w:lastColumn="0" w:noHBand="0" w:noVBand="0" w:val="0020"/>
        <w:jc w:val="start"/>
        <w:tblCaption w:val="Cisco Catalyst SD-WAN + Microsoft INR — FedRAMP 20x KSI Evidence Contracts {.striped .hover}"/>
      </w:tblPr>
      <w:tblGrid>
        <w:gridCol w:w="1980"/>
        <w:gridCol w:w="1980"/>
        <w:gridCol w:w="1980"/>
        <w:gridCol w:w="1980"/>
      </w:tblGrid>
      <w:tr>
        <w:trPr>
          <w:tblHeader w:val="true"/>
        </w:trPr>
        <w:tc>
          <w:tcPr/>
          <w:p>
            <w:pPr>
              <w:pStyle w:val="Compact"/>
              <w:jc w:val="left"/>
            </w:pPr>
            <w:r>
              <w:t xml:space="preserve">FedRAMP 20x KSI Theme</w:t>
            </w:r>
          </w:p>
        </w:tc>
        <w:tc>
          <w:tcPr/>
          <w:p>
            <w:pPr>
              <w:pStyle w:val="Compact"/>
              <w:jc w:val="left"/>
            </w:pPr>
            <w:r>
              <w:t xml:space="preserve">CR26 Control</w:t>
            </w:r>
          </w:p>
        </w:tc>
        <w:tc>
          <w:tcPr/>
          <w:p>
            <w:pPr>
              <w:pStyle w:val="Compact"/>
              <w:jc w:val="left"/>
            </w:pPr>
            <w:r>
              <w:t xml:space="preserve">What Cisco Catalyst SD-WAN Produces</w:t>
            </w:r>
          </w:p>
        </w:tc>
        <w:tc>
          <w:tcPr/>
          <w:p>
            <w:pPr>
              <w:pStyle w:val="Compact"/>
              <w:jc w:val="left"/>
            </w:pPr>
            <w:r>
              <w:t xml:space="preserve">Evidence Format</w:t>
            </w:r>
          </w:p>
        </w:tc>
      </w:tr>
      <w:tr>
        <w:tc>
          <w:tcPr/>
          <w:p>
            <w:pPr>
              <w:pStyle w:val="Compact"/>
              <w:jc w:val="left"/>
            </w:pPr>
            <w:r>
              <w:rPr>
                <w:bCs/>
                <w:b/>
              </w:rPr>
              <w:t xml:space="preserve">KSI-CNA</w:t>
            </w:r>
            <w:r>
              <w:t xml:space="preserve"> </w:t>
            </w:r>
            <w:r>
              <w:t xml:space="preserve">(Cloud Native Architecture)</w:t>
            </w:r>
          </w:p>
        </w:tc>
        <w:tc>
          <w:tcPr/>
          <w:p>
            <w:pPr>
              <w:pStyle w:val="Compact"/>
              <w:jc w:val="left"/>
            </w:pPr>
            <w:r>
              <w:t xml:space="preserve">KSI-CNA-EIS</w:t>
            </w:r>
          </w:p>
        </w:tc>
        <w:tc>
          <w:tcPr/>
          <w:p>
            <w:pPr>
              <w:pStyle w:val="Compact"/>
              <w:jc w:val="left"/>
            </w:pPr>
            <w:r>
              <w:t xml:space="preserve">Cloud OnRamp SaaS policy defines authorized M365 egress paths; deviation from policy is a logged event</w:t>
            </w:r>
          </w:p>
        </w:tc>
        <w:tc>
          <w:tcPr/>
          <w:p>
            <w:pPr>
              <w:pStyle w:val="Compact"/>
              <w:jc w:val="left"/>
            </w:pPr>
            <w:r>
              <w:t xml:space="preserve">SD-WAN Manager audit log (JSON)</w:t>
            </w:r>
          </w:p>
        </w:tc>
      </w:tr>
      <w:tr>
        <w:tc>
          <w:tcPr/>
          <w:p>
            <w:pPr>
              <w:pStyle w:val="Compact"/>
              <w:jc w:val="left"/>
            </w:pPr>
            <w:r>
              <w:rPr>
                <w:bCs/>
                <w:b/>
              </w:rPr>
              <w:t xml:space="preserve">KSI-MLA</w:t>
            </w:r>
            <w:r>
              <w:t xml:space="preserve"> </w:t>
            </w:r>
            <w:r>
              <w:t xml:space="preserve">(Monitoring, Logging, Alerting)</w:t>
            </w:r>
          </w:p>
        </w:tc>
        <w:tc>
          <w:tcPr/>
          <w:p>
            <w:pPr>
              <w:pStyle w:val="Compact"/>
              <w:jc w:val="left"/>
            </w:pPr>
            <w:r>
              <w:t xml:space="preserve">KSI-MLA-OSM</w:t>
            </w:r>
          </w:p>
        </w:tc>
        <w:tc>
          <w:tcPr/>
          <w:p>
            <w:pPr>
              <w:pStyle w:val="Compact"/>
              <w:jc w:val="left"/>
            </w:pPr>
            <w:r>
              <w:t xml:space="preserve">Per-flow telemetry: every WAN Edge flow with application ID, path selected, policy applied, timestamp</w:t>
            </w:r>
          </w:p>
        </w:tc>
        <w:tc>
          <w:tcPr/>
          <w:p>
            <w:pPr>
              <w:pStyle w:val="Compact"/>
              <w:jc w:val="left"/>
            </w:pPr>
            <w:r>
              <w:t xml:space="preserve">Streaming telemetry to SIEM (structured JSON or syslog)</w:t>
            </w:r>
          </w:p>
        </w:tc>
      </w:tr>
      <w:tr>
        <w:tc>
          <w:tcPr/>
          <w:p>
            <w:pPr>
              <w:pStyle w:val="Compact"/>
              <w:jc w:val="left"/>
            </w:pPr>
            <w:r>
              <w:rPr>
                <w:bCs/>
                <w:b/>
              </w:rPr>
              <w:t xml:space="preserve">KSI-MLA</w:t>
            </w:r>
          </w:p>
        </w:tc>
        <w:tc>
          <w:tcPr/>
          <w:p>
            <w:pPr>
              <w:pStyle w:val="Compact"/>
              <w:jc w:val="left"/>
            </w:pPr>
            <w:r>
              <w:t xml:space="preserve">KSI-MLA-EVC</w:t>
            </w:r>
          </w:p>
        </w:tc>
        <w:tc>
          <w:tcPr/>
          <w:p>
            <w:pPr>
              <w:pStyle w:val="Compact"/>
              <w:jc w:val="left"/>
            </w:pPr>
            <w:r>
              <w:t xml:space="preserve">SD-WAN Manager alert correlation: path quality degradation + flow reroute event = correlated security event</w:t>
            </w:r>
          </w:p>
        </w:tc>
        <w:tc>
          <w:tcPr/>
          <w:p>
            <w:pPr>
              <w:pStyle w:val="Compact"/>
              <w:jc w:val="left"/>
            </w:pPr>
            <w:r>
              <w:t xml:space="preserve">Cisco XDR or SIEM correlation rule</w:t>
            </w:r>
          </w:p>
        </w:tc>
      </w:tr>
      <w:tr>
        <w:tc>
          <w:tcPr/>
          <w:p>
            <w:pPr>
              <w:pStyle w:val="Compact"/>
              <w:jc w:val="left"/>
            </w:pPr>
            <w:r>
              <w:rPr>
                <w:bCs/>
                <w:b/>
              </w:rPr>
              <w:t xml:space="preserve">KSI-SVC</w:t>
            </w:r>
            <w:r>
              <w:t xml:space="preserve"> </w:t>
            </w:r>
            <w:r>
              <w:t xml:space="preserve">(Service Configuration)</w:t>
            </w:r>
          </w:p>
        </w:tc>
        <w:tc>
          <w:tcPr/>
          <w:p>
            <w:pPr>
              <w:pStyle w:val="Compact"/>
              <w:jc w:val="left"/>
            </w:pPr>
            <w:r>
              <w:t xml:space="preserve">KSI-SVC-VRI</w:t>
            </w:r>
          </w:p>
        </w:tc>
        <w:tc>
          <w:tcPr/>
          <w:p>
            <w:pPr>
              <w:pStyle w:val="Compact"/>
              <w:jc w:val="left"/>
            </w:pPr>
            <w:r>
              <w:t xml:space="preserve">cEdge device configuration must match SD-WAN Manager template; any drift is detected and logged</w:t>
            </w:r>
          </w:p>
        </w:tc>
        <w:tc>
          <w:tcPr/>
          <w:p>
            <w:pPr>
              <w:pStyle w:val="Compact"/>
              <w:jc w:val="left"/>
            </w:pPr>
            <w:r>
              <w:t xml:space="preserve">Configuration compliance report (SD-WAN Manager REST API export)</w:t>
            </w:r>
          </w:p>
        </w:tc>
      </w:tr>
      <w:tr>
        <w:tc>
          <w:tcPr/>
          <w:p>
            <w:pPr>
              <w:pStyle w:val="Compact"/>
              <w:jc w:val="left"/>
            </w:pPr>
            <w:r>
              <w:rPr>
                <w:bCs/>
                <w:b/>
              </w:rPr>
              <w:t xml:space="preserve">KSI-CMT</w:t>
            </w:r>
            <w:r>
              <w:t xml:space="preserve"> </w:t>
            </w:r>
            <w:r>
              <w:t xml:space="preserve">(Change Management)</w:t>
            </w:r>
          </w:p>
        </w:tc>
        <w:tc>
          <w:tcPr/>
          <w:p>
            <w:pPr>
              <w:pStyle w:val="Compact"/>
              <w:jc w:val="left"/>
            </w:pPr>
            <w:r>
              <w:t xml:space="preserve">KSI-CMT-LMC</w:t>
            </w:r>
          </w:p>
        </w:tc>
        <w:tc>
          <w:tcPr/>
          <w:p>
            <w:pPr>
              <w:pStyle w:val="Compact"/>
              <w:jc w:val="left"/>
            </w:pPr>
            <w:r>
              <w:t xml:space="preserve">Every policy change in SD-WAN Manager is a timestamped audit log entry: who changed what, when, from what prior state</w:t>
            </w:r>
          </w:p>
        </w:tc>
        <w:tc>
          <w:tcPr/>
          <w:p>
            <w:pPr>
              <w:pStyle w:val="Compact"/>
              <w:jc w:val="left"/>
            </w:pPr>
            <w:r>
              <w:t xml:space="preserve">SD-WAN Manager change audit log (JSON)</w:t>
            </w:r>
          </w:p>
        </w:tc>
      </w:tr>
      <w:tr>
        <w:tc>
          <w:tcPr/>
          <w:p>
            <w:pPr>
              <w:pStyle w:val="Compact"/>
              <w:jc w:val="left"/>
            </w:pPr>
            <w:r>
              <w:rPr>
                <w:bCs/>
                <w:b/>
              </w:rPr>
              <w:t xml:space="preserve">KSI-CMT</w:t>
            </w:r>
          </w:p>
        </w:tc>
        <w:tc>
          <w:tcPr/>
          <w:p>
            <w:pPr>
              <w:pStyle w:val="Compact"/>
              <w:jc w:val="left"/>
            </w:pPr>
            <w:r>
              <w:t xml:space="preserve">KSI-CMT-VTD</w:t>
            </w:r>
          </w:p>
        </w:tc>
        <w:tc>
          <w:tcPr/>
          <w:p>
            <w:pPr>
              <w:pStyle w:val="Compact"/>
              <w:jc w:val="left"/>
            </w:pPr>
            <w:r>
              <w:t xml:space="preserve">Policy template validation runs in dry-run mode before commit; template is version-controlled in Git</w:t>
            </w:r>
          </w:p>
        </w:tc>
        <w:tc>
          <w:tcPr/>
          <w:p>
            <w:pPr>
              <w:pStyle w:val="Compact"/>
              <w:jc w:val="left"/>
            </w:pPr>
            <w:r>
              <w:t xml:space="preserve">SD-WAN Manager template commit log + Git SHA reference</w:t>
            </w:r>
          </w:p>
        </w:tc>
      </w:tr>
    </w:tbl>
    <w:p>
      <w:pPr>
        <w:pStyle w:val="BodyText"/>
      </w:pPr>
      <w:r>
        <w:rPr>
          <w:bCs/>
          <w:b/>
        </w:rPr>
        <w:t xml:space="preserve">The AAN slot binding for this appendix.</w:t>
      </w:r>
      <w:r>
        <w:t xml:space="preserve"> </w:t>
      </w:r>
      <w:r>
        <w:t xml:space="preserve">The evidence contracts in the table above are satisfied by AAN slot 03 (network control plane), which binds to Book 02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bookmarkEnd w:id="98"/>
    <w:bookmarkStart w:id="99" w:name="X7a81c79d1d042ee9d2d4412f6dbd9142b92d417"/>
    <w:p>
      <w:pPr>
        <w:pStyle w:val="Heading2"/>
      </w:pPr>
      <w:r>
        <w:rPr>
          <w:rStyle w:val="SectionNumber"/>
        </w:rPr>
        <w:t xml:space="preserve">11.6</w:t>
      </w:r>
      <w:r>
        <w:tab/>
      </w:r>
      <w:r>
        <w:t xml:space="preserve">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BodyText"/>
      </w:pPr>
      <w:r>
        <w:rPr>
          <w:bCs/>
          <w:b/>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Cs/>
          <w:b/>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Cs/>
          <w:b/>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Cs/>
          <w:b/>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Cs/>
          <w:b/>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Cs/>
          <w:b/>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p>
      <w:pPr>
        <w:pStyle w:val="BodyText"/>
      </w:pPr>
      <w:r>
        <w:rPr>
          <w:bCs/>
          <w:b/>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bookmarkEnd w:id="99"/>
    <w:bookmarkEnd w:id="100"/>
    <w:sectPr>
      <w:pgMar w:top="720" w:right="720" w:bottom="720" w:left="72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79" Target="media/rId7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66" Target="media/rId66.png" /><Relationship Type="http://schemas.openxmlformats.org/officeDocument/2006/relationships/image" Id="rId85" Target="media/rId85.png" /><Relationship Type="http://schemas.openxmlformats.org/officeDocument/2006/relationships/image" Id="rId89" Target="media/rId8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From Mainframe to Application-Aware Modernization</dc:title>
  <dc:creator>Michael Stratton</dc:creator>
  <cp:keywords/>
  <dcterms:created xsi:type="dcterms:W3CDTF">2026-07-04T15:18:46Z</dcterms:created>
  <dcterms:modified xsi:type="dcterms:W3CDTF">2026-07-04T15:18:46Z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2026-06-29</vt:lpwstr>
  </property>
  <property fmtid="{D5CDD505-2E9C-101B-9397-08002B2CF9AE}" pid="3" name="fig-align">
    <vt:lpwstr>center</vt:lpwstr>
  </property>
  <property fmtid="{D5CDD505-2E9C-101B-9397-08002B2CF9AE}" pid="4" name="format">
    <vt:lpwstr/>
  </property>
  <property fmtid="{D5CDD505-2E9C-101B-9397-08002B2CF9AE}" pid="5" name="out-width">
    <vt:lpwstr>100%</vt:lpwstr>
  </property>
  <property fmtid="{D5CDD505-2E9C-101B-9397-08002B2CF9AE}" pid="6" name="subtitle">
    <vt:lpwstr>How Federal Agencies Lost Their Single Source of Truth Across Forty Years — and What Zero Trust, CISA, NIST, and FedRAMP 20x Require to Restore It</vt:lpwstr>
  </property>
</Properties>
</file>