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50715" w:rsidRDefault="006A60F1">
      <w:pPr>
        <w:pStyle w:val="Title"/>
      </w:pPr>
      <w:r>
        <w:t>Federal Application-Aware Networking: SQL Server Authentication Modernization</w:t>
      </w:r>
    </w:p>
    <w:p w:rsidR="00A50715" w:rsidRDefault="006A60F1">
      <w:pPr>
        <w:pStyle w:val="Subtitle"/>
      </w:pPr>
      <w:r>
        <w:t>Eliminating Domain Credentials from SQL Server — Azure Arc, Entra ID, and Zero-Trust Authentication</w:t>
      </w:r>
    </w:p>
    <w:p w:rsidR="00A50715" w:rsidRDefault="006A60F1">
      <w:pPr>
        <w:pStyle w:val="Author"/>
      </w:pPr>
      <w:r>
        <w:t>Federal Cloud Services</w:t>
      </w:r>
    </w:p>
    <w:p w:rsidR="00A50715" w:rsidRDefault="006A60F1">
      <w:pPr>
        <w:pStyle w:val="Date"/>
      </w:pPr>
      <w:r>
        <w:t>2026-07-01</w:t>
      </w:r>
    </w:p>
    <w:sdt>
      <w:sdtPr>
        <w:rPr>
          <w:rFonts w:asciiTheme="minorHAnsi" w:eastAsiaTheme="minorEastAsia" w:hAnsiTheme="minorHAnsi" w:cstheme="minorBidi"/>
          <w:color w:val="auto"/>
          <w:sz w:val="24"/>
          <w:szCs w:val="24"/>
        </w:rPr>
        <w:id w:val="-633490974"/>
        <w:docPartObj>
          <w:docPartGallery w:val="Table of Contents"/>
          <w:docPartUnique/>
        </w:docPartObj>
      </w:sdtPr>
      <w:sdtEndPr/>
      <w:sdtContent>
        <w:p w:rsidR="00A50715" w:rsidRDefault="006A60F1">
          <w:pPr>
            <w:pStyle w:val="TOCHeading"/>
          </w:pPr>
          <w:r>
            <w:t>Table of contents</w:t>
          </w:r>
        </w:p>
        <w:p w:rsidR="00062A57" w:rsidRDefault="006A60F1">
          <w:pPr>
            <w:pStyle w:val="TOC1"/>
            <w:tabs>
              <w:tab w:val="right" w:leader="dot" w:pos="9350"/>
            </w:tabs>
            <w:rPr>
              <w:noProof/>
              <w:kern w:val="2"/>
              <w:lang w:eastAsia="en-US"/>
              <w14:ligatures w14:val="standardContextual"/>
            </w:rPr>
          </w:pPr>
          <w:r>
            <w:fldChar w:fldCharType="begin"/>
          </w:r>
          <w:r>
            <w:instrText>TOC \o "1-3" \h \z \u</w:instrText>
          </w:r>
          <w:r>
            <w:fldChar w:fldCharType="separate"/>
          </w:r>
          <w:hyperlink w:anchor="_Toc233818273" w:history="1">
            <w:r w:rsidR="00062A57" w:rsidRPr="0012212C">
              <w:rPr>
                <w:rStyle w:val="Hyperlink"/>
                <w:noProof/>
              </w:rPr>
              <w:t>1. The Inherited Problem: What Kerberos Actually Does</w:t>
            </w:r>
            <w:r w:rsidR="00062A57">
              <w:rPr>
                <w:noProof/>
                <w:webHidden/>
              </w:rPr>
              <w:tab/>
            </w:r>
            <w:r w:rsidR="00062A57">
              <w:rPr>
                <w:noProof/>
                <w:webHidden/>
              </w:rPr>
              <w:fldChar w:fldCharType="begin"/>
            </w:r>
            <w:r w:rsidR="00062A57">
              <w:rPr>
                <w:noProof/>
                <w:webHidden/>
              </w:rPr>
              <w:instrText xml:space="preserve"> PAGEREF _Toc233818273 \h </w:instrText>
            </w:r>
            <w:r w:rsidR="00062A57">
              <w:rPr>
                <w:noProof/>
                <w:webHidden/>
              </w:rPr>
            </w:r>
            <w:r w:rsidR="00062A57">
              <w:rPr>
                <w:noProof/>
                <w:webHidden/>
              </w:rPr>
              <w:fldChar w:fldCharType="separate"/>
            </w:r>
            <w:r w:rsidR="00062A57">
              <w:rPr>
                <w:noProof/>
                <w:webHidden/>
              </w:rPr>
              <w:t>2</w:t>
            </w:r>
            <w:r w:rsidR="00062A57">
              <w:rPr>
                <w:noProof/>
                <w:webHidden/>
              </w:rPr>
              <w:fldChar w:fldCharType="end"/>
            </w:r>
          </w:hyperlink>
        </w:p>
        <w:p w:rsidR="00062A57" w:rsidRDefault="00062A57">
          <w:pPr>
            <w:pStyle w:val="TOC2"/>
            <w:tabs>
              <w:tab w:val="right" w:leader="dot" w:pos="9350"/>
            </w:tabs>
            <w:rPr>
              <w:noProof/>
              <w:kern w:val="2"/>
              <w:lang w:eastAsia="en-US"/>
              <w14:ligatures w14:val="standardContextual"/>
            </w:rPr>
          </w:pPr>
          <w:hyperlink w:anchor="_Toc233818274" w:history="1">
            <w:r w:rsidRPr="0012212C">
              <w:rPr>
                <w:rStyle w:val="Hyperlink"/>
                <w:noProof/>
              </w:rPr>
              <w:t>1.1 What Kerberos Requires</w:t>
            </w:r>
            <w:r>
              <w:rPr>
                <w:noProof/>
                <w:webHidden/>
              </w:rPr>
              <w:tab/>
            </w:r>
            <w:r>
              <w:rPr>
                <w:noProof/>
                <w:webHidden/>
              </w:rPr>
              <w:fldChar w:fldCharType="begin"/>
            </w:r>
            <w:r>
              <w:rPr>
                <w:noProof/>
                <w:webHidden/>
              </w:rPr>
              <w:instrText xml:space="preserve"> PAGEREF _Toc233818274 \h </w:instrText>
            </w:r>
            <w:r>
              <w:rPr>
                <w:noProof/>
                <w:webHidden/>
              </w:rPr>
            </w:r>
            <w:r>
              <w:rPr>
                <w:noProof/>
                <w:webHidden/>
              </w:rPr>
              <w:fldChar w:fldCharType="separate"/>
            </w:r>
            <w:r>
              <w:rPr>
                <w:noProof/>
                <w:webHidden/>
              </w:rPr>
              <w:t>3</w:t>
            </w:r>
            <w:r>
              <w:rPr>
                <w:noProof/>
                <w:webHidden/>
              </w:rPr>
              <w:fldChar w:fldCharType="end"/>
            </w:r>
          </w:hyperlink>
        </w:p>
        <w:p w:rsidR="00062A57" w:rsidRDefault="00062A57">
          <w:pPr>
            <w:pStyle w:val="TOC2"/>
            <w:tabs>
              <w:tab w:val="right" w:leader="dot" w:pos="9350"/>
            </w:tabs>
            <w:rPr>
              <w:noProof/>
              <w:kern w:val="2"/>
              <w:lang w:eastAsia="en-US"/>
              <w14:ligatures w14:val="standardContextual"/>
            </w:rPr>
          </w:pPr>
          <w:hyperlink w:anchor="_Toc233818275" w:history="1">
            <w:r w:rsidRPr="0012212C">
              <w:rPr>
                <w:rStyle w:val="Hyperlink"/>
                <w:noProof/>
              </w:rPr>
              <w:t>1.2 The NTLM Problem</w:t>
            </w:r>
            <w:r>
              <w:rPr>
                <w:noProof/>
                <w:webHidden/>
              </w:rPr>
              <w:tab/>
            </w:r>
            <w:r>
              <w:rPr>
                <w:noProof/>
                <w:webHidden/>
              </w:rPr>
              <w:fldChar w:fldCharType="begin"/>
            </w:r>
            <w:r>
              <w:rPr>
                <w:noProof/>
                <w:webHidden/>
              </w:rPr>
              <w:instrText xml:space="preserve"> PAGEREF _Toc233818275 \h </w:instrText>
            </w:r>
            <w:r>
              <w:rPr>
                <w:noProof/>
                <w:webHidden/>
              </w:rPr>
            </w:r>
            <w:r>
              <w:rPr>
                <w:noProof/>
                <w:webHidden/>
              </w:rPr>
              <w:fldChar w:fldCharType="separate"/>
            </w:r>
            <w:r>
              <w:rPr>
                <w:noProof/>
                <w:webHidden/>
              </w:rPr>
              <w:t>3</w:t>
            </w:r>
            <w:r>
              <w:rPr>
                <w:noProof/>
                <w:webHidden/>
              </w:rPr>
              <w:fldChar w:fldCharType="end"/>
            </w:r>
          </w:hyperlink>
        </w:p>
        <w:p w:rsidR="00062A57" w:rsidRDefault="00062A57">
          <w:pPr>
            <w:pStyle w:val="TOC1"/>
            <w:tabs>
              <w:tab w:val="right" w:leader="dot" w:pos="9350"/>
            </w:tabs>
            <w:rPr>
              <w:noProof/>
              <w:kern w:val="2"/>
              <w:lang w:eastAsia="en-US"/>
              <w14:ligatures w14:val="standardContextual"/>
            </w:rPr>
          </w:pPr>
          <w:hyperlink w:anchor="_Toc233818276" w:history="1">
            <w:r w:rsidRPr="0012212C">
              <w:rPr>
                <w:rStyle w:val="Hyperlink"/>
                <w:noProof/>
              </w:rPr>
              <w:t>2. The Estate: What Must Be Discovered</w:t>
            </w:r>
            <w:r>
              <w:rPr>
                <w:noProof/>
                <w:webHidden/>
              </w:rPr>
              <w:tab/>
            </w:r>
            <w:r>
              <w:rPr>
                <w:noProof/>
                <w:webHidden/>
              </w:rPr>
              <w:fldChar w:fldCharType="begin"/>
            </w:r>
            <w:r>
              <w:rPr>
                <w:noProof/>
                <w:webHidden/>
              </w:rPr>
              <w:instrText xml:space="preserve"> PAGEREF _Toc233818276 \h </w:instrText>
            </w:r>
            <w:r>
              <w:rPr>
                <w:noProof/>
                <w:webHidden/>
              </w:rPr>
            </w:r>
            <w:r>
              <w:rPr>
                <w:noProof/>
                <w:webHidden/>
              </w:rPr>
              <w:fldChar w:fldCharType="separate"/>
            </w:r>
            <w:r>
              <w:rPr>
                <w:noProof/>
                <w:webHidden/>
              </w:rPr>
              <w:t>4</w:t>
            </w:r>
            <w:r>
              <w:rPr>
                <w:noProof/>
                <w:webHidden/>
              </w:rPr>
              <w:fldChar w:fldCharType="end"/>
            </w:r>
          </w:hyperlink>
        </w:p>
        <w:p w:rsidR="00062A57" w:rsidRDefault="00062A57">
          <w:pPr>
            <w:pStyle w:val="TOC2"/>
            <w:tabs>
              <w:tab w:val="right" w:leader="dot" w:pos="9350"/>
            </w:tabs>
            <w:rPr>
              <w:noProof/>
              <w:kern w:val="2"/>
              <w:lang w:eastAsia="en-US"/>
              <w14:ligatures w14:val="standardContextual"/>
            </w:rPr>
          </w:pPr>
          <w:hyperlink w:anchor="_Toc233818277" w:history="1">
            <w:r w:rsidRPr="0012212C">
              <w:rPr>
                <w:rStyle w:val="Hyperlink"/>
                <w:noProof/>
              </w:rPr>
              <w:t>2.1 Discovery Dimensions</w:t>
            </w:r>
            <w:r>
              <w:rPr>
                <w:noProof/>
                <w:webHidden/>
              </w:rPr>
              <w:tab/>
            </w:r>
            <w:r>
              <w:rPr>
                <w:noProof/>
                <w:webHidden/>
              </w:rPr>
              <w:fldChar w:fldCharType="begin"/>
            </w:r>
            <w:r>
              <w:rPr>
                <w:noProof/>
                <w:webHidden/>
              </w:rPr>
              <w:instrText xml:space="preserve"> PAGEREF _Toc233818277 \h </w:instrText>
            </w:r>
            <w:r>
              <w:rPr>
                <w:noProof/>
                <w:webHidden/>
              </w:rPr>
            </w:r>
            <w:r>
              <w:rPr>
                <w:noProof/>
                <w:webHidden/>
              </w:rPr>
              <w:fldChar w:fldCharType="separate"/>
            </w:r>
            <w:r>
              <w:rPr>
                <w:noProof/>
                <w:webHidden/>
              </w:rPr>
              <w:t>4</w:t>
            </w:r>
            <w:r>
              <w:rPr>
                <w:noProof/>
                <w:webHidden/>
              </w:rPr>
              <w:fldChar w:fldCharType="end"/>
            </w:r>
          </w:hyperlink>
        </w:p>
        <w:p w:rsidR="00062A57" w:rsidRDefault="00062A57">
          <w:pPr>
            <w:pStyle w:val="TOC2"/>
            <w:tabs>
              <w:tab w:val="right" w:leader="dot" w:pos="9350"/>
            </w:tabs>
            <w:rPr>
              <w:noProof/>
              <w:kern w:val="2"/>
              <w:lang w:eastAsia="en-US"/>
              <w14:ligatures w14:val="standardContextual"/>
            </w:rPr>
          </w:pPr>
          <w:hyperlink w:anchor="_Toc233818278" w:history="1">
            <w:r w:rsidRPr="0012212C">
              <w:rPr>
                <w:rStyle w:val="Hyperlink"/>
                <w:noProof/>
              </w:rPr>
              <w:t>2.2 The Consolidation Gate</w:t>
            </w:r>
            <w:r>
              <w:rPr>
                <w:noProof/>
                <w:webHidden/>
              </w:rPr>
              <w:tab/>
            </w:r>
            <w:r>
              <w:rPr>
                <w:noProof/>
                <w:webHidden/>
              </w:rPr>
              <w:fldChar w:fldCharType="begin"/>
            </w:r>
            <w:r>
              <w:rPr>
                <w:noProof/>
                <w:webHidden/>
              </w:rPr>
              <w:instrText xml:space="preserve"> PAGEREF _Toc233818278 \h </w:instrText>
            </w:r>
            <w:r>
              <w:rPr>
                <w:noProof/>
                <w:webHidden/>
              </w:rPr>
            </w:r>
            <w:r>
              <w:rPr>
                <w:noProof/>
                <w:webHidden/>
              </w:rPr>
              <w:fldChar w:fldCharType="separate"/>
            </w:r>
            <w:r>
              <w:rPr>
                <w:noProof/>
                <w:webHidden/>
              </w:rPr>
              <w:t>4</w:t>
            </w:r>
            <w:r>
              <w:rPr>
                <w:noProof/>
                <w:webHidden/>
              </w:rPr>
              <w:fldChar w:fldCharType="end"/>
            </w:r>
          </w:hyperlink>
        </w:p>
        <w:p w:rsidR="00062A57" w:rsidRDefault="00062A57">
          <w:pPr>
            <w:pStyle w:val="TOC1"/>
            <w:tabs>
              <w:tab w:val="right" w:leader="dot" w:pos="9350"/>
            </w:tabs>
            <w:rPr>
              <w:noProof/>
              <w:kern w:val="2"/>
              <w:lang w:eastAsia="en-US"/>
              <w14:ligatures w14:val="standardContextual"/>
            </w:rPr>
          </w:pPr>
          <w:hyperlink w:anchor="_Toc233818279" w:history="1">
            <w:r w:rsidRPr="0012212C">
              <w:rPr>
                <w:rStyle w:val="Hyperlink"/>
                <w:noProof/>
              </w:rPr>
              <w:t>3. Arc as the Identity Bridge</w:t>
            </w:r>
            <w:r>
              <w:rPr>
                <w:noProof/>
                <w:webHidden/>
              </w:rPr>
              <w:tab/>
            </w:r>
            <w:r>
              <w:rPr>
                <w:noProof/>
                <w:webHidden/>
              </w:rPr>
              <w:fldChar w:fldCharType="begin"/>
            </w:r>
            <w:r>
              <w:rPr>
                <w:noProof/>
                <w:webHidden/>
              </w:rPr>
              <w:instrText xml:space="preserve"> PAGEREF _Toc233818279 \h </w:instrText>
            </w:r>
            <w:r>
              <w:rPr>
                <w:noProof/>
                <w:webHidden/>
              </w:rPr>
            </w:r>
            <w:r>
              <w:rPr>
                <w:noProof/>
                <w:webHidden/>
              </w:rPr>
              <w:fldChar w:fldCharType="separate"/>
            </w:r>
            <w:r>
              <w:rPr>
                <w:noProof/>
                <w:webHidden/>
              </w:rPr>
              <w:t>5</w:t>
            </w:r>
            <w:r>
              <w:rPr>
                <w:noProof/>
                <w:webHidden/>
              </w:rPr>
              <w:fldChar w:fldCharType="end"/>
            </w:r>
          </w:hyperlink>
        </w:p>
        <w:p w:rsidR="00062A57" w:rsidRDefault="00062A57">
          <w:pPr>
            <w:pStyle w:val="TOC2"/>
            <w:tabs>
              <w:tab w:val="right" w:leader="dot" w:pos="9350"/>
            </w:tabs>
            <w:rPr>
              <w:noProof/>
              <w:kern w:val="2"/>
              <w:lang w:eastAsia="en-US"/>
              <w14:ligatures w14:val="standardContextual"/>
            </w:rPr>
          </w:pPr>
          <w:hyperlink w:anchor="_Toc233818280" w:history="1">
            <w:r w:rsidRPr="0012212C">
              <w:rPr>
                <w:rStyle w:val="Hyperlink"/>
                <w:noProof/>
              </w:rPr>
              <w:t>3.1 What Arc Provides</w:t>
            </w:r>
            <w:r>
              <w:rPr>
                <w:noProof/>
                <w:webHidden/>
              </w:rPr>
              <w:tab/>
            </w:r>
            <w:r>
              <w:rPr>
                <w:noProof/>
                <w:webHidden/>
              </w:rPr>
              <w:fldChar w:fldCharType="begin"/>
            </w:r>
            <w:r>
              <w:rPr>
                <w:noProof/>
                <w:webHidden/>
              </w:rPr>
              <w:instrText xml:space="preserve"> PAGEREF _Toc233818280 \h </w:instrText>
            </w:r>
            <w:r>
              <w:rPr>
                <w:noProof/>
                <w:webHidden/>
              </w:rPr>
            </w:r>
            <w:r>
              <w:rPr>
                <w:noProof/>
                <w:webHidden/>
              </w:rPr>
              <w:fldChar w:fldCharType="separate"/>
            </w:r>
            <w:r>
              <w:rPr>
                <w:noProof/>
                <w:webHidden/>
              </w:rPr>
              <w:t>5</w:t>
            </w:r>
            <w:r>
              <w:rPr>
                <w:noProof/>
                <w:webHidden/>
              </w:rPr>
              <w:fldChar w:fldCharType="end"/>
            </w:r>
          </w:hyperlink>
        </w:p>
        <w:p w:rsidR="00062A57" w:rsidRDefault="00062A57">
          <w:pPr>
            <w:pStyle w:val="TOC2"/>
            <w:tabs>
              <w:tab w:val="right" w:leader="dot" w:pos="9350"/>
            </w:tabs>
            <w:rPr>
              <w:noProof/>
              <w:kern w:val="2"/>
              <w:lang w:eastAsia="en-US"/>
              <w14:ligatures w14:val="standardContextual"/>
            </w:rPr>
          </w:pPr>
          <w:hyperlink w:anchor="_Toc233818281" w:history="1">
            <w:r w:rsidRPr="0012212C">
              <w:rPr>
                <w:rStyle w:val="Hyperlink"/>
                <w:noProof/>
              </w:rPr>
              <w:t>3.2 Layer 1: SQL Engine Authentication</w:t>
            </w:r>
            <w:r>
              <w:rPr>
                <w:noProof/>
                <w:webHidden/>
              </w:rPr>
              <w:tab/>
            </w:r>
            <w:r>
              <w:rPr>
                <w:noProof/>
                <w:webHidden/>
              </w:rPr>
              <w:fldChar w:fldCharType="begin"/>
            </w:r>
            <w:r>
              <w:rPr>
                <w:noProof/>
                <w:webHidden/>
              </w:rPr>
              <w:instrText xml:space="preserve"> PAGEREF _Toc233818281 \h </w:instrText>
            </w:r>
            <w:r>
              <w:rPr>
                <w:noProof/>
                <w:webHidden/>
              </w:rPr>
            </w:r>
            <w:r>
              <w:rPr>
                <w:noProof/>
                <w:webHidden/>
              </w:rPr>
              <w:fldChar w:fldCharType="separate"/>
            </w:r>
            <w:r>
              <w:rPr>
                <w:noProof/>
                <w:webHidden/>
              </w:rPr>
              <w:t>6</w:t>
            </w:r>
            <w:r>
              <w:rPr>
                <w:noProof/>
                <w:webHidden/>
              </w:rPr>
              <w:fldChar w:fldCharType="end"/>
            </w:r>
          </w:hyperlink>
        </w:p>
        <w:p w:rsidR="00062A57" w:rsidRDefault="00062A57">
          <w:pPr>
            <w:pStyle w:val="TOC2"/>
            <w:tabs>
              <w:tab w:val="right" w:leader="dot" w:pos="9350"/>
            </w:tabs>
            <w:rPr>
              <w:noProof/>
              <w:kern w:val="2"/>
              <w:lang w:eastAsia="en-US"/>
              <w14:ligatures w14:val="standardContextual"/>
            </w:rPr>
          </w:pPr>
          <w:hyperlink w:anchor="_Toc233818282" w:history="1">
            <w:r w:rsidRPr="0012212C">
              <w:rPr>
                <w:rStyle w:val="Hyperlink"/>
                <w:noProof/>
              </w:rPr>
              <w:t>3.3 Layer 2: OS-Level Entra Login</w:t>
            </w:r>
            <w:r>
              <w:rPr>
                <w:noProof/>
                <w:webHidden/>
              </w:rPr>
              <w:tab/>
            </w:r>
            <w:r>
              <w:rPr>
                <w:noProof/>
                <w:webHidden/>
              </w:rPr>
              <w:fldChar w:fldCharType="begin"/>
            </w:r>
            <w:r>
              <w:rPr>
                <w:noProof/>
                <w:webHidden/>
              </w:rPr>
              <w:instrText xml:space="preserve"> PAGEREF _Toc233818282 \h </w:instrText>
            </w:r>
            <w:r>
              <w:rPr>
                <w:noProof/>
                <w:webHidden/>
              </w:rPr>
            </w:r>
            <w:r>
              <w:rPr>
                <w:noProof/>
                <w:webHidden/>
              </w:rPr>
              <w:fldChar w:fldCharType="separate"/>
            </w:r>
            <w:r>
              <w:rPr>
                <w:noProof/>
                <w:webHidden/>
              </w:rPr>
              <w:t>6</w:t>
            </w:r>
            <w:r>
              <w:rPr>
                <w:noProof/>
                <w:webHidden/>
              </w:rPr>
              <w:fldChar w:fldCharType="end"/>
            </w:r>
          </w:hyperlink>
        </w:p>
        <w:p w:rsidR="00062A57" w:rsidRDefault="00062A57">
          <w:pPr>
            <w:pStyle w:val="TOC2"/>
            <w:tabs>
              <w:tab w:val="right" w:leader="dot" w:pos="9350"/>
            </w:tabs>
            <w:rPr>
              <w:noProof/>
              <w:kern w:val="2"/>
              <w:lang w:eastAsia="en-US"/>
              <w14:ligatures w14:val="standardContextual"/>
            </w:rPr>
          </w:pPr>
          <w:hyperlink w:anchor="_Toc233818283" w:history="1">
            <w:r w:rsidRPr="0012212C">
              <w:rPr>
                <w:rStyle w:val="Hyperlink"/>
                <w:noProof/>
              </w:rPr>
              <w:t>3.4 Why Arc, and Not the Alternatives</w:t>
            </w:r>
            <w:r>
              <w:rPr>
                <w:noProof/>
                <w:webHidden/>
              </w:rPr>
              <w:tab/>
            </w:r>
            <w:r>
              <w:rPr>
                <w:noProof/>
                <w:webHidden/>
              </w:rPr>
              <w:fldChar w:fldCharType="begin"/>
            </w:r>
            <w:r>
              <w:rPr>
                <w:noProof/>
                <w:webHidden/>
              </w:rPr>
              <w:instrText xml:space="preserve"> PAGEREF _Toc233818283 \h </w:instrText>
            </w:r>
            <w:r>
              <w:rPr>
                <w:noProof/>
                <w:webHidden/>
              </w:rPr>
            </w:r>
            <w:r>
              <w:rPr>
                <w:noProof/>
                <w:webHidden/>
              </w:rPr>
              <w:fldChar w:fldCharType="separate"/>
            </w:r>
            <w:r>
              <w:rPr>
                <w:noProof/>
                <w:webHidden/>
              </w:rPr>
              <w:t>7</w:t>
            </w:r>
            <w:r>
              <w:rPr>
                <w:noProof/>
                <w:webHidden/>
              </w:rPr>
              <w:fldChar w:fldCharType="end"/>
            </w:r>
          </w:hyperlink>
        </w:p>
        <w:p w:rsidR="00062A57" w:rsidRDefault="00062A57">
          <w:pPr>
            <w:pStyle w:val="TOC1"/>
            <w:tabs>
              <w:tab w:val="right" w:leader="dot" w:pos="9350"/>
            </w:tabs>
            <w:rPr>
              <w:noProof/>
              <w:kern w:val="2"/>
              <w:lang w:eastAsia="en-US"/>
              <w14:ligatures w14:val="standardContextual"/>
            </w:rPr>
          </w:pPr>
          <w:hyperlink w:anchor="_Toc233818284" w:history="1">
            <w:r w:rsidRPr="0012212C">
              <w:rPr>
                <w:rStyle w:val="Hyperlink"/>
                <w:noProof/>
              </w:rPr>
              <w:t>4. NTLM Elimination</w:t>
            </w:r>
            <w:r>
              <w:rPr>
                <w:noProof/>
                <w:webHidden/>
              </w:rPr>
              <w:tab/>
            </w:r>
            <w:r>
              <w:rPr>
                <w:noProof/>
                <w:webHidden/>
              </w:rPr>
              <w:fldChar w:fldCharType="begin"/>
            </w:r>
            <w:r>
              <w:rPr>
                <w:noProof/>
                <w:webHidden/>
              </w:rPr>
              <w:instrText xml:space="preserve"> PAGEREF _Toc233818284 \h </w:instrText>
            </w:r>
            <w:r>
              <w:rPr>
                <w:noProof/>
                <w:webHidden/>
              </w:rPr>
            </w:r>
            <w:r>
              <w:rPr>
                <w:noProof/>
                <w:webHidden/>
              </w:rPr>
              <w:fldChar w:fldCharType="separate"/>
            </w:r>
            <w:r>
              <w:rPr>
                <w:noProof/>
                <w:webHidden/>
              </w:rPr>
              <w:t>7</w:t>
            </w:r>
            <w:r>
              <w:rPr>
                <w:noProof/>
                <w:webHidden/>
              </w:rPr>
              <w:fldChar w:fldCharType="end"/>
            </w:r>
          </w:hyperlink>
        </w:p>
        <w:p w:rsidR="00062A57" w:rsidRDefault="00062A57">
          <w:pPr>
            <w:pStyle w:val="TOC2"/>
            <w:tabs>
              <w:tab w:val="right" w:leader="dot" w:pos="9350"/>
            </w:tabs>
            <w:rPr>
              <w:noProof/>
              <w:kern w:val="2"/>
              <w:lang w:eastAsia="en-US"/>
              <w14:ligatures w14:val="standardContextual"/>
            </w:rPr>
          </w:pPr>
          <w:hyperlink w:anchor="_Toc233818285" w:history="1">
            <w:r w:rsidRPr="0012212C">
              <w:rPr>
                <w:rStyle w:val="Hyperlink"/>
                <w:noProof/>
              </w:rPr>
              <w:t>4.1 Phase A — Discovery</w:t>
            </w:r>
            <w:r>
              <w:rPr>
                <w:noProof/>
                <w:webHidden/>
              </w:rPr>
              <w:tab/>
            </w:r>
            <w:r>
              <w:rPr>
                <w:noProof/>
                <w:webHidden/>
              </w:rPr>
              <w:fldChar w:fldCharType="begin"/>
            </w:r>
            <w:r>
              <w:rPr>
                <w:noProof/>
                <w:webHidden/>
              </w:rPr>
              <w:instrText xml:space="preserve"> PAGEREF _Toc233818285 \h </w:instrText>
            </w:r>
            <w:r>
              <w:rPr>
                <w:noProof/>
                <w:webHidden/>
              </w:rPr>
            </w:r>
            <w:r>
              <w:rPr>
                <w:noProof/>
                <w:webHidden/>
              </w:rPr>
              <w:fldChar w:fldCharType="separate"/>
            </w:r>
            <w:r>
              <w:rPr>
                <w:noProof/>
                <w:webHidden/>
              </w:rPr>
              <w:t>8</w:t>
            </w:r>
            <w:r>
              <w:rPr>
                <w:noProof/>
                <w:webHidden/>
              </w:rPr>
              <w:fldChar w:fldCharType="end"/>
            </w:r>
          </w:hyperlink>
        </w:p>
        <w:p w:rsidR="00062A57" w:rsidRDefault="00062A57">
          <w:pPr>
            <w:pStyle w:val="TOC2"/>
            <w:tabs>
              <w:tab w:val="right" w:leader="dot" w:pos="9350"/>
            </w:tabs>
            <w:rPr>
              <w:noProof/>
              <w:kern w:val="2"/>
              <w:lang w:eastAsia="en-US"/>
              <w14:ligatures w14:val="standardContextual"/>
            </w:rPr>
          </w:pPr>
          <w:hyperlink w:anchor="_Toc233818286" w:history="1">
            <w:r w:rsidRPr="0012212C">
              <w:rPr>
                <w:rStyle w:val="Hyperlink"/>
                <w:noProof/>
              </w:rPr>
              <w:t>4.2 Phase B — Remediation</w:t>
            </w:r>
            <w:r>
              <w:rPr>
                <w:noProof/>
                <w:webHidden/>
              </w:rPr>
              <w:tab/>
            </w:r>
            <w:r>
              <w:rPr>
                <w:noProof/>
                <w:webHidden/>
              </w:rPr>
              <w:fldChar w:fldCharType="begin"/>
            </w:r>
            <w:r>
              <w:rPr>
                <w:noProof/>
                <w:webHidden/>
              </w:rPr>
              <w:instrText xml:space="preserve"> PAGEREF _Toc233818286 \h </w:instrText>
            </w:r>
            <w:r>
              <w:rPr>
                <w:noProof/>
                <w:webHidden/>
              </w:rPr>
            </w:r>
            <w:r>
              <w:rPr>
                <w:noProof/>
                <w:webHidden/>
              </w:rPr>
              <w:fldChar w:fldCharType="separate"/>
            </w:r>
            <w:r>
              <w:rPr>
                <w:noProof/>
                <w:webHidden/>
              </w:rPr>
              <w:t>8</w:t>
            </w:r>
            <w:r>
              <w:rPr>
                <w:noProof/>
                <w:webHidden/>
              </w:rPr>
              <w:fldChar w:fldCharType="end"/>
            </w:r>
          </w:hyperlink>
        </w:p>
        <w:p w:rsidR="00062A57" w:rsidRDefault="00062A57">
          <w:pPr>
            <w:pStyle w:val="TOC2"/>
            <w:tabs>
              <w:tab w:val="right" w:leader="dot" w:pos="9350"/>
            </w:tabs>
            <w:rPr>
              <w:noProof/>
              <w:kern w:val="2"/>
              <w:lang w:eastAsia="en-US"/>
              <w14:ligatures w14:val="standardContextual"/>
            </w:rPr>
          </w:pPr>
          <w:hyperlink w:anchor="_Toc233818287" w:history="1">
            <w:r w:rsidRPr="0012212C">
              <w:rPr>
                <w:rStyle w:val="Hyperlink"/>
                <w:noProof/>
              </w:rPr>
              <w:t>4.3 Phase C — Domain-Wide Block</w:t>
            </w:r>
            <w:r>
              <w:rPr>
                <w:noProof/>
                <w:webHidden/>
              </w:rPr>
              <w:tab/>
            </w:r>
            <w:r>
              <w:rPr>
                <w:noProof/>
                <w:webHidden/>
              </w:rPr>
              <w:fldChar w:fldCharType="begin"/>
            </w:r>
            <w:r>
              <w:rPr>
                <w:noProof/>
                <w:webHidden/>
              </w:rPr>
              <w:instrText xml:space="preserve"> PAGEREF _Toc233818287 \h </w:instrText>
            </w:r>
            <w:r>
              <w:rPr>
                <w:noProof/>
                <w:webHidden/>
              </w:rPr>
            </w:r>
            <w:r>
              <w:rPr>
                <w:noProof/>
                <w:webHidden/>
              </w:rPr>
              <w:fldChar w:fldCharType="separate"/>
            </w:r>
            <w:r>
              <w:rPr>
                <w:noProof/>
                <w:webHidden/>
              </w:rPr>
              <w:t>9</w:t>
            </w:r>
            <w:r>
              <w:rPr>
                <w:noProof/>
                <w:webHidden/>
              </w:rPr>
              <w:fldChar w:fldCharType="end"/>
            </w:r>
          </w:hyperlink>
        </w:p>
        <w:p w:rsidR="00062A57" w:rsidRDefault="00062A57">
          <w:pPr>
            <w:pStyle w:val="TOC1"/>
            <w:tabs>
              <w:tab w:val="right" w:leader="dot" w:pos="9350"/>
            </w:tabs>
            <w:rPr>
              <w:noProof/>
              <w:kern w:val="2"/>
              <w:lang w:eastAsia="en-US"/>
              <w14:ligatures w14:val="standardContextual"/>
            </w:rPr>
          </w:pPr>
          <w:hyperlink w:anchor="_Toc233818288" w:history="1">
            <w:r w:rsidRPr="0012212C">
              <w:rPr>
                <w:rStyle w:val="Hyperlink"/>
                <w:noProof/>
              </w:rPr>
              <w:t>5. The Login Migration</w:t>
            </w:r>
            <w:r>
              <w:rPr>
                <w:noProof/>
                <w:webHidden/>
              </w:rPr>
              <w:tab/>
            </w:r>
            <w:r>
              <w:rPr>
                <w:noProof/>
                <w:webHidden/>
              </w:rPr>
              <w:fldChar w:fldCharType="begin"/>
            </w:r>
            <w:r>
              <w:rPr>
                <w:noProof/>
                <w:webHidden/>
              </w:rPr>
              <w:instrText xml:space="preserve"> PAGEREF _Toc233818288 \h </w:instrText>
            </w:r>
            <w:r>
              <w:rPr>
                <w:noProof/>
                <w:webHidden/>
              </w:rPr>
            </w:r>
            <w:r>
              <w:rPr>
                <w:noProof/>
                <w:webHidden/>
              </w:rPr>
              <w:fldChar w:fldCharType="separate"/>
            </w:r>
            <w:r>
              <w:rPr>
                <w:noProof/>
                <w:webHidden/>
              </w:rPr>
              <w:t>9</w:t>
            </w:r>
            <w:r>
              <w:rPr>
                <w:noProof/>
                <w:webHidden/>
              </w:rPr>
              <w:fldChar w:fldCharType="end"/>
            </w:r>
          </w:hyperlink>
        </w:p>
        <w:p w:rsidR="00062A57" w:rsidRDefault="00062A57">
          <w:pPr>
            <w:pStyle w:val="TOC2"/>
            <w:tabs>
              <w:tab w:val="right" w:leader="dot" w:pos="9350"/>
            </w:tabs>
            <w:rPr>
              <w:noProof/>
              <w:kern w:val="2"/>
              <w:lang w:eastAsia="en-US"/>
              <w14:ligatures w14:val="standardContextual"/>
            </w:rPr>
          </w:pPr>
          <w:hyperlink w:anchor="_Toc233818289" w:history="1">
            <w:r w:rsidRPr="0012212C">
              <w:rPr>
                <w:rStyle w:val="Hyperlink"/>
                <w:noProof/>
              </w:rPr>
              <w:t>5.1 Login Types and Migration Targets</w:t>
            </w:r>
            <w:r>
              <w:rPr>
                <w:noProof/>
                <w:webHidden/>
              </w:rPr>
              <w:tab/>
            </w:r>
            <w:r>
              <w:rPr>
                <w:noProof/>
                <w:webHidden/>
              </w:rPr>
              <w:fldChar w:fldCharType="begin"/>
            </w:r>
            <w:r>
              <w:rPr>
                <w:noProof/>
                <w:webHidden/>
              </w:rPr>
              <w:instrText xml:space="preserve"> PAGEREF _Toc233818289 \h </w:instrText>
            </w:r>
            <w:r>
              <w:rPr>
                <w:noProof/>
                <w:webHidden/>
              </w:rPr>
            </w:r>
            <w:r>
              <w:rPr>
                <w:noProof/>
                <w:webHidden/>
              </w:rPr>
              <w:fldChar w:fldCharType="separate"/>
            </w:r>
            <w:r>
              <w:rPr>
                <w:noProof/>
                <w:webHidden/>
              </w:rPr>
              <w:t>9</w:t>
            </w:r>
            <w:r>
              <w:rPr>
                <w:noProof/>
                <w:webHidden/>
              </w:rPr>
              <w:fldChar w:fldCharType="end"/>
            </w:r>
          </w:hyperlink>
        </w:p>
        <w:p w:rsidR="00062A57" w:rsidRDefault="00062A57">
          <w:pPr>
            <w:pStyle w:val="TOC2"/>
            <w:tabs>
              <w:tab w:val="right" w:leader="dot" w:pos="9350"/>
            </w:tabs>
            <w:rPr>
              <w:noProof/>
              <w:kern w:val="2"/>
              <w:lang w:eastAsia="en-US"/>
              <w14:ligatures w14:val="standardContextual"/>
            </w:rPr>
          </w:pPr>
          <w:hyperlink w:anchor="_Toc233818290" w:history="1">
            <w:r w:rsidRPr="0012212C">
              <w:rPr>
                <w:rStyle w:val="Hyperlink"/>
                <w:noProof/>
              </w:rPr>
              <w:t>5.2 The Four-Phase Parallel Run</w:t>
            </w:r>
            <w:r>
              <w:rPr>
                <w:noProof/>
                <w:webHidden/>
              </w:rPr>
              <w:tab/>
            </w:r>
            <w:r>
              <w:rPr>
                <w:noProof/>
                <w:webHidden/>
              </w:rPr>
              <w:fldChar w:fldCharType="begin"/>
            </w:r>
            <w:r>
              <w:rPr>
                <w:noProof/>
                <w:webHidden/>
              </w:rPr>
              <w:instrText xml:space="preserve"> PAGEREF _Toc233818290 \h </w:instrText>
            </w:r>
            <w:r>
              <w:rPr>
                <w:noProof/>
                <w:webHidden/>
              </w:rPr>
            </w:r>
            <w:r>
              <w:rPr>
                <w:noProof/>
                <w:webHidden/>
              </w:rPr>
              <w:fldChar w:fldCharType="separate"/>
            </w:r>
            <w:r>
              <w:rPr>
                <w:noProof/>
                <w:webHidden/>
              </w:rPr>
              <w:t>10</w:t>
            </w:r>
            <w:r>
              <w:rPr>
                <w:noProof/>
                <w:webHidden/>
              </w:rPr>
              <w:fldChar w:fldCharType="end"/>
            </w:r>
          </w:hyperlink>
        </w:p>
        <w:p w:rsidR="00062A57" w:rsidRDefault="00062A57">
          <w:pPr>
            <w:pStyle w:val="TOC2"/>
            <w:tabs>
              <w:tab w:val="right" w:leader="dot" w:pos="9350"/>
            </w:tabs>
            <w:rPr>
              <w:noProof/>
              <w:kern w:val="2"/>
              <w:lang w:eastAsia="en-US"/>
              <w14:ligatures w14:val="standardContextual"/>
            </w:rPr>
          </w:pPr>
          <w:hyperlink w:anchor="_Toc233818291" w:history="1">
            <w:r w:rsidRPr="0012212C">
              <w:rPr>
                <w:rStyle w:val="Hyperlink"/>
                <w:noProof/>
              </w:rPr>
              <w:t>5.3 The sa Account</w:t>
            </w:r>
            <w:r>
              <w:rPr>
                <w:noProof/>
                <w:webHidden/>
              </w:rPr>
              <w:tab/>
            </w:r>
            <w:r>
              <w:rPr>
                <w:noProof/>
                <w:webHidden/>
              </w:rPr>
              <w:fldChar w:fldCharType="begin"/>
            </w:r>
            <w:r>
              <w:rPr>
                <w:noProof/>
                <w:webHidden/>
              </w:rPr>
              <w:instrText xml:space="preserve"> PAGEREF _Toc233818291 \h </w:instrText>
            </w:r>
            <w:r>
              <w:rPr>
                <w:noProof/>
                <w:webHidden/>
              </w:rPr>
            </w:r>
            <w:r>
              <w:rPr>
                <w:noProof/>
                <w:webHidden/>
              </w:rPr>
              <w:fldChar w:fldCharType="separate"/>
            </w:r>
            <w:r>
              <w:rPr>
                <w:noProof/>
                <w:webHidden/>
              </w:rPr>
              <w:t>10</w:t>
            </w:r>
            <w:r>
              <w:rPr>
                <w:noProof/>
                <w:webHidden/>
              </w:rPr>
              <w:fldChar w:fldCharType="end"/>
            </w:r>
          </w:hyperlink>
        </w:p>
        <w:p w:rsidR="00062A57" w:rsidRDefault="00062A57">
          <w:pPr>
            <w:pStyle w:val="TOC1"/>
            <w:tabs>
              <w:tab w:val="right" w:leader="dot" w:pos="9350"/>
            </w:tabs>
            <w:rPr>
              <w:noProof/>
              <w:kern w:val="2"/>
              <w:lang w:eastAsia="en-US"/>
              <w14:ligatures w14:val="standardContextual"/>
            </w:rPr>
          </w:pPr>
          <w:hyperlink w:anchor="_Toc233818292" w:history="1">
            <w:r w:rsidRPr="0012212C">
              <w:rPr>
                <w:rStyle w:val="Hyperlink"/>
                <w:noProof/>
              </w:rPr>
              <w:t>6. Access Control and the Entra Perimeter</w:t>
            </w:r>
            <w:r>
              <w:rPr>
                <w:noProof/>
                <w:webHidden/>
              </w:rPr>
              <w:tab/>
            </w:r>
            <w:r>
              <w:rPr>
                <w:noProof/>
                <w:webHidden/>
              </w:rPr>
              <w:fldChar w:fldCharType="begin"/>
            </w:r>
            <w:r>
              <w:rPr>
                <w:noProof/>
                <w:webHidden/>
              </w:rPr>
              <w:instrText xml:space="preserve"> PAGEREF _Toc233818292 \h </w:instrText>
            </w:r>
            <w:r>
              <w:rPr>
                <w:noProof/>
                <w:webHidden/>
              </w:rPr>
            </w:r>
            <w:r>
              <w:rPr>
                <w:noProof/>
                <w:webHidden/>
              </w:rPr>
              <w:fldChar w:fldCharType="separate"/>
            </w:r>
            <w:r>
              <w:rPr>
                <w:noProof/>
                <w:webHidden/>
              </w:rPr>
              <w:t>11</w:t>
            </w:r>
            <w:r>
              <w:rPr>
                <w:noProof/>
                <w:webHidden/>
              </w:rPr>
              <w:fldChar w:fldCharType="end"/>
            </w:r>
          </w:hyperlink>
        </w:p>
        <w:p w:rsidR="00062A57" w:rsidRDefault="00062A57">
          <w:pPr>
            <w:pStyle w:val="TOC2"/>
            <w:tabs>
              <w:tab w:val="right" w:leader="dot" w:pos="9350"/>
            </w:tabs>
            <w:rPr>
              <w:noProof/>
              <w:kern w:val="2"/>
              <w:lang w:eastAsia="en-US"/>
              <w14:ligatures w14:val="standardContextual"/>
            </w:rPr>
          </w:pPr>
          <w:hyperlink w:anchor="_Toc233818293" w:history="1">
            <w:r w:rsidRPr="0012212C">
              <w:rPr>
                <w:rStyle w:val="Hyperlink"/>
                <w:noProof/>
              </w:rPr>
              <w:t>6.1 Entra Dynamic Groups as SQL Authorization Source</w:t>
            </w:r>
            <w:r>
              <w:rPr>
                <w:noProof/>
                <w:webHidden/>
              </w:rPr>
              <w:tab/>
            </w:r>
            <w:r>
              <w:rPr>
                <w:noProof/>
                <w:webHidden/>
              </w:rPr>
              <w:fldChar w:fldCharType="begin"/>
            </w:r>
            <w:r>
              <w:rPr>
                <w:noProof/>
                <w:webHidden/>
              </w:rPr>
              <w:instrText xml:space="preserve"> PAGEREF _Toc233818293 \h </w:instrText>
            </w:r>
            <w:r>
              <w:rPr>
                <w:noProof/>
                <w:webHidden/>
              </w:rPr>
            </w:r>
            <w:r>
              <w:rPr>
                <w:noProof/>
                <w:webHidden/>
              </w:rPr>
              <w:fldChar w:fldCharType="separate"/>
            </w:r>
            <w:r>
              <w:rPr>
                <w:noProof/>
                <w:webHidden/>
              </w:rPr>
              <w:t>11</w:t>
            </w:r>
            <w:r>
              <w:rPr>
                <w:noProof/>
                <w:webHidden/>
              </w:rPr>
              <w:fldChar w:fldCharType="end"/>
            </w:r>
          </w:hyperlink>
        </w:p>
        <w:p w:rsidR="00062A57" w:rsidRDefault="00062A57">
          <w:pPr>
            <w:pStyle w:val="TOC2"/>
            <w:tabs>
              <w:tab w:val="right" w:leader="dot" w:pos="9350"/>
            </w:tabs>
            <w:rPr>
              <w:noProof/>
              <w:kern w:val="2"/>
              <w:lang w:eastAsia="en-US"/>
              <w14:ligatures w14:val="standardContextual"/>
            </w:rPr>
          </w:pPr>
          <w:hyperlink w:anchor="_Toc233818294" w:history="1">
            <w:r w:rsidRPr="0012212C">
              <w:rPr>
                <w:rStyle w:val="Hyperlink"/>
                <w:noProof/>
              </w:rPr>
              <w:t>6.2 Conditional Access Policies for SQL</w:t>
            </w:r>
            <w:r>
              <w:rPr>
                <w:noProof/>
                <w:webHidden/>
              </w:rPr>
              <w:tab/>
            </w:r>
            <w:r>
              <w:rPr>
                <w:noProof/>
                <w:webHidden/>
              </w:rPr>
              <w:fldChar w:fldCharType="begin"/>
            </w:r>
            <w:r>
              <w:rPr>
                <w:noProof/>
                <w:webHidden/>
              </w:rPr>
              <w:instrText xml:space="preserve"> PAGEREF _Toc233818294 \h </w:instrText>
            </w:r>
            <w:r>
              <w:rPr>
                <w:noProof/>
                <w:webHidden/>
              </w:rPr>
            </w:r>
            <w:r>
              <w:rPr>
                <w:noProof/>
                <w:webHidden/>
              </w:rPr>
              <w:fldChar w:fldCharType="separate"/>
            </w:r>
            <w:r>
              <w:rPr>
                <w:noProof/>
                <w:webHidden/>
              </w:rPr>
              <w:t>11</w:t>
            </w:r>
            <w:r>
              <w:rPr>
                <w:noProof/>
                <w:webHidden/>
              </w:rPr>
              <w:fldChar w:fldCharType="end"/>
            </w:r>
          </w:hyperlink>
        </w:p>
        <w:p w:rsidR="00062A57" w:rsidRDefault="00062A57">
          <w:pPr>
            <w:pStyle w:val="TOC1"/>
            <w:tabs>
              <w:tab w:val="right" w:leader="dot" w:pos="9350"/>
            </w:tabs>
            <w:rPr>
              <w:noProof/>
              <w:kern w:val="2"/>
              <w:lang w:eastAsia="en-US"/>
              <w14:ligatures w14:val="standardContextual"/>
            </w:rPr>
          </w:pPr>
          <w:hyperlink w:anchor="_Toc233818295" w:history="1">
            <w:r w:rsidRPr="0012212C">
              <w:rPr>
                <w:rStyle w:val="Hyperlink"/>
                <w:noProof/>
              </w:rPr>
              <w:t>7. The Application Chain</w:t>
            </w:r>
            <w:r>
              <w:rPr>
                <w:noProof/>
                <w:webHidden/>
              </w:rPr>
              <w:tab/>
            </w:r>
            <w:r>
              <w:rPr>
                <w:noProof/>
                <w:webHidden/>
              </w:rPr>
              <w:fldChar w:fldCharType="begin"/>
            </w:r>
            <w:r>
              <w:rPr>
                <w:noProof/>
                <w:webHidden/>
              </w:rPr>
              <w:instrText xml:space="preserve"> PAGEREF _Toc233818295 \h </w:instrText>
            </w:r>
            <w:r>
              <w:rPr>
                <w:noProof/>
                <w:webHidden/>
              </w:rPr>
            </w:r>
            <w:r>
              <w:rPr>
                <w:noProof/>
                <w:webHidden/>
              </w:rPr>
              <w:fldChar w:fldCharType="separate"/>
            </w:r>
            <w:r>
              <w:rPr>
                <w:noProof/>
                <w:webHidden/>
              </w:rPr>
              <w:t>12</w:t>
            </w:r>
            <w:r>
              <w:rPr>
                <w:noProof/>
                <w:webHidden/>
              </w:rPr>
              <w:fldChar w:fldCharType="end"/>
            </w:r>
          </w:hyperlink>
        </w:p>
        <w:p w:rsidR="00062A57" w:rsidRDefault="00062A57">
          <w:pPr>
            <w:pStyle w:val="TOC2"/>
            <w:tabs>
              <w:tab w:val="right" w:leader="dot" w:pos="9350"/>
            </w:tabs>
            <w:rPr>
              <w:noProof/>
              <w:kern w:val="2"/>
              <w:lang w:eastAsia="en-US"/>
              <w14:ligatures w14:val="standardContextual"/>
            </w:rPr>
          </w:pPr>
          <w:hyperlink w:anchor="_Toc233818296" w:history="1">
            <w:r w:rsidRPr="0012212C">
              <w:rPr>
                <w:rStyle w:val="Hyperlink"/>
                <w:noProof/>
              </w:rPr>
              <w:t>7.1 Application Authentication Classes</w:t>
            </w:r>
            <w:r>
              <w:rPr>
                <w:noProof/>
                <w:webHidden/>
              </w:rPr>
              <w:tab/>
            </w:r>
            <w:r>
              <w:rPr>
                <w:noProof/>
                <w:webHidden/>
              </w:rPr>
              <w:fldChar w:fldCharType="begin"/>
            </w:r>
            <w:r>
              <w:rPr>
                <w:noProof/>
                <w:webHidden/>
              </w:rPr>
              <w:instrText xml:space="preserve"> PAGEREF _Toc233818296 \h </w:instrText>
            </w:r>
            <w:r>
              <w:rPr>
                <w:noProof/>
                <w:webHidden/>
              </w:rPr>
            </w:r>
            <w:r>
              <w:rPr>
                <w:noProof/>
                <w:webHidden/>
              </w:rPr>
              <w:fldChar w:fldCharType="separate"/>
            </w:r>
            <w:r>
              <w:rPr>
                <w:noProof/>
                <w:webHidden/>
              </w:rPr>
              <w:t>12</w:t>
            </w:r>
            <w:r>
              <w:rPr>
                <w:noProof/>
                <w:webHidden/>
              </w:rPr>
              <w:fldChar w:fldCharType="end"/>
            </w:r>
          </w:hyperlink>
        </w:p>
        <w:p w:rsidR="00062A57" w:rsidRDefault="00062A57">
          <w:pPr>
            <w:pStyle w:val="TOC2"/>
            <w:tabs>
              <w:tab w:val="right" w:leader="dot" w:pos="9350"/>
            </w:tabs>
            <w:rPr>
              <w:noProof/>
              <w:kern w:val="2"/>
              <w:lang w:eastAsia="en-US"/>
              <w14:ligatures w14:val="standardContextual"/>
            </w:rPr>
          </w:pPr>
          <w:hyperlink w:anchor="_Toc233818297" w:history="1">
            <w:r w:rsidRPr="0012212C">
              <w:rPr>
                <w:rStyle w:val="Hyperlink"/>
                <w:noProof/>
              </w:rPr>
              <w:t>7.2 Connection String Transformation</w:t>
            </w:r>
            <w:r>
              <w:rPr>
                <w:noProof/>
                <w:webHidden/>
              </w:rPr>
              <w:tab/>
            </w:r>
            <w:r>
              <w:rPr>
                <w:noProof/>
                <w:webHidden/>
              </w:rPr>
              <w:fldChar w:fldCharType="begin"/>
            </w:r>
            <w:r>
              <w:rPr>
                <w:noProof/>
                <w:webHidden/>
              </w:rPr>
              <w:instrText xml:space="preserve"> PAGEREF _Toc233818297 \h </w:instrText>
            </w:r>
            <w:r>
              <w:rPr>
                <w:noProof/>
                <w:webHidden/>
              </w:rPr>
            </w:r>
            <w:r>
              <w:rPr>
                <w:noProof/>
                <w:webHidden/>
              </w:rPr>
              <w:fldChar w:fldCharType="separate"/>
            </w:r>
            <w:r>
              <w:rPr>
                <w:noProof/>
                <w:webHidden/>
              </w:rPr>
              <w:t>13</w:t>
            </w:r>
            <w:r>
              <w:rPr>
                <w:noProof/>
                <w:webHidden/>
              </w:rPr>
              <w:fldChar w:fldCharType="end"/>
            </w:r>
          </w:hyperlink>
        </w:p>
        <w:p w:rsidR="00062A57" w:rsidRDefault="00062A57">
          <w:pPr>
            <w:pStyle w:val="TOC2"/>
            <w:tabs>
              <w:tab w:val="right" w:leader="dot" w:pos="9350"/>
            </w:tabs>
            <w:rPr>
              <w:noProof/>
              <w:kern w:val="2"/>
              <w:lang w:eastAsia="en-US"/>
              <w14:ligatures w14:val="standardContextual"/>
            </w:rPr>
          </w:pPr>
          <w:hyperlink w:anchor="_Toc233818298" w:history="1">
            <w:r w:rsidRPr="0012212C">
              <w:rPr>
                <w:rStyle w:val="Hyperlink"/>
                <w:noProof/>
              </w:rPr>
              <w:t>7.3 Linked Server Migration</w:t>
            </w:r>
            <w:r>
              <w:rPr>
                <w:noProof/>
                <w:webHidden/>
              </w:rPr>
              <w:tab/>
            </w:r>
            <w:r>
              <w:rPr>
                <w:noProof/>
                <w:webHidden/>
              </w:rPr>
              <w:fldChar w:fldCharType="begin"/>
            </w:r>
            <w:r>
              <w:rPr>
                <w:noProof/>
                <w:webHidden/>
              </w:rPr>
              <w:instrText xml:space="preserve"> PAGEREF _Toc233818298 \h </w:instrText>
            </w:r>
            <w:r>
              <w:rPr>
                <w:noProof/>
                <w:webHidden/>
              </w:rPr>
            </w:r>
            <w:r>
              <w:rPr>
                <w:noProof/>
                <w:webHidden/>
              </w:rPr>
              <w:fldChar w:fldCharType="separate"/>
            </w:r>
            <w:r>
              <w:rPr>
                <w:noProof/>
                <w:webHidden/>
              </w:rPr>
              <w:t>13</w:t>
            </w:r>
            <w:r>
              <w:rPr>
                <w:noProof/>
                <w:webHidden/>
              </w:rPr>
              <w:fldChar w:fldCharType="end"/>
            </w:r>
          </w:hyperlink>
        </w:p>
        <w:p w:rsidR="00062A57" w:rsidRDefault="00062A57">
          <w:pPr>
            <w:pStyle w:val="TOC1"/>
            <w:tabs>
              <w:tab w:val="right" w:leader="dot" w:pos="9350"/>
            </w:tabs>
            <w:rPr>
              <w:noProof/>
              <w:kern w:val="2"/>
              <w:lang w:eastAsia="en-US"/>
              <w14:ligatures w14:val="standardContextual"/>
            </w:rPr>
          </w:pPr>
          <w:hyperlink w:anchor="_Toc233818299" w:history="1">
            <w:r w:rsidRPr="0012212C">
              <w:rPr>
                <w:rStyle w:val="Hyperlink"/>
                <w:noProof/>
              </w:rPr>
              <w:t>8. The Transformed Posture</w:t>
            </w:r>
            <w:r>
              <w:rPr>
                <w:noProof/>
                <w:webHidden/>
              </w:rPr>
              <w:tab/>
            </w:r>
            <w:r>
              <w:rPr>
                <w:noProof/>
                <w:webHidden/>
              </w:rPr>
              <w:fldChar w:fldCharType="begin"/>
            </w:r>
            <w:r>
              <w:rPr>
                <w:noProof/>
                <w:webHidden/>
              </w:rPr>
              <w:instrText xml:space="preserve"> PAGEREF _Toc233818299 \h </w:instrText>
            </w:r>
            <w:r>
              <w:rPr>
                <w:noProof/>
                <w:webHidden/>
              </w:rPr>
            </w:r>
            <w:r>
              <w:rPr>
                <w:noProof/>
                <w:webHidden/>
              </w:rPr>
              <w:fldChar w:fldCharType="separate"/>
            </w:r>
            <w:r>
              <w:rPr>
                <w:noProof/>
                <w:webHidden/>
              </w:rPr>
              <w:t>14</w:t>
            </w:r>
            <w:r>
              <w:rPr>
                <w:noProof/>
                <w:webHidden/>
              </w:rPr>
              <w:fldChar w:fldCharType="end"/>
            </w:r>
          </w:hyperlink>
        </w:p>
        <w:p w:rsidR="00062A57" w:rsidRDefault="00062A57">
          <w:pPr>
            <w:pStyle w:val="TOC1"/>
            <w:tabs>
              <w:tab w:val="right" w:leader="dot" w:pos="9350"/>
            </w:tabs>
            <w:rPr>
              <w:noProof/>
              <w:kern w:val="2"/>
              <w:lang w:eastAsia="en-US"/>
              <w14:ligatures w14:val="standardContextual"/>
            </w:rPr>
          </w:pPr>
          <w:hyperlink w:anchor="_Toc233818300" w:history="1">
            <w:r w:rsidRPr="0012212C">
              <w:rPr>
                <w:rStyle w:val="Hyperlink"/>
                <w:noProof/>
              </w:rPr>
              <w:t>9. Certificate Authority and PKI Dependencies</w:t>
            </w:r>
            <w:r>
              <w:rPr>
                <w:noProof/>
                <w:webHidden/>
              </w:rPr>
              <w:tab/>
            </w:r>
            <w:r>
              <w:rPr>
                <w:noProof/>
                <w:webHidden/>
              </w:rPr>
              <w:fldChar w:fldCharType="begin"/>
            </w:r>
            <w:r>
              <w:rPr>
                <w:noProof/>
                <w:webHidden/>
              </w:rPr>
              <w:instrText xml:space="preserve"> PAGEREF _Toc233818300 \h </w:instrText>
            </w:r>
            <w:r>
              <w:rPr>
                <w:noProof/>
                <w:webHidden/>
              </w:rPr>
            </w:r>
            <w:r>
              <w:rPr>
                <w:noProof/>
                <w:webHidden/>
              </w:rPr>
              <w:fldChar w:fldCharType="separate"/>
            </w:r>
            <w:r>
              <w:rPr>
                <w:noProof/>
                <w:webHidden/>
              </w:rPr>
              <w:t>14</w:t>
            </w:r>
            <w:r>
              <w:rPr>
                <w:noProof/>
                <w:webHidden/>
              </w:rPr>
              <w:fldChar w:fldCharType="end"/>
            </w:r>
          </w:hyperlink>
        </w:p>
        <w:p w:rsidR="00062A57" w:rsidRDefault="00062A57">
          <w:pPr>
            <w:pStyle w:val="TOC1"/>
            <w:tabs>
              <w:tab w:val="right" w:leader="dot" w:pos="9350"/>
            </w:tabs>
            <w:rPr>
              <w:noProof/>
              <w:kern w:val="2"/>
              <w:lang w:eastAsia="en-US"/>
              <w14:ligatures w14:val="standardContextual"/>
            </w:rPr>
          </w:pPr>
          <w:hyperlink w:anchor="_Toc233818301" w:history="1">
            <w:r w:rsidRPr="0012212C">
              <w:rPr>
                <w:rStyle w:val="Hyperlink"/>
                <w:noProof/>
              </w:rPr>
              <w:t>10. Database Platform Decisions</w:t>
            </w:r>
            <w:r>
              <w:rPr>
                <w:noProof/>
                <w:webHidden/>
              </w:rPr>
              <w:tab/>
            </w:r>
            <w:r>
              <w:rPr>
                <w:noProof/>
                <w:webHidden/>
              </w:rPr>
              <w:fldChar w:fldCharType="begin"/>
            </w:r>
            <w:r>
              <w:rPr>
                <w:noProof/>
                <w:webHidden/>
              </w:rPr>
              <w:instrText xml:space="preserve"> PAGEREF _Toc233818301 \h </w:instrText>
            </w:r>
            <w:r>
              <w:rPr>
                <w:noProof/>
                <w:webHidden/>
              </w:rPr>
            </w:r>
            <w:r>
              <w:rPr>
                <w:noProof/>
                <w:webHidden/>
              </w:rPr>
              <w:fldChar w:fldCharType="separate"/>
            </w:r>
            <w:r>
              <w:rPr>
                <w:noProof/>
                <w:webHidden/>
              </w:rPr>
              <w:t>15</w:t>
            </w:r>
            <w:r>
              <w:rPr>
                <w:noProof/>
                <w:webHidden/>
              </w:rPr>
              <w:fldChar w:fldCharType="end"/>
            </w:r>
          </w:hyperlink>
        </w:p>
        <w:p w:rsidR="00062A57" w:rsidRDefault="00062A57">
          <w:pPr>
            <w:pStyle w:val="TOC2"/>
            <w:tabs>
              <w:tab w:val="right" w:leader="dot" w:pos="9350"/>
            </w:tabs>
            <w:rPr>
              <w:noProof/>
              <w:kern w:val="2"/>
              <w:lang w:eastAsia="en-US"/>
              <w14:ligatures w14:val="standardContextual"/>
            </w:rPr>
          </w:pPr>
          <w:hyperlink w:anchor="_Toc233818302" w:history="1">
            <w:r w:rsidRPr="0012212C">
              <w:rPr>
                <w:rStyle w:val="Hyperlink"/>
                <w:noProof/>
              </w:rPr>
              <w:t>10.1 PostgreSQL for New Workloads</w:t>
            </w:r>
            <w:r>
              <w:rPr>
                <w:noProof/>
                <w:webHidden/>
              </w:rPr>
              <w:tab/>
            </w:r>
            <w:r>
              <w:rPr>
                <w:noProof/>
                <w:webHidden/>
              </w:rPr>
              <w:fldChar w:fldCharType="begin"/>
            </w:r>
            <w:r>
              <w:rPr>
                <w:noProof/>
                <w:webHidden/>
              </w:rPr>
              <w:instrText xml:space="preserve"> PAGEREF _Toc233818302 \h </w:instrText>
            </w:r>
            <w:r>
              <w:rPr>
                <w:noProof/>
                <w:webHidden/>
              </w:rPr>
            </w:r>
            <w:r>
              <w:rPr>
                <w:noProof/>
                <w:webHidden/>
              </w:rPr>
              <w:fldChar w:fldCharType="separate"/>
            </w:r>
            <w:r>
              <w:rPr>
                <w:noProof/>
                <w:webHidden/>
              </w:rPr>
              <w:t>15</w:t>
            </w:r>
            <w:r>
              <w:rPr>
                <w:noProof/>
                <w:webHidden/>
              </w:rPr>
              <w:fldChar w:fldCharType="end"/>
            </w:r>
          </w:hyperlink>
        </w:p>
        <w:p w:rsidR="00062A57" w:rsidRDefault="00062A57">
          <w:pPr>
            <w:pStyle w:val="TOC2"/>
            <w:tabs>
              <w:tab w:val="right" w:leader="dot" w:pos="9350"/>
            </w:tabs>
            <w:rPr>
              <w:noProof/>
              <w:kern w:val="2"/>
              <w:lang w:eastAsia="en-US"/>
              <w14:ligatures w14:val="standardContextual"/>
            </w:rPr>
          </w:pPr>
          <w:hyperlink w:anchor="_Toc233818303" w:history="1">
            <w:r w:rsidRPr="0012212C">
              <w:rPr>
                <w:rStyle w:val="Hyperlink"/>
                <w:noProof/>
              </w:rPr>
              <w:t>10.2 Azure SQL Managed Instance</w:t>
            </w:r>
            <w:r>
              <w:rPr>
                <w:noProof/>
                <w:webHidden/>
              </w:rPr>
              <w:tab/>
            </w:r>
            <w:r>
              <w:rPr>
                <w:noProof/>
                <w:webHidden/>
              </w:rPr>
              <w:fldChar w:fldCharType="begin"/>
            </w:r>
            <w:r>
              <w:rPr>
                <w:noProof/>
                <w:webHidden/>
              </w:rPr>
              <w:instrText xml:space="preserve"> PAGEREF _Toc233818303 \h </w:instrText>
            </w:r>
            <w:r>
              <w:rPr>
                <w:noProof/>
                <w:webHidden/>
              </w:rPr>
            </w:r>
            <w:r>
              <w:rPr>
                <w:noProof/>
                <w:webHidden/>
              </w:rPr>
              <w:fldChar w:fldCharType="separate"/>
            </w:r>
            <w:r>
              <w:rPr>
                <w:noProof/>
                <w:webHidden/>
              </w:rPr>
              <w:t>15</w:t>
            </w:r>
            <w:r>
              <w:rPr>
                <w:noProof/>
                <w:webHidden/>
              </w:rPr>
              <w:fldChar w:fldCharType="end"/>
            </w:r>
          </w:hyperlink>
        </w:p>
        <w:p w:rsidR="00062A57" w:rsidRDefault="00062A57">
          <w:pPr>
            <w:pStyle w:val="TOC1"/>
            <w:tabs>
              <w:tab w:val="right" w:leader="dot" w:pos="9350"/>
            </w:tabs>
            <w:rPr>
              <w:noProof/>
              <w:kern w:val="2"/>
              <w:lang w:eastAsia="en-US"/>
              <w14:ligatures w14:val="standardContextual"/>
            </w:rPr>
          </w:pPr>
          <w:hyperlink w:anchor="_Toc233818304" w:history="1">
            <w:r w:rsidRPr="0012212C">
              <w:rPr>
                <w:rStyle w:val="Hyperlink"/>
                <w:noProof/>
              </w:rPr>
              <w:t>11. Federal Compliance Alignment</w:t>
            </w:r>
            <w:r>
              <w:rPr>
                <w:noProof/>
                <w:webHidden/>
              </w:rPr>
              <w:tab/>
            </w:r>
            <w:r>
              <w:rPr>
                <w:noProof/>
                <w:webHidden/>
              </w:rPr>
              <w:fldChar w:fldCharType="begin"/>
            </w:r>
            <w:r>
              <w:rPr>
                <w:noProof/>
                <w:webHidden/>
              </w:rPr>
              <w:instrText xml:space="preserve"> PAGEREF _Toc233818304 \h </w:instrText>
            </w:r>
            <w:r>
              <w:rPr>
                <w:noProof/>
                <w:webHidden/>
              </w:rPr>
            </w:r>
            <w:r>
              <w:rPr>
                <w:noProof/>
                <w:webHidden/>
              </w:rPr>
              <w:fldChar w:fldCharType="separate"/>
            </w:r>
            <w:r>
              <w:rPr>
                <w:noProof/>
                <w:webHidden/>
              </w:rPr>
              <w:t>16</w:t>
            </w:r>
            <w:r>
              <w:rPr>
                <w:noProof/>
                <w:webHidden/>
              </w:rPr>
              <w:fldChar w:fldCharType="end"/>
            </w:r>
          </w:hyperlink>
        </w:p>
        <w:p w:rsidR="00062A57" w:rsidRDefault="00062A57">
          <w:pPr>
            <w:pStyle w:val="TOC2"/>
            <w:tabs>
              <w:tab w:val="right" w:leader="dot" w:pos="9350"/>
            </w:tabs>
            <w:rPr>
              <w:noProof/>
              <w:kern w:val="2"/>
              <w:lang w:eastAsia="en-US"/>
              <w14:ligatures w14:val="standardContextual"/>
            </w:rPr>
          </w:pPr>
          <w:hyperlink w:anchor="_Toc233818305" w:history="1">
            <w:r w:rsidRPr="0012212C">
              <w:rPr>
                <w:rStyle w:val="Hyperlink"/>
                <w:noProof/>
              </w:rPr>
              <w:t>11.1 NIST SP 800-53 Rev 5 Control Closure</w:t>
            </w:r>
            <w:r>
              <w:rPr>
                <w:noProof/>
                <w:webHidden/>
              </w:rPr>
              <w:tab/>
            </w:r>
            <w:r>
              <w:rPr>
                <w:noProof/>
                <w:webHidden/>
              </w:rPr>
              <w:fldChar w:fldCharType="begin"/>
            </w:r>
            <w:r>
              <w:rPr>
                <w:noProof/>
                <w:webHidden/>
              </w:rPr>
              <w:instrText xml:space="preserve"> PAGEREF _Toc233818305 \h </w:instrText>
            </w:r>
            <w:r>
              <w:rPr>
                <w:noProof/>
                <w:webHidden/>
              </w:rPr>
            </w:r>
            <w:r>
              <w:rPr>
                <w:noProof/>
                <w:webHidden/>
              </w:rPr>
              <w:fldChar w:fldCharType="separate"/>
            </w:r>
            <w:r>
              <w:rPr>
                <w:noProof/>
                <w:webHidden/>
              </w:rPr>
              <w:t>16</w:t>
            </w:r>
            <w:r>
              <w:rPr>
                <w:noProof/>
                <w:webHidden/>
              </w:rPr>
              <w:fldChar w:fldCharType="end"/>
            </w:r>
          </w:hyperlink>
        </w:p>
        <w:p w:rsidR="00062A57" w:rsidRDefault="00062A57">
          <w:pPr>
            <w:pStyle w:val="TOC2"/>
            <w:tabs>
              <w:tab w:val="right" w:leader="dot" w:pos="9350"/>
            </w:tabs>
            <w:rPr>
              <w:noProof/>
              <w:kern w:val="2"/>
              <w:lang w:eastAsia="en-US"/>
              <w14:ligatures w14:val="standardContextual"/>
            </w:rPr>
          </w:pPr>
          <w:hyperlink w:anchor="_Toc233818306" w:history="1">
            <w:r w:rsidRPr="0012212C">
              <w:rPr>
                <w:rStyle w:val="Hyperlink"/>
                <w:noProof/>
              </w:rPr>
              <w:t>11.2 FedRAMP 20x Key Security Indicators</w:t>
            </w:r>
            <w:r>
              <w:rPr>
                <w:noProof/>
                <w:webHidden/>
              </w:rPr>
              <w:tab/>
            </w:r>
            <w:r>
              <w:rPr>
                <w:noProof/>
                <w:webHidden/>
              </w:rPr>
              <w:fldChar w:fldCharType="begin"/>
            </w:r>
            <w:r>
              <w:rPr>
                <w:noProof/>
                <w:webHidden/>
              </w:rPr>
              <w:instrText xml:space="preserve"> PAGEREF _Toc233818306 \h </w:instrText>
            </w:r>
            <w:r>
              <w:rPr>
                <w:noProof/>
                <w:webHidden/>
              </w:rPr>
            </w:r>
            <w:r>
              <w:rPr>
                <w:noProof/>
                <w:webHidden/>
              </w:rPr>
              <w:fldChar w:fldCharType="separate"/>
            </w:r>
            <w:r>
              <w:rPr>
                <w:noProof/>
                <w:webHidden/>
              </w:rPr>
              <w:t>17</w:t>
            </w:r>
            <w:r>
              <w:rPr>
                <w:noProof/>
                <w:webHidden/>
              </w:rPr>
              <w:fldChar w:fldCharType="end"/>
            </w:r>
          </w:hyperlink>
        </w:p>
        <w:p w:rsidR="00062A57" w:rsidRDefault="00062A57">
          <w:pPr>
            <w:pStyle w:val="TOC1"/>
            <w:tabs>
              <w:tab w:val="right" w:leader="dot" w:pos="9350"/>
            </w:tabs>
            <w:rPr>
              <w:noProof/>
              <w:kern w:val="2"/>
              <w:lang w:eastAsia="en-US"/>
              <w14:ligatures w14:val="standardContextual"/>
            </w:rPr>
          </w:pPr>
          <w:hyperlink w:anchor="_Toc233818307" w:history="1">
            <w:r w:rsidRPr="0012212C">
              <w:rPr>
                <w:rStyle w:val="Hyperlink"/>
                <w:noProof/>
              </w:rPr>
              <w:t>12. Summary</w:t>
            </w:r>
            <w:r>
              <w:rPr>
                <w:noProof/>
                <w:webHidden/>
              </w:rPr>
              <w:tab/>
            </w:r>
            <w:r>
              <w:rPr>
                <w:noProof/>
                <w:webHidden/>
              </w:rPr>
              <w:fldChar w:fldCharType="begin"/>
            </w:r>
            <w:r>
              <w:rPr>
                <w:noProof/>
                <w:webHidden/>
              </w:rPr>
              <w:instrText xml:space="preserve"> PAGEREF _Toc233818307 \h </w:instrText>
            </w:r>
            <w:r>
              <w:rPr>
                <w:noProof/>
                <w:webHidden/>
              </w:rPr>
            </w:r>
            <w:r>
              <w:rPr>
                <w:noProof/>
                <w:webHidden/>
              </w:rPr>
              <w:fldChar w:fldCharType="separate"/>
            </w:r>
            <w:r>
              <w:rPr>
                <w:noProof/>
                <w:webHidden/>
              </w:rPr>
              <w:t>18</w:t>
            </w:r>
            <w:r>
              <w:rPr>
                <w:noProof/>
                <w:webHidden/>
              </w:rPr>
              <w:fldChar w:fldCharType="end"/>
            </w:r>
          </w:hyperlink>
        </w:p>
        <w:p w:rsidR="00A50715" w:rsidRDefault="006A60F1">
          <w:r>
            <w:fldChar w:fldCharType="end"/>
          </w:r>
        </w:p>
      </w:sdtContent>
    </w:sdt>
    <w:tbl>
      <w:tblPr>
        <w:tblStyle w:val="Table"/>
        <w:tblW w:w="0" w:type="auto"/>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A50715" w:rsidTr="00A50715">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rsidR="00A50715" w:rsidRDefault="006A60F1">
            <w:pPr>
              <w:pStyle w:val="FirstParagraph"/>
              <w:spacing w:before="0" w:after="0"/>
              <w:textAlignment w:val="center"/>
            </w:pPr>
            <w:r>
              <w:rPr>
                <w:rFonts w:ascii="Arial" w:hAnsi="Arial"/>
                <w:b/>
                <w:noProof/>
                <w:color w:val="FFFFFF"/>
                <w:sz w:val="20"/>
              </w:rPr>
              <w:drawing>
                <wp:inline distT="0" distB="0" distL="0" distR="0">
                  <wp:extent cx="6858000" cy="68580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C:\Program Files\Quarto\share\formats\docx\important.png"/>
                          <pic:cNvPicPr>
                            <a:picLocks noChangeAspect="1" noChangeArrowheads="1"/>
                          </pic:cNvPicPr>
                        </pic:nvPicPr>
                        <pic:blipFill>
                          <a:blip r:embed="rId5"/>
                          <a:stretch>
                            <a:fillRect/>
                          </a:stretch>
                        </pic:blipFill>
                        <pic:spPr bwMode="auto">
                          <a:xfrm>
                            <a:off x="0" y="0"/>
                            <a:ext cx="6858000" cy="6858000"/>
                          </a:xfrm>
                          <a:prstGeom prst="rect">
                            <a:avLst/>
                          </a:prstGeom>
                          <a:noFill/>
                          <a:ln w="9525">
                            <a:noFill/>
                            <a:headEnd/>
                            <a:tailEnd/>
                          </a:ln>
                        </pic:spPr>
                      </pic:pic>
                    </a:graphicData>
                  </a:graphic>
                </wp:inline>
              </w:drawing>
            </w:r>
            <w:r>
              <w:rPr>
                <w:rFonts w:ascii="Arial" w:hAnsi="Arial"/>
                <w:b/>
                <w:color w:val="FFFFFF"/>
                <w:sz w:val="20"/>
              </w:rPr>
              <w:t xml:space="preserve">  Important</w:t>
            </w:r>
          </w:p>
        </w:tc>
      </w:tr>
      <w:tr w:rsidR="00A50715" w:rsidTr="00A50715">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rsidR="00A50715" w:rsidRDefault="006A60F1">
            <w:pPr>
              <w:pStyle w:val="BodyText"/>
              <w:spacing w:before="16" w:after="16"/>
            </w:pPr>
            <w:r>
              <w:rPr>
                <w:rFonts w:ascii="Arial" w:hAnsi="Arial"/>
                <w:b/>
                <w:bCs/>
                <w:color w:val="1F3864"/>
                <w:sz w:val="20"/>
              </w:rPr>
              <w:t>Series Context</w:t>
            </w:r>
            <w:r>
              <w:rPr>
                <w:rFonts w:ascii="Arial" w:hAnsi="Arial"/>
                <w:color w:val="1F3864"/>
                <w:sz w:val="20"/>
              </w:rPr>
              <w:t xml:space="preserve"> </w:t>
            </w:r>
            <w:r>
              <w:rPr>
                <w:rFonts w:ascii="Arial" w:hAnsi="Arial"/>
                <w:color w:val="1F3864"/>
                <w:sz w:val="20"/>
              </w:rPr>
              <w:t>— This document is Part 4 of the Federal Application-Aware Networking series. Parts 1–3 cover Landing Zone IPAM/DDI/PKI, Telecommunications Modernization, and Network Modernization. This part addresses the authentication layer of SQL Server — the protocol, credential, and identity surface that persists after network controls are in place.</w:t>
            </w:r>
          </w:p>
          <w:p w:rsidR="00A50715" w:rsidRDefault="00A50715"/>
        </w:tc>
      </w:tr>
    </w:tbl>
    <w:p w:rsidR="00A50715" w:rsidRDefault="006A60F1">
      <w:pPr>
        <w:pStyle w:val="Heading1"/>
      </w:pPr>
      <w:bookmarkStart w:id="0" w:name="X142afd21372132076b94cb137f7104e9f8ff6c8"/>
      <w:bookmarkStart w:id="1" w:name="_Toc233818273"/>
      <w:r>
        <w:t>1. The Inherited Problem: What Kerberos Actually Does</w:t>
      </w:r>
      <w:bookmarkEnd w:id="1"/>
    </w:p>
    <w:p w:rsidR="00A50715" w:rsidRDefault="006A60F1">
      <w:pPr>
        <w:pStyle w:val="FirstParagraph"/>
      </w:pPr>
      <w:r>
        <w:t>Every federal SQL Server deployment inherits a credential architecture designed in 1999. Kerberos was built for a world with a single, reachable domain controller and a flat LAN. In that world it worked perfectly: a client obtained a ticket from the KDC, presented it to SQL Server, and SQL Server validated it against the domain — all within milliseconds on the same physical network.</w:t>
      </w:r>
    </w:p>
    <w:p w:rsidR="00A50715" w:rsidRDefault="006A60F1">
      <w:pPr>
        <w:pStyle w:val="BodyText"/>
      </w:pPr>
      <w:r>
        <w:t>That world ended.</w:t>
      </w:r>
    </w:p>
    <w:tbl>
      <w:tblPr>
        <w:tblStyle w:val="Table"/>
        <w:tblW w:w="5000" w:type="pct"/>
        <w:tblLayout w:type="fixed"/>
        <w:tblLook w:val="0000" w:firstRow="0" w:lastRow="0" w:firstColumn="0" w:lastColumn="0" w:noHBand="0" w:noVBand="0"/>
      </w:tblPr>
      <w:tblGrid>
        <w:gridCol w:w="9576"/>
      </w:tblGrid>
      <w:tr w:rsidR="00A50715" w:rsidTr="00A50715">
        <w:tc>
          <w:tcPr>
            <w:tcW w:w="7920" w:type="dxa"/>
            <w:tcBorders>
              <w:top w:val="single" w:sz="4" w:space="0" w:color="C8D0DC"/>
              <w:left w:val="single" w:sz="4" w:space="0" w:color="C8D0DC"/>
              <w:bottom w:val="single" w:sz="4" w:space="0" w:color="C8D0DC"/>
              <w:right w:val="single" w:sz="4" w:space="0" w:color="C8D0DC"/>
            </w:tcBorders>
            <w:shd w:val="clear" w:color="auto" w:fill="1F3864"/>
          </w:tcPr>
          <w:p w:rsidR="00A50715" w:rsidRDefault="006A60F1">
            <w:pPr>
              <w:pStyle w:val="Compact"/>
              <w:jc w:val="center"/>
            </w:pPr>
            <w:bookmarkStart w:id="2" w:name="fig-san01"/>
            <w:r>
              <w:rPr>
                <w:rFonts w:ascii="Arial" w:hAnsi="Arial"/>
                <w:b/>
                <w:noProof/>
                <w:color w:val="FFFFFF"/>
                <w:sz w:val="20"/>
              </w:rPr>
              <w:drawing>
                <wp:inline distT="0" distB="0" distL="0" distR="0">
                  <wp:extent cx="6858000" cy="2176096"/>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figs/san-fig-01-kerberos-breaking.png"/>
                          <pic:cNvPicPr>
                            <a:picLocks noChangeAspect="1" noChangeArrowheads="1"/>
                          </pic:cNvPicPr>
                        </pic:nvPicPr>
                        <pic:blipFill>
                          <a:blip r:embed="rId6"/>
                          <a:stretch>
                            <a:fillRect/>
                          </a:stretch>
                        </pic:blipFill>
                        <pic:spPr bwMode="auto">
                          <a:xfrm>
                            <a:off x="0" y="0"/>
                            <a:ext cx="6858000" cy="2176096"/>
                          </a:xfrm>
                          <a:prstGeom prst="rect">
                            <a:avLst/>
                          </a:prstGeom>
                          <a:noFill/>
                          <a:ln w="9525">
                            <a:noFill/>
                            <a:headEnd/>
                            <a:tailEnd/>
                          </a:ln>
                        </pic:spPr>
                      </pic:pic>
                    </a:graphicData>
                  </a:graphic>
                </wp:inline>
              </w:drawing>
            </w:r>
          </w:p>
          <w:p w:rsidR="00A50715" w:rsidRDefault="006A60F1">
            <w:pPr>
              <w:pStyle w:val="ImageCaption"/>
              <w:spacing w:before="200"/>
            </w:pPr>
            <w:r>
              <w:rPr>
                <w:rFonts w:ascii="Arial" w:hAnsi="Arial"/>
                <w:b/>
                <w:color w:val="FFFFFF"/>
                <w:sz w:val="20"/>
              </w:rPr>
              <w:t>Figure 1: Kerberos authentication breaks when clients and servers span hybrid cloud, VPN, or multi-path SD-WAN boundaries. The KDC is unreachable or the ticket is invalid, forcing NTLM fallback.</w:t>
            </w:r>
          </w:p>
        </w:tc>
        <w:bookmarkEnd w:id="2"/>
      </w:tr>
    </w:tbl>
    <w:p w:rsidR="00A50715" w:rsidRDefault="006A60F1">
      <w:pPr>
        <w:pStyle w:val="BodyText"/>
      </w:pPr>
      <w:r>
        <w:t>Federal environments now span multiple cloud regions, SD-WAN fabrics, and government-community cloud tenants. The domain controller that issues Kerberos tickets is not co-located with the SQL Server, the client, or the cloud workload. The result is predictable: Kerberos fails, the stack falls back to NTLM, and the agency unknowingly operates with an authentication protocol that cannot be audited or monitored at the token level.</w:t>
      </w:r>
    </w:p>
    <w:p w:rsidR="00A50715" w:rsidRDefault="006A60F1">
      <w:pPr>
        <w:pStyle w:val="Heading2"/>
      </w:pPr>
      <w:bookmarkStart w:id="3" w:name="what-kerberos-requires"/>
      <w:bookmarkStart w:id="4" w:name="_Toc233818274"/>
      <w:r>
        <w:t>1.1 What Kerberos Requires</w:t>
      </w:r>
      <w:bookmarkEnd w:id="4"/>
    </w:p>
    <w:p w:rsidR="00A50715" w:rsidRDefault="006A60F1">
      <w:pPr>
        <w:pStyle w:val="FirstParagraph"/>
      </w:pPr>
      <w:r>
        <w:t>Kerberos requires three things to work:</w:t>
      </w:r>
    </w:p>
    <w:p w:rsidR="00A50715" w:rsidRDefault="006A60F1">
      <w:pPr>
        <w:pStyle w:val="Compact"/>
        <w:numPr>
          <w:ilvl w:val="0"/>
          <w:numId w:val="2"/>
        </w:numPr>
      </w:pPr>
      <w:r>
        <w:rPr>
          <w:b/>
          <w:bCs/>
        </w:rPr>
        <w:t>A reachable KDC.</w:t>
      </w:r>
      <w:r>
        <w:t xml:space="preserve"> The client must reach a domain controller to obtain a ticket. Across cloud regions, SD-WAN paths, or VPN tunnels, this often fails silently.</w:t>
      </w:r>
    </w:p>
    <w:p w:rsidR="00A50715" w:rsidRDefault="006A60F1">
      <w:pPr>
        <w:pStyle w:val="Compact"/>
        <w:numPr>
          <w:ilvl w:val="0"/>
          <w:numId w:val="2"/>
        </w:numPr>
      </w:pPr>
      <w:r>
        <w:rPr>
          <w:b/>
          <w:bCs/>
        </w:rPr>
        <w:t>A correct SPN.</w:t>
      </w:r>
      <w:r>
        <w:t xml:space="preserve"> SQL Server must have a correctly registered Service Principal Name (SPN) in Active Directory. Missing or duplicate SPNs force NTLM fallback.</w:t>
      </w:r>
    </w:p>
    <w:p w:rsidR="00A50715" w:rsidRDefault="006A60F1">
      <w:pPr>
        <w:pStyle w:val="Compact"/>
        <w:numPr>
          <w:ilvl w:val="0"/>
          <w:numId w:val="2"/>
        </w:numPr>
      </w:pPr>
      <w:r>
        <w:rPr>
          <w:b/>
          <w:bCs/>
        </w:rPr>
        <w:t>Clock synchronization.</w:t>
      </w:r>
      <w:r>
        <w:t xml:space="preserve"> Kerberos tickets expire at five minutes of clock skew. In hybrid cloud environments, NTP disciplining is not always consistent.</w:t>
      </w:r>
    </w:p>
    <w:p w:rsidR="00A50715" w:rsidRDefault="006A60F1">
      <w:pPr>
        <w:pStyle w:val="FirstParagraph"/>
      </w:pPr>
      <w:r>
        <w:t>When any of these three conditions fail, Windows drops to NTLM. NTLM is a challenge-response protocol: it works without a KDC, without an SPN, and without clock sync. It also cannot be monitored, cannot emit token-level audit events, and cannot be gated by Conditional Access.</w:t>
      </w:r>
    </w:p>
    <w:p w:rsidR="00A50715" w:rsidRDefault="006A60F1">
      <w:pPr>
        <w:pStyle w:val="Heading2"/>
      </w:pPr>
      <w:bookmarkStart w:id="5" w:name="the-ntlm-problem"/>
      <w:bookmarkStart w:id="6" w:name="_Toc233818275"/>
      <w:bookmarkEnd w:id="3"/>
      <w:r>
        <w:t>1.2 The NTLM Problem</w:t>
      </w:r>
      <w:bookmarkEnd w:id="6"/>
    </w:p>
    <w:p w:rsidR="00A50715" w:rsidRDefault="006A60F1">
      <w:pPr>
        <w:pStyle w:val="FirstParagraph"/>
      </w:pPr>
      <w:r>
        <w:t>NTLM is not merely a legacy protocol. It is an active compliance gap:</w:t>
      </w:r>
    </w:p>
    <w:p w:rsidR="00A50715" w:rsidRDefault="006A60F1">
      <w:pPr>
        <w:pStyle w:val="Compact"/>
        <w:numPr>
          <w:ilvl w:val="0"/>
          <w:numId w:val="3"/>
        </w:numPr>
      </w:pPr>
      <w:r>
        <w:rPr>
          <w:b/>
          <w:bCs/>
        </w:rPr>
        <w:t>Audit opacity.</w:t>
      </w:r>
      <w:r>
        <w:t xml:space="preserve"> </w:t>
      </w:r>
      <w:r>
        <w:t>NTLM authentication does not produce token-level event records that SIEM systems can correlate. It produces a successful logon event with no cryptographic binding to a specific user device or location.</w:t>
      </w:r>
    </w:p>
    <w:p w:rsidR="00A50715" w:rsidRDefault="006A60F1">
      <w:pPr>
        <w:pStyle w:val="Compact"/>
        <w:numPr>
          <w:ilvl w:val="0"/>
          <w:numId w:val="3"/>
        </w:numPr>
      </w:pPr>
      <w:r>
        <w:rPr>
          <w:b/>
          <w:bCs/>
        </w:rPr>
        <w:t>Pass-the-hash.</w:t>
      </w:r>
      <w:r>
        <w:t xml:space="preserve"> NTLM credentials can be captured in memory and replayed without knowing the password. Kerberos tickets are scoped to a service and time window; NTLM hashes are reusable indefinitely.</w:t>
      </w:r>
    </w:p>
    <w:p w:rsidR="00A50715" w:rsidRDefault="006A60F1">
      <w:pPr>
        <w:pStyle w:val="Compact"/>
        <w:numPr>
          <w:ilvl w:val="0"/>
          <w:numId w:val="3"/>
        </w:numPr>
      </w:pPr>
      <w:r>
        <w:rPr>
          <w:b/>
          <w:bCs/>
        </w:rPr>
        <w:t>No Conditional Access.</w:t>
      </w:r>
      <w:r>
        <w:t xml:space="preserve"> </w:t>
      </w:r>
      <w:r>
        <w:t>NTLM bypasses Entra ID Conditional Access entirely. A machine compliance check, MFA requirement, or location policy cannot intercept an NTLM authentication.</w:t>
      </w:r>
    </w:p>
    <w:p w:rsidR="00A50715" w:rsidRDefault="006A60F1">
      <w:pPr>
        <w:pStyle w:val="Compact"/>
        <w:numPr>
          <w:ilvl w:val="0"/>
          <w:numId w:val="3"/>
        </w:numPr>
      </w:pPr>
      <w:r>
        <w:rPr>
          <w:b/>
          <w:bCs/>
        </w:rPr>
        <w:t>BOD 25-01 and OMB M-22-09.</w:t>
      </w:r>
      <w:r>
        <w:t xml:space="preserve"> Both directives require elimination of NTLM in federal environments. The transition from Kerberos to Entra ID token-based authentication is the mechanism, not the goal. The goal is the elimination of NTLM.</w:t>
      </w:r>
    </w:p>
    <w:p w:rsidR="00A50715" w:rsidRDefault="006A60F1">
      <w:pPr>
        <w:pStyle w:val="Heading1"/>
      </w:pPr>
      <w:bookmarkStart w:id="7" w:name="the-estate-what-must-be-discovered"/>
      <w:bookmarkStart w:id="8" w:name="_Toc233818276"/>
      <w:bookmarkEnd w:id="0"/>
      <w:bookmarkEnd w:id="5"/>
      <w:r>
        <w:t>2. The Estate: What Must Be Discovered</w:t>
      </w:r>
      <w:bookmarkEnd w:id="8"/>
    </w:p>
    <w:p w:rsidR="00A50715" w:rsidRDefault="006A60F1">
      <w:pPr>
        <w:pStyle w:val="FirstParagraph"/>
      </w:pPr>
      <w:r>
        <w:t>Before any migration can begin, the SQL Server estate must be fully inventoried. This is not a documentation exercise. The inventory drives every subsequent decision about which instances are retained, which are consolidated, and which are retired.</w:t>
      </w:r>
    </w:p>
    <w:p w:rsidR="00A50715" w:rsidRDefault="006A60F1">
      <w:pPr>
        <w:pStyle w:val="Heading2"/>
      </w:pPr>
      <w:bookmarkStart w:id="9" w:name="discovery-dimensions"/>
      <w:bookmarkStart w:id="10" w:name="_Toc233818277"/>
      <w:r>
        <w:t>2.1 Discovery Dimensions</w:t>
      </w:r>
      <w:bookmarkEnd w:id="10"/>
    </w:p>
    <w:p w:rsidR="00A50715" w:rsidRDefault="006A60F1">
      <w:pPr>
        <w:pStyle w:val="FirstParagraph"/>
      </w:pPr>
      <w:r>
        <w:t>An effective SQL Server estate discovery captures four dimensions for every instance:</w:t>
      </w:r>
    </w:p>
    <w:p w:rsidR="00A50715" w:rsidRDefault="006A60F1">
      <w:pPr>
        <w:pStyle w:val="BodyText"/>
      </w:pPr>
      <w:r>
        <w:rPr>
          <w:b/>
          <w:bCs/>
        </w:rPr>
        <w:t>Version and end-of-life posture.</w:t>
      </w:r>
      <w:r>
        <w:t xml:space="preserve"> </w:t>
      </w:r>
      <w:r>
        <w:t>SQL Server 2019 is supported through Extended Security Updates (ESU) via Azure Arc at no additional cost. SQL Server 2017 and earlier require immediate attention — ESU coverage ends on a fixed schedule, and out-of-support instances cannot receive security patches. SQL Server 2022 is the migration target for all retained instances.</w:t>
      </w:r>
    </w:p>
    <w:p w:rsidR="00A50715" w:rsidRDefault="006A60F1">
      <w:pPr>
        <w:pStyle w:val="BodyText"/>
      </w:pPr>
      <w:r>
        <w:rPr>
          <w:b/>
          <w:bCs/>
        </w:rPr>
        <w:t>Authentication methods in use.</w:t>
      </w:r>
      <w:r>
        <w:t xml:space="preserve"> </w:t>
      </w:r>
      <w:r>
        <w:t>Every instance is audited for the authentication types in use: Windows Integrated (Kerberos or NTLM), SQL mixed-mode logins, and any service accounts that use stored credentials. The audit must capture both successful and failed authentication events (Event IDs 4624 and 4625) to identify NTLM fallback patterns.</w:t>
      </w:r>
    </w:p>
    <w:p w:rsidR="00A50715" w:rsidRDefault="006A60F1">
      <w:pPr>
        <w:pStyle w:val="BodyText"/>
      </w:pPr>
      <w:r>
        <w:rPr>
          <w:b/>
          <w:bCs/>
        </w:rPr>
        <w:t>Service Principal Name registration.</w:t>
      </w:r>
      <w:r>
        <w:t xml:space="preserve"> </w:t>
      </w:r>
      <w:r>
        <w:t>SPNs are checked against the Active Directory record for each SQL Server service account. Missing or duplicate SPNs are the most common cause of silent NTLM fallback in environments where Kerberos is expected. The SPN trail also reveals which service accounts are registered under which context — machine accounts vs. user accounts — which determines the migration approach.</w:t>
      </w:r>
    </w:p>
    <w:p w:rsidR="00A50715" w:rsidRDefault="006A60F1">
      <w:pPr>
        <w:pStyle w:val="BodyText"/>
      </w:pPr>
      <w:r>
        <w:rPr>
          <w:b/>
          <w:bCs/>
        </w:rPr>
        <w:t>Dependency mapping.</w:t>
      </w:r>
      <w:r>
        <w:t xml:space="preserve"> </w:t>
      </w:r>
      <w:r>
        <w:t>Linked servers, application connection strings, ODBC data sources, SSIS packages, and SSRS data connections all carry authentication assumptions. These must be inventoried before any login is disabled. A login that appears unused may be the authentication identity for a report that runs monthly.</w:t>
      </w:r>
    </w:p>
    <w:p w:rsidR="00A50715" w:rsidRDefault="006A60F1">
      <w:pPr>
        <w:pStyle w:val="Heading2"/>
      </w:pPr>
      <w:bookmarkStart w:id="11" w:name="the-consolidation-gate"/>
      <w:bookmarkStart w:id="12" w:name="_Toc233818278"/>
      <w:bookmarkEnd w:id="9"/>
      <w:r>
        <w:t>2.2 The Consolidation Gate</w:t>
      </w:r>
      <w:bookmarkEnd w:id="12"/>
    </w:p>
    <w:p w:rsidR="00A50715" w:rsidRDefault="006A60F1">
      <w:pPr>
        <w:pStyle w:val="FirstParagraph"/>
      </w:pPr>
      <w:r>
        <w:t>The inventory drives a consolidation gate before any technical migration begins. Every instance is assessed against three lenses:</w:t>
      </w:r>
    </w:p>
    <w:p w:rsidR="00A50715" w:rsidRDefault="006A60F1">
      <w:pPr>
        <w:pStyle w:val="BodyText"/>
      </w:pPr>
      <w:r>
        <w:rPr>
          <w:b/>
          <w:bCs/>
        </w:rPr>
        <w:t>Utilization and zombie detection.</w:t>
      </w:r>
      <w:r>
        <w:t xml:space="preserve"> </w:t>
      </w:r>
      <w:r>
        <w:t>Instances with no connections in 90 days, low sustained CPU, or no identifiable owning application are zombie candidates. Zombie instances are decommissioned — they cannot be migrated to a posture that doesn’t exist.</w:t>
      </w:r>
    </w:p>
    <w:p w:rsidR="00A50715" w:rsidRDefault="006A60F1">
      <w:pPr>
        <w:pStyle w:val="BodyText"/>
      </w:pPr>
      <w:r>
        <w:rPr>
          <w:b/>
          <w:bCs/>
        </w:rPr>
        <w:t>Version and supportability.</w:t>
      </w:r>
      <w:r>
        <w:t xml:space="preserve"> Instances below SQL Server 2019 that cannot be upgraded in-place are candidates for migration to Azure SQL Managed Instance or PostgreSQL, depending on workload characteristics.</w:t>
      </w:r>
    </w:p>
    <w:p w:rsidR="00A50715" w:rsidRDefault="006A60F1">
      <w:pPr>
        <w:pStyle w:val="BodyText"/>
      </w:pPr>
      <w:r>
        <w:rPr>
          <w:b/>
          <w:bCs/>
        </w:rPr>
        <w:t>Dependency analysis.</w:t>
      </w:r>
      <w:r>
        <w:t xml:space="preserve"> </w:t>
      </w:r>
      <w:r>
        <w:t>Instances with cross-instance linked servers require a migration sequence that respects dependency order. An instance that is a linked-server target for three other instances cannot be migrated until the other three are migrated first.</w:t>
      </w:r>
    </w:p>
    <w:p w:rsidR="00A50715" w:rsidRDefault="006A60F1">
      <w:pPr>
        <w:pStyle w:val="BodyText"/>
      </w:pPr>
      <w:r>
        <w:t>Instances that survive the consolidation gate proceed to authentication modernization. Instances that do not survive are documented and decommissioned per change management policy.</w:t>
      </w:r>
    </w:p>
    <w:p w:rsidR="00A50715" w:rsidRDefault="006A60F1">
      <w:pPr>
        <w:pStyle w:val="Heading1"/>
      </w:pPr>
      <w:bookmarkStart w:id="13" w:name="arc-as-the-identity-bridge"/>
      <w:bookmarkStart w:id="14" w:name="_Toc233818279"/>
      <w:bookmarkEnd w:id="7"/>
      <w:bookmarkEnd w:id="11"/>
      <w:r>
        <w:t>3. Arc as the Identity Bridge</w:t>
      </w:r>
      <w:bookmarkEnd w:id="14"/>
    </w:p>
    <w:p w:rsidR="00A50715" w:rsidRDefault="006A60F1">
      <w:pPr>
        <w:pStyle w:val="FirstParagraph"/>
      </w:pPr>
      <w:r>
        <w:t>Azure Arc resolves the SQL Server authentication problem in the most direct way possible: it replaces the domain credential entirely.</w:t>
      </w:r>
    </w:p>
    <w:tbl>
      <w:tblPr>
        <w:tblStyle w:val="Table"/>
        <w:tblW w:w="5000" w:type="pct"/>
        <w:tblLayout w:type="fixed"/>
        <w:tblLook w:val="0000" w:firstRow="0" w:lastRow="0" w:firstColumn="0" w:lastColumn="0" w:noHBand="0" w:noVBand="0"/>
      </w:tblPr>
      <w:tblGrid>
        <w:gridCol w:w="9576"/>
      </w:tblGrid>
      <w:tr w:rsidR="00A50715" w:rsidTr="00A50715">
        <w:tc>
          <w:tcPr>
            <w:tcW w:w="7920" w:type="dxa"/>
            <w:tcBorders>
              <w:top w:val="single" w:sz="4" w:space="0" w:color="C8D0DC"/>
              <w:left w:val="single" w:sz="4" w:space="0" w:color="C8D0DC"/>
              <w:bottom w:val="single" w:sz="4" w:space="0" w:color="C8D0DC"/>
              <w:right w:val="single" w:sz="4" w:space="0" w:color="C8D0DC"/>
            </w:tcBorders>
            <w:shd w:val="clear" w:color="auto" w:fill="1F3864"/>
          </w:tcPr>
          <w:p w:rsidR="00A50715" w:rsidRDefault="006A60F1">
            <w:pPr>
              <w:pStyle w:val="Compact"/>
              <w:jc w:val="center"/>
            </w:pPr>
            <w:bookmarkStart w:id="15" w:name="fig-san02"/>
            <w:r>
              <w:rPr>
                <w:rFonts w:ascii="Arial" w:hAnsi="Arial"/>
                <w:b/>
                <w:noProof/>
                <w:color w:val="FFFFFF"/>
                <w:sz w:val="20"/>
              </w:rPr>
              <w:drawing>
                <wp:inline distT="0" distB="0" distL="0" distR="0">
                  <wp:extent cx="6858000" cy="2307981"/>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figs/san-fig-02-arc-managed-identity.png"/>
                          <pic:cNvPicPr>
                            <a:picLocks noChangeAspect="1" noChangeArrowheads="1"/>
                          </pic:cNvPicPr>
                        </pic:nvPicPr>
                        <pic:blipFill>
                          <a:blip r:embed="rId7"/>
                          <a:stretch>
                            <a:fillRect/>
                          </a:stretch>
                        </pic:blipFill>
                        <pic:spPr bwMode="auto">
                          <a:xfrm>
                            <a:off x="0" y="0"/>
                            <a:ext cx="6858000" cy="2307981"/>
                          </a:xfrm>
                          <a:prstGeom prst="rect">
                            <a:avLst/>
                          </a:prstGeom>
                          <a:noFill/>
                          <a:ln w="9525">
                            <a:noFill/>
                            <a:headEnd/>
                            <a:tailEnd/>
                          </a:ln>
                        </pic:spPr>
                      </pic:pic>
                    </a:graphicData>
                  </a:graphic>
                </wp:inline>
              </w:drawing>
            </w:r>
          </w:p>
          <w:p w:rsidR="00A50715" w:rsidRDefault="006A60F1">
            <w:pPr>
              <w:pStyle w:val="ImageCaption"/>
              <w:spacing w:before="200"/>
            </w:pPr>
            <w:r>
              <w:rPr>
                <w:rFonts w:ascii="Arial" w:hAnsi="Arial"/>
                <w:b/>
                <w:color w:val="FFFFFF"/>
                <w:sz w:val="20"/>
              </w:rPr>
              <w:t>Figure 2: Azure Arc provides a system-assigned Managed Identity — no stored password, no rotation, no human-visible credential. Layer 1 targets SQL Engine authentication; Layer 2 targets OS-level Entra login.</w:t>
            </w:r>
          </w:p>
        </w:tc>
        <w:bookmarkEnd w:id="15"/>
      </w:tr>
    </w:tbl>
    <w:p w:rsidR="00A50715" w:rsidRDefault="006A60F1">
      <w:pPr>
        <w:pStyle w:val="Heading2"/>
      </w:pPr>
      <w:bookmarkStart w:id="16" w:name="what-arc-provides"/>
      <w:bookmarkStart w:id="17" w:name="_Toc233818280"/>
      <w:r>
        <w:t>3.1 What Arc Provides</w:t>
      </w:r>
      <w:bookmarkEnd w:id="17"/>
    </w:p>
    <w:p w:rsidR="00A50715" w:rsidRDefault="006A60F1">
      <w:pPr>
        <w:pStyle w:val="FirstParagraph"/>
      </w:pPr>
      <w:r>
        <w:t xml:space="preserve">An Azure Arc agent installed on a Windows Server gives that server a </w:t>
      </w:r>
      <w:r>
        <w:rPr>
          <w:b/>
          <w:bCs/>
        </w:rPr>
        <w:t>system-assigned Managed Identity</w:t>
      </w:r>
      <w:r>
        <w:t xml:space="preserve"> </w:t>
      </w:r>
      <w:r>
        <w:t>— a cloud-native identity backed by a certificate in the local store. The certificate is automatically rotated every 90 days. No human ever sees the certificate or its private key. No password is stored in a vault, a connection string, or a service account profile.</w:t>
      </w:r>
    </w:p>
    <w:p w:rsidR="00A50715" w:rsidRDefault="006A60F1">
      <w:pPr>
        <w:pStyle w:val="BodyText"/>
      </w:pPr>
      <w:r>
        <w:t>The Managed Identity is registered in Entra ID as a service principal. SQL Server 2022 with the Entra authentication extension can use this identity to authenticate database connections from Entra-registered identities — users, groups, and other managed identities — without requiring any Active Directory credential.</w:t>
      </w:r>
    </w:p>
    <w:p w:rsidR="00A50715" w:rsidRDefault="006A60F1">
      <w:pPr>
        <w:pStyle w:val="Heading2"/>
      </w:pPr>
      <w:bookmarkStart w:id="18" w:name="layer-1-sql-engine-authentication"/>
      <w:bookmarkStart w:id="19" w:name="_Toc233818281"/>
      <w:bookmarkEnd w:id="16"/>
      <w:r>
        <w:t>3.2 Layer 1: SQL Engine Authentication</w:t>
      </w:r>
      <w:bookmarkEnd w:id="19"/>
    </w:p>
    <w:p w:rsidR="00A50715" w:rsidRDefault="006A60F1">
      <w:pPr>
        <w:pStyle w:val="FirstParagraph"/>
      </w:pPr>
      <w:r>
        <w:t>The first authentication layer is SQL Engine authentication. This is what most SQL Server migration programs target: replacing Windows Integrated Authentication and SQL logins with Entra ID authentication at the database connection level.</w:t>
      </w:r>
    </w:p>
    <w:p w:rsidR="00A50715" w:rsidRDefault="006A60F1">
      <w:pPr>
        <w:pStyle w:val="BodyText"/>
      </w:pPr>
      <w:r>
        <w:rPr>
          <w:b/>
          <w:bCs/>
        </w:rPr>
        <w:t>Requirements:</w:t>
      </w:r>
      <w:r>
        <w:t xml:space="preserve"> SQL Server 2022 (or SQL Server 2019 with the Entra extension), Azure Arc agent installed on the host, domain-joined Windows Server 2019 or later. The host does not need to be domain-unjoined for Layer 1.</w:t>
      </w:r>
    </w:p>
    <w:p w:rsidR="00A50715" w:rsidRDefault="006A60F1">
      <w:pPr>
        <w:pStyle w:val="BodyText"/>
      </w:pPr>
      <w:r>
        <w:rPr>
          <w:b/>
          <w:bCs/>
        </w:rPr>
        <w:t>What changes:</w:t>
      </w:r>
      <w:r>
        <w:t xml:space="preserve"> </w:t>
      </w:r>
      <w:r>
        <w:t xml:space="preserve">Database logins are migrated from Windows logins (authenticated via Kerberos/NTLM) and SQL logins (authenticated via stored password) to Entra logins (authenticated via token). Applications authenticate using </w:t>
      </w:r>
      <w:r>
        <w:rPr>
          <w:rStyle w:val="VerbatimChar"/>
        </w:rPr>
        <w:t>DefaultAzureCredential</w:t>
      </w:r>
      <w:r>
        <w:t xml:space="preserve">, </w:t>
      </w:r>
      <w:r>
        <w:rPr>
          <w:rStyle w:val="VerbatimChar"/>
        </w:rPr>
        <w:t>ManagedIdentityCredential</w:t>
      </w:r>
      <w:r>
        <w:t xml:space="preserve">, or an equivalent token provider in the Azure Identity SDK. Connection strings change from </w:t>
      </w:r>
      <w:r>
        <w:rPr>
          <w:rStyle w:val="VerbatimChar"/>
        </w:rPr>
        <w:t>Integrated Security=SSPI</w:t>
      </w:r>
      <w:r>
        <w:t xml:space="preserve"> to </w:t>
      </w:r>
      <w:r>
        <w:rPr>
          <w:rStyle w:val="VerbatimChar"/>
        </w:rPr>
        <w:t>Authentication=Active Directory Default</w:t>
      </w:r>
      <w:r>
        <w:t>.</w:t>
      </w:r>
    </w:p>
    <w:p w:rsidR="00A50715" w:rsidRDefault="006A60F1">
      <w:pPr>
        <w:pStyle w:val="BodyText"/>
      </w:pPr>
      <w:r>
        <w:rPr>
          <w:b/>
          <w:bCs/>
        </w:rPr>
        <w:t>What stays the same:</w:t>
      </w:r>
      <w:r>
        <w:t xml:space="preserve"> </w:t>
      </w:r>
      <w:r>
        <w:t>The host remains domain-joined. Group Policy still applies. SQL Server configuration is unchanged except for the authentication extension. The transition is transparent to the SQL Engine itself.</w:t>
      </w:r>
    </w:p>
    <w:p w:rsidR="00A50715" w:rsidRDefault="006A60F1">
      <w:pPr>
        <w:pStyle w:val="Heading2"/>
      </w:pPr>
      <w:bookmarkStart w:id="20" w:name="layer-2-os-level-entra-login"/>
      <w:bookmarkStart w:id="21" w:name="_Toc233818282"/>
      <w:bookmarkEnd w:id="18"/>
      <w:r>
        <w:t>3.3 Layer 2: OS-Level Entra Login</w:t>
      </w:r>
      <w:bookmarkEnd w:id="21"/>
    </w:p>
    <w:p w:rsidR="00A50715" w:rsidRDefault="006A60F1">
      <w:pPr>
        <w:pStyle w:val="FirstParagraph"/>
      </w:pPr>
      <w:r>
        <w:t>The second authentication layer is operating system login. This is a more significant transition: the Windows Server host is domain-unjoined and configured for Entra-native OS authentication.</w:t>
      </w:r>
    </w:p>
    <w:p w:rsidR="00A50715" w:rsidRDefault="006A60F1">
      <w:pPr>
        <w:pStyle w:val="BodyText"/>
      </w:pPr>
      <w:r>
        <w:rPr>
          <w:b/>
          <w:bCs/>
        </w:rPr>
        <w:t>Requirements:</w:t>
      </w:r>
      <w:r>
        <w:t xml:space="preserve"> </w:t>
      </w:r>
      <w:r>
        <w:t>Windows Server 2025 (the first version with stable Entra ID OS login), domain unjoin, Entra ID Joined enrollment (Entra Join, not Hybrid Join). This is a distinct migration program from Layer 1 and is typically sequenced after all SQL Engine authentication is migrated.</w:t>
      </w:r>
    </w:p>
    <w:p w:rsidR="00A50715" w:rsidRDefault="006A60F1">
      <w:pPr>
        <w:pStyle w:val="BodyText"/>
      </w:pPr>
      <w:r>
        <w:rPr>
          <w:b/>
          <w:bCs/>
        </w:rPr>
        <w:t>What changes:</w:t>
      </w:r>
      <w:r>
        <w:t xml:space="preserve"> </w:t>
      </w:r>
      <w:r>
        <w:t>OS logins move from AD user accounts to Entra accounts. RDP and local console access is authenticated against Entra. Group Policy is replaced by Intune or equivalent MDM. The server no longer requires connectivity to an on-premises domain controller.</w:t>
      </w:r>
    </w:p>
    <w:p w:rsidR="00A50715" w:rsidRDefault="006A60F1">
      <w:pPr>
        <w:pStyle w:val="BodyText"/>
      </w:pPr>
      <w:r>
        <w:t>Most federal SQL Server migration programs implement Layer 1 across the estate and Layer 2 on new deployments and greenfield systems. Legacy hosts that require domain join for other reasons (RADIUS, print services, legacy application hooks) may remain hybrid-joined for an extended transition period while Layer 1 is fully deployed.</w:t>
      </w:r>
    </w:p>
    <w:p w:rsidR="00A50715" w:rsidRDefault="006A60F1">
      <w:pPr>
        <w:pStyle w:val="Heading2"/>
      </w:pPr>
      <w:bookmarkStart w:id="22" w:name="why-arc-and-not-the-alternatives"/>
      <w:bookmarkStart w:id="23" w:name="_Toc233818283"/>
      <w:bookmarkEnd w:id="20"/>
      <w:r>
        <w:t>3.4 Why Arc, and Not the Alternatives</w:t>
      </w:r>
      <w:bookmarkEnd w:id="23"/>
    </w:p>
    <w:p w:rsidR="00A50715" w:rsidRDefault="006A60F1">
      <w:pPr>
        <w:pStyle w:val="FirstParagraph"/>
      </w:pPr>
      <w:r>
        <w:t>Four alternatives to Arc Managed Identity are commonly proposed. Each has a disqualifying limitation:</w:t>
      </w:r>
    </w:p>
    <w:p w:rsidR="00A50715" w:rsidRDefault="006A60F1">
      <w:pPr>
        <w:pStyle w:val="BodyText"/>
      </w:pPr>
      <w:r>
        <w:rPr>
          <w:b/>
          <w:bCs/>
        </w:rPr>
        <w:t>Group Managed Service Accounts (gMSA).</w:t>
      </w:r>
      <w:r>
        <w:t xml:space="preserve"> </w:t>
      </w:r>
      <w:r>
        <w:t>gMSAs automate password rotation for service accounts. They do not eliminate the dependency on Active Directory — they are an AD construct. Migrating to gMSA re-anchors the service account to the same AD being retired.</w:t>
      </w:r>
    </w:p>
    <w:p w:rsidR="00A50715" w:rsidRDefault="006A60F1">
      <w:pPr>
        <w:pStyle w:val="BodyText"/>
      </w:pPr>
      <w:r>
        <w:rPr>
          <w:b/>
          <w:bCs/>
        </w:rPr>
        <w:t>Vault-managed Service Principals.</w:t>
      </w:r>
      <w:r>
        <w:t xml:space="preserve"> </w:t>
      </w:r>
      <w:r>
        <w:t>A credential vault (Azure Key Vault, HashiCorp Vault) manages a service principal secret and rotates it on a schedule. This approach still stores a bootstrap credential: the vault client needs a credential to authenticate to the vault. The bootstrap credential is the problem, not the secret being managed.</w:t>
      </w:r>
    </w:p>
    <w:p w:rsidR="00A50715" w:rsidRDefault="006A60F1">
      <w:pPr>
        <w:pStyle w:val="BodyText"/>
      </w:pPr>
      <w:r>
        <w:rPr>
          <w:b/>
          <w:bCs/>
        </w:rPr>
        <w:t>Certificate-Based Authentication.</w:t>
      </w:r>
      <w:r>
        <w:t xml:space="preserve"> </w:t>
      </w:r>
      <w:r>
        <w:t>CBA is an improvement over passwords — certificates can be scoped and time-limited. But certificate distribution, trust chain management, and revocation infrastructure are operational burdens at scale. CBA is a reasonable interim posture, not a target architecture.</w:t>
      </w:r>
    </w:p>
    <w:p w:rsidR="00A50715" w:rsidRDefault="006A60F1">
      <w:pPr>
        <w:pStyle w:val="BodyText"/>
      </w:pPr>
      <w:r>
        <w:rPr>
          <w:b/>
          <w:bCs/>
        </w:rPr>
        <w:t>Arc Managed Identity.</w:t>
      </w:r>
      <w:r>
        <w:t xml:space="preserve"> The sole credential-free, cloud-native option. No stored secret, no rotation burden, no AD dependency. The certificate is managed by the Arc agent and is not accessible to any user or process outside the agent context.</w:t>
      </w:r>
    </w:p>
    <w:p w:rsidR="00A50715" w:rsidRDefault="006A60F1">
      <w:pPr>
        <w:pStyle w:val="Heading1"/>
      </w:pPr>
      <w:bookmarkStart w:id="24" w:name="ntlm-elimination"/>
      <w:bookmarkStart w:id="25" w:name="_Toc233818284"/>
      <w:bookmarkEnd w:id="13"/>
      <w:bookmarkEnd w:id="22"/>
      <w:r>
        <w:t>4. NTLM Elimination</w:t>
      </w:r>
      <w:bookmarkEnd w:id="25"/>
    </w:p>
    <w:p w:rsidR="00A50715" w:rsidRDefault="006A60F1">
      <w:pPr>
        <w:pStyle w:val="FirstParagraph"/>
      </w:pPr>
      <w:r>
        <w:t>NTLM elimination is a three-phase program. Each phase has measurable exit criteria. Phases do not overlap — Phase B does not begin until Phase A is complete across the in-scope estate.</w:t>
      </w:r>
    </w:p>
    <w:tbl>
      <w:tblPr>
        <w:tblStyle w:val="Table"/>
        <w:tblW w:w="5000" w:type="pct"/>
        <w:tblLayout w:type="fixed"/>
        <w:tblLook w:val="0000" w:firstRow="0" w:lastRow="0" w:firstColumn="0" w:lastColumn="0" w:noHBand="0" w:noVBand="0"/>
      </w:tblPr>
      <w:tblGrid>
        <w:gridCol w:w="9576"/>
      </w:tblGrid>
      <w:tr w:rsidR="00A50715" w:rsidTr="00A50715">
        <w:tc>
          <w:tcPr>
            <w:tcW w:w="7920" w:type="dxa"/>
            <w:tcBorders>
              <w:top w:val="single" w:sz="4" w:space="0" w:color="C8D0DC"/>
              <w:left w:val="single" w:sz="4" w:space="0" w:color="C8D0DC"/>
              <w:bottom w:val="single" w:sz="4" w:space="0" w:color="C8D0DC"/>
              <w:right w:val="single" w:sz="4" w:space="0" w:color="C8D0DC"/>
            </w:tcBorders>
            <w:shd w:val="clear" w:color="auto" w:fill="1F3864"/>
          </w:tcPr>
          <w:p w:rsidR="00A50715" w:rsidRDefault="006A60F1">
            <w:pPr>
              <w:pStyle w:val="Compact"/>
              <w:jc w:val="center"/>
            </w:pPr>
            <w:bookmarkStart w:id="26" w:name="fig-san03"/>
            <w:r>
              <w:rPr>
                <w:rFonts w:ascii="Arial" w:hAnsi="Arial"/>
                <w:b/>
                <w:noProof/>
                <w:color w:val="FFFFFF"/>
                <w:sz w:val="20"/>
              </w:rPr>
              <w:drawing>
                <wp:inline distT="0" distB="0" distL="0" distR="0">
                  <wp:extent cx="6858000" cy="2934432"/>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figs/san-fig-03-ntlm-elimination.png"/>
                          <pic:cNvPicPr>
                            <a:picLocks noChangeAspect="1" noChangeArrowheads="1"/>
                          </pic:cNvPicPr>
                        </pic:nvPicPr>
                        <pic:blipFill>
                          <a:blip r:embed="rId8"/>
                          <a:stretch>
                            <a:fillRect/>
                          </a:stretch>
                        </pic:blipFill>
                        <pic:spPr bwMode="auto">
                          <a:xfrm>
                            <a:off x="0" y="0"/>
                            <a:ext cx="6858000" cy="2934432"/>
                          </a:xfrm>
                          <a:prstGeom prst="rect">
                            <a:avLst/>
                          </a:prstGeom>
                          <a:noFill/>
                          <a:ln w="9525">
                            <a:noFill/>
                            <a:headEnd/>
                            <a:tailEnd/>
                          </a:ln>
                        </pic:spPr>
                      </pic:pic>
                    </a:graphicData>
                  </a:graphic>
                </wp:inline>
              </w:drawing>
            </w:r>
          </w:p>
          <w:p w:rsidR="00A50715" w:rsidRDefault="006A60F1">
            <w:pPr>
              <w:pStyle w:val="ImageCaption"/>
              <w:spacing w:before="200"/>
            </w:pPr>
            <w:r>
              <w:rPr>
                <w:rFonts w:ascii="Arial" w:hAnsi="Arial"/>
                <w:b/>
                <w:color w:val="FFFFFF"/>
                <w:sz w:val="20"/>
              </w:rPr>
              <w:t>Figure 3: NTLM elimination runs in three sequential phases: discovery, remediation, and domain-wide block. Each phase has measurable exit criteria before the next begins.</w:t>
            </w:r>
          </w:p>
        </w:tc>
        <w:bookmarkEnd w:id="26"/>
      </w:tr>
    </w:tbl>
    <w:p w:rsidR="00A50715" w:rsidRDefault="006A60F1">
      <w:pPr>
        <w:pStyle w:val="Heading2"/>
      </w:pPr>
      <w:bookmarkStart w:id="27" w:name="phase-a-discovery"/>
      <w:bookmarkStart w:id="28" w:name="_Toc233818285"/>
      <w:r>
        <w:t>4.1 Phase A — Discovery</w:t>
      </w:r>
      <w:bookmarkEnd w:id="28"/>
    </w:p>
    <w:p w:rsidR="00A50715" w:rsidRDefault="006A60F1">
      <w:pPr>
        <w:pStyle w:val="FirstParagraph"/>
      </w:pPr>
      <w:r>
        <w:t>Phase A maps every NTLM source in the SQL Server estate. The output is a structured list of NTLM-generating patterns, each classified by root cause.</w:t>
      </w:r>
    </w:p>
    <w:p w:rsidR="00A50715" w:rsidRDefault="006A60F1">
      <w:pPr>
        <w:pStyle w:val="BodyText"/>
      </w:pPr>
      <w:r>
        <w:rPr>
          <w:b/>
          <w:bCs/>
        </w:rPr>
        <w:t>Event log analysis.</w:t>
      </w:r>
      <w:r>
        <w:t xml:space="preserve"> Windows Security log Event IDs 4624 (successful logon) and 4625 (failed logon) are analyzed for authentication type. NTLM logon events have </w:t>
      </w:r>
      <w:r>
        <w:rPr>
          <w:rStyle w:val="VerbatimChar"/>
        </w:rPr>
        <w:t>LogonType = 3</w:t>
      </w:r>
      <w:r>
        <w:t xml:space="preserve"> and </w:t>
      </w:r>
      <w:r>
        <w:rPr>
          <w:rStyle w:val="VerbatimChar"/>
        </w:rPr>
        <w:t>AuthenticationPackage = NTLM</w:t>
      </w:r>
      <w:r>
        <w:t>. A 30-day event collection baseline is sufficient for most estates.</w:t>
      </w:r>
    </w:p>
    <w:p w:rsidR="00A50715" w:rsidRDefault="006A60F1">
      <w:pPr>
        <w:pStyle w:val="BodyText"/>
      </w:pPr>
      <w:r>
        <w:rPr>
          <w:b/>
          <w:bCs/>
        </w:rPr>
        <w:t>SPN audit.</w:t>
      </w:r>
      <w:r>
        <w:t xml:space="preserve"> </w:t>
      </w:r>
      <w:r>
        <w:rPr>
          <w:rStyle w:val="VerbatimChar"/>
        </w:rPr>
        <w:t>setspn -L &lt;serviceaccount&gt;</w:t>
      </w:r>
      <w:r>
        <w:t xml:space="preserve"> and </w:t>
      </w:r>
      <w:r>
        <w:rPr>
          <w:rStyle w:val="VerbatimChar"/>
        </w:rPr>
        <w:t>setspn -Q MSSQLSvc/*</w:t>
      </w:r>
      <w:r>
        <w:t xml:space="preserve"> </w:t>
      </w:r>
      <w:r>
        <w:t>are run against the domain to identify missing, duplicate, and incorrectly formatted SPNs. Missing SPNs are the most common source of NTLM fallback in environments where Kerberos is expected.</w:t>
      </w:r>
    </w:p>
    <w:p w:rsidR="00A50715" w:rsidRDefault="006A60F1">
      <w:pPr>
        <w:pStyle w:val="BodyText"/>
      </w:pPr>
      <w:r>
        <w:rPr>
          <w:b/>
          <w:bCs/>
        </w:rPr>
        <w:t>Four NTLM-generating patterns.</w:t>
      </w:r>
      <w:r>
        <w:t xml:space="preserve"> Phase A classifies every NTLM source into one of four patterns:</w:t>
      </w:r>
    </w:p>
    <w:p w:rsidR="00A50715" w:rsidRDefault="006A60F1">
      <w:pPr>
        <w:pStyle w:val="Compact"/>
        <w:numPr>
          <w:ilvl w:val="0"/>
          <w:numId w:val="4"/>
        </w:numPr>
      </w:pPr>
      <w:r>
        <w:rPr>
          <w:b/>
          <w:bCs/>
        </w:rPr>
        <w:t>Missing or incorrect SPN.</w:t>
      </w:r>
      <w:r>
        <w:t xml:space="preserve"> The SQL Server service account has no SPN, or the SPN is registered in the wrong format (hostname vs. FQDN, wrong port). Fix: </w:t>
      </w:r>
      <w:r>
        <w:rPr>
          <w:rStyle w:val="VerbatimChar"/>
        </w:rPr>
        <w:t>setspn -S MSSQLSvc/&lt;host&gt;:&lt;port&gt; &lt;serviceaccount&gt;</w:t>
      </w:r>
      <w:r>
        <w:t>.</w:t>
      </w:r>
    </w:p>
    <w:p w:rsidR="00A50715" w:rsidRDefault="006A60F1">
      <w:pPr>
        <w:pStyle w:val="Compact"/>
        <w:numPr>
          <w:ilvl w:val="0"/>
          <w:numId w:val="4"/>
        </w:numPr>
      </w:pPr>
      <w:r>
        <w:rPr>
          <w:b/>
          <w:bCs/>
        </w:rPr>
        <w:t>Cross-site connection.</w:t>
      </w:r>
      <w:r>
        <w:t xml:space="preserve"> A client in a branch office or cloud region attempts Kerberos but the nearest KDC is unreachable. The fallback to NTLM is silent. Fix: Cloud Kerberos Trust or Entra-native authentication.</w:t>
      </w:r>
    </w:p>
    <w:p w:rsidR="00A50715" w:rsidRDefault="006A60F1">
      <w:pPr>
        <w:pStyle w:val="Compact"/>
        <w:numPr>
          <w:ilvl w:val="0"/>
          <w:numId w:val="4"/>
        </w:numPr>
      </w:pPr>
      <w:r>
        <w:rPr>
          <w:b/>
          <w:bCs/>
        </w:rPr>
        <w:t>Linked-server passthrough.</w:t>
      </w:r>
      <w:r>
        <w:t xml:space="preserve"> A linked server passes credentials from the calling context to the remote SQL Server. If the calling context uses NTLM, the linked server passes NTLM. Fix: Migrate the linked server to use a Managed Identity or dedicated service principal.</w:t>
      </w:r>
    </w:p>
    <w:p w:rsidR="00A50715" w:rsidRDefault="006A60F1">
      <w:pPr>
        <w:pStyle w:val="Compact"/>
        <w:numPr>
          <w:ilvl w:val="0"/>
          <w:numId w:val="4"/>
        </w:numPr>
      </w:pPr>
      <w:r>
        <w:rPr>
          <w:b/>
          <w:bCs/>
        </w:rPr>
        <w:t>Non-domain-joined application host.</w:t>
      </w:r>
      <w:r>
        <w:t xml:space="preserve"> </w:t>
      </w:r>
      <w:r>
        <w:t>An application server that is not domain-joined cannot perform Kerberos authentication. It uses NTLM or SQL logins. Fix: Domain join, Arc enrollment, or migration to Entra-native application authentication.</w:t>
      </w:r>
    </w:p>
    <w:p w:rsidR="00A50715" w:rsidRDefault="006A60F1">
      <w:pPr>
        <w:pStyle w:val="Heading2"/>
      </w:pPr>
      <w:bookmarkStart w:id="29" w:name="phase-b-remediation"/>
      <w:bookmarkStart w:id="30" w:name="_Toc233818286"/>
      <w:bookmarkEnd w:id="27"/>
      <w:r>
        <w:t>4.2 Phase B — Remediation</w:t>
      </w:r>
      <w:bookmarkEnd w:id="30"/>
    </w:p>
    <w:p w:rsidR="00A50715" w:rsidRDefault="006A60F1">
      <w:pPr>
        <w:pStyle w:val="FirstParagraph"/>
      </w:pPr>
      <w:r>
        <w:t>Phase B addresses every NTLM source identified in Phase A. The remediation sequence for the most common pattern — missing SPN — is representative:</w:t>
      </w:r>
    </w:p>
    <w:p w:rsidR="00A50715" w:rsidRDefault="006A60F1">
      <w:pPr>
        <w:pStyle w:val="Compact"/>
        <w:numPr>
          <w:ilvl w:val="0"/>
          <w:numId w:val="5"/>
        </w:numPr>
      </w:pPr>
      <w:r>
        <w:t xml:space="preserve">Register the correct SPN: </w:t>
      </w:r>
      <w:r>
        <w:rPr>
          <w:rStyle w:val="VerbatimChar"/>
        </w:rPr>
        <w:t>setspn -S MSSQLSvc/&lt;hostname&gt;.&lt;domain&gt;:&lt;port&gt; &lt;serviceaccount&gt;</w:t>
      </w:r>
    </w:p>
    <w:p w:rsidR="00A50715" w:rsidRDefault="006A60F1">
      <w:pPr>
        <w:pStyle w:val="Compact"/>
        <w:numPr>
          <w:ilvl w:val="0"/>
          <w:numId w:val="5"/>
        </w:numPr>
      </w:pPr>
      <w:r>
        <w:t xml:space="preserve">Register the short-name variant: </w:t>
      </w:r>
      <w:r>
        <w:rPr>
          <w:rStyle w:val="VerbatimChar"/>
        </w:rPr>
        <w:t>setspn -S MSSQLSvc/&lt;hostname&gt;:&lt;port&gt; &lt;serviceaccount&gt;</w:t>
      </w:r>
    </w:p>
    <w:p w:rsidR="00A50715" w:rsidRDefault="006A60F1">
      <w:pPr>
        <w:pStyle w:val="Compact"/>
        <w:numPr>
          <w:ilvl w:val="0"/>
          <w:numId w:val="5"/>
        </w:numPr>
      </w:pPr>
      <w:r>
        <w:t>Restart the SQL Server service to pick up the new SPN</w:t>
      </w:r>
    </w:p>
    <w:p w:rsidR="00A50715" w:rsidRDefault="006A60F1">
      <w:pPr>
        <w:pStyle w:val="Compact"/>
        <w:numPr>
          <w:ilvl w:val="0"/>
          <w:numId w:val="5"/>
        </w:numPr>
      </w:pPr>
      <w:r>
        <w:t xml:space="preserve">Verify with </w:t>
      </w:r>
      <w:r>
        <w:rPr>
          <w:rStyle w:val="VerbatimChar"/>
        </w:rPr>
        <w:t>klist</w:t>
      </w:r>
      <w:r>
        <w:t xml:space="preserve"> that subsequent connections use Kerberos</w:t>
      </w:r>
    </w:p>
    <w:p w:rsidR="00A50715" w:rsidRDefault="006A60F1">
      <w:pPr>
        <w:pStyle w:val="FirstParagraph"/>
      </w:pPr>
      <w:r>
        <w:t>For cross-site NTLM, Phase B deploys Cloud Kerberos Trust — an Azure AD Kerberos server that issues partial Kerberos tickets satisfied by Entra ID. This allows Kerberos authentication across network boundaries without requiring a reachable on-premises KDC.</w:t>
      </w:r>
    </w:p>
    <w:p w:rsidR="00A50715" w:rsidRDefault="006A60F1">
      <w:pPr>
        <w:pStyle w:val="BodyText"/>
      </w:pPr>
      <w:r>
        <w:t>For linked servers, Phase B migrates the authentication from passthrough credentials to a dedicated Managed Identity or service principal with the minimum required permissions.</w:t>
      </w:r>
    </w:p>
    <w:p w:rsidR="00A50715" w:rsidRDefault="006A60F1">
      <w:pPr>
        <w:pStyle w:val="BodyText"/>
      </w:pPr>
      <w:r>
        <w:rPr>
          <w:b/>
          <w:bCs/>
        </w:rPr>
        <w:t>NTLMv1 block.</w:t>
      </w:r>
      <w:r>
        <w:t xml:space="preserve"> At the end of Phase B, NTLMv1 is blocked at the domain level via Group Policy (</w:t>
      </w:r>
      <w:r>
        <w:rPr>
          <w:rStyle w:val="VerbatimChar"/>
        </w:rPr>
        <w:t>Network security: LAN Manager authentication level = Send NTLMv2 response only/refuse LM and NTLM</w:t>
      </w:r>
      <w:r>
        <w:t>). NTLMv1 has no legitimate use case in a federal environment and is prohibited under BOD 25-01.</w:t>
      </w:r>
    </w:p>
    <w:p w:rsidR="00A50715" w:rsidRDefault="006A60F1">
      <w:pPr>
        <w:pStyle w:val="Heading2"/>
      </w:pPr>
      <w:bookmarkStart w:id="31" w:name="phase-c-domain-wide-block"/>
      <w:bookmarkStart w:id="32" w:name="_Toc233818287"/>
      <w:bookmarkEnd w:id="29"/>
      <w:r>
        <w:t>4.3 Phase C — Domain-Wide Block</w:t>
      </w:r>
      <w:bookmarkEnd w:id="32"/>
    </w:p>
    <w:p w:rsidR="00A50715" w:rsidRDefault="006A60F1">
      <w:pPr>
        <w:pStyle w:val="FirstParagraph"/>
      </w:pPr>
      <w:r>
        <w:t>Phase C applies the final Group Policy that refuses all NTLM authentication at the domain level. This is a blocking change — any authentication that still relies on NTLM after Phase C will fail.</w:t>
      </w:r>
    </w:p>
    <w:p w:rsidR="00A50715" w:rsidRDefault="006A60F1">
      <w:pPr>
        <w:pStyle w:val="BodyText"/>
      </w:pPr>
      <w:r>
        <w:t>Phase C is executed only after Phase B is verified complete. The verification is a 30-day observation period with zero NTLM authentication events in the Security log. If NTLM events appear during the observation period, the source is investigated and remediated before the observation window restarts.</w:t>
      </w:r>
    </w:p>
    <w:p w:rsidR="00A50715" w:rsidRDefault="006A60F1">
      <w:pPr>
        <w:pStyle w:val="BodyText"/>
      </w:pPr>
      <w:r>
        <w:t>Phase C completion is the evidence baseline for the AU-2/AU-12 controls in the FedRAMP 20x continuous monitoring record.</w:t>
      </w:r>
    </w:p>
    <w:p w:rsidR="00A50715" w:rsidRDefault="006A60F1">
      <w:pPr>
        <w:pStyle w:val="Heading1"/>
      </w:pPr>
      <w:bookmarkStart w:id="33" w:name="the-login-migration"/>
      <w:bookmarkStart w:id="34" w:name="_Toc233818288"/>
      <w:bookmarkEnd w:id="24"/>
      <w:bookmarkEnd w:id="31"/>
      <w:r>
        <w:t>5. The Login Migration</w:t>
      </w:r>
      <w:bookmarkEnd w:id="34"/>
    </w:p>
    <w:p w:rsidR="00A50715" w:rsidRDefault="006A60F1">
      <w:pPr>
        <w:pStyle w:val="FirstParagraph"/>
      </w:pPr>
      <w:r>
        <w:t>SQL Server logins are the database-level identity records. Migrating logins is the core technical action of the SQL Server modernization program. Every instance that survives the consolidation gate undergoes a login migration.</w:t>
      </w:r>
    </w:p>
    <w:tbl>
      <w:tblPr>
        <w:tblStyle w:val="Table"/>
        <w:tblW w:w="5000" w:type="pct"/>
        <w:tblLayout w:type="fixed"/>
        <w:tblLook w:val="0000" w:firstRow="0" w:lastRow="0" w:firstColumn="0" w:lastColumn="0" w:noHBand="0" w:noVBand="0"/>
      </w:tblPr>
      <w:tblGrid>
        <w:gridCol w:w="9576"/>
      </w:tblGrid>
      <w:tr w:rsidR="00A50715" w:rsidTr="00A50715">
        <w:tc>
          <w:tcPr>
            <w:tcW w:w="7920" w:type="dxa"/>
            <w:tcBorders>
              <w:top w:val="single" w:sz="4" w:space="0" w:color="C8D0DC"/>
              <w:left w:val="single" w:sz="4" w:space="0" w:color="C8D0DC"/>
              <w:bottom w:val="single" w:sz="4" w:space="0" w:color="C8D0DC"/>
              <w:right w:val="single" w:sz="4" w:space="0" w:color="C8D0DC"/>
            </w:tcBorders>
            <w:shd w:val="clear" w:color="auto" w:fill="1F3864"/>
          </w:tcPr>
          <w:p w:rsidR="00A50715" w:rsidRDefault="006A60F1">
            <w:pPr>
              <w:pStyle w:val="Compact"/>
              <w:jc w:val="center"/>
            </w:pPr>
            <w:bookmarkStart w:id="35" w:name="fig-san04"/>
            <w:r>
              <w:rPr>
                <w:rFonts w:ascii="Arial" w:hAnsi="Arial"/>
                <w:b/>
                <w:noProof/>
                <w:color w:val="FFFFFF"/>
                <w:sz w:val="20"/>
              </w:rPr>
              <w:drawing>
                <wp:inline distT="0" distB="0" distL="0" distR="0">
                  <wp:extent cx="6858000" cy="2426676"/>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figs/san-fig-04-login-migration.png"/>
                          <pic:cNvPicPr>
                            <a:picLocks noChangeAspect="1" noChangeArrowheads="1"/>
                          </pic:cNvPicPr>
                        </pic:nvPicPr>
                        <pic:blipFill>
                          <a:blip r:embed="rId9"/>
                          <a:stretch>
                            <a:fillRect/>
                          </a:stretch>
                        </pic:blipFill>
                        <pic:spPr bwMode="auto">
                          <a:xfrm>
                            <a:off x="0" y="0"/>
                            <a:ext cx="6858000" cy="2426676"/>
                          </a:xfrm>
                          <a:prstGeom prst="rect">
                            <a:avLst/>
                          </a:prstGeom>
                          <a:noFill/>
                          <a:ln w="9525">
                            <a:noFill/>
                            <a:headEnd/>
                            <a:tailEnd/>
                          </a:ln>
                        </pic:spPr>
                      </pic:pic>
                    </a:graphicData>
                  </a:graphic>
                </wp:inline>
              </w:drawing>
            </w:r>
          </w:p>
          <w:p w:rsidR="00A50715" w:rsidRDefault="006A60F1">
            <w:pPr>
              <w:pStyle w:val="ImageCaption"/>
              <w:spacing w:before="200"/>
            </w:pPr>
            <w:r>
              <w:rPr>
                <w:rFonts w:ascii="Arial" w:hAnsi="Arial"/>
                <w:b/>
                <w:color w:val="FFFFFF"/>
                <w:sz w:val="20"/>
              </w:rPr>
              <w:t>Figure 4: Login migration runs in four phases. The legacy login is never dropped until a 30-day clean observation period completes with zero authentication events using the old identity.</w:t>
            </w:r>
          </w:p>
        </w:tc>
        <w:bookmarkEnd w:id="35"/>
      </w:tr>
    </w:tbl>
    <w:p w:rsidR="00A50715" w:rsidRDefault="006A60F1">
      <w:pPr>
        <w:pStyle w:val="Heading2"/>
      </w:pPr>
      <w:bookmarkStart w:id="36" w:name="login-types-and-migration-targets"/>
      <w:bookmarkStart w:id="37" w:name="_Toc233818289"/>
      <w:r>
        <w:t>5.1 Login Types and Migration Targets</w:t>
      </w:r>
      <w:bookmarkEnd w:id="37"/>
    </w:p>
    <w:p w:rsidR="00A50715" w:rsidRDefault="006A60F1">
      <w:pPr>
        <w:pStyle w:val="FirstParagraph"/>
      </w:pPr>
      <w:r>
        <w:t>SQL Server supports three login types:</w:t>
      </w:r>
    </w:p>
    <w:p w:rsidR="00A50715" w:rsidRDefault="006A60F1">
      <w:pPr>
        <w:pStyle w:val="BodyText"/>
      </w:pPr>
      <w:r>
        <w:rPr>
          <w:b/>
          <w:bCs/>
        </w:rPr>
        <w:t>Windows logins.</w:t>
      </w:r>
      <w:r>
        <w:t xml:space="preserve"> Authenticated via Kerberos or NTLM. These are the logins being replaced. Each Windows login is matched to an Entra identity (user, group, or service principal) and a corresponding Entra login is created alongside it.</w:t>
      </w:r>
    </w:p>
    <w:p w:rsidR="00A50715" w:rsidRDefault="006A60F1">
      <w:pPr>
        <w:pStyle w:val="BodyText"/>
      </w:pPr>
      <w:r>
        <w:rPr>
          <w:b/>
          <w:bCs/>
        </w:rPr>
        <w:t>SQL logins.</w:t>
      </w:r>
      <w:r>
        <w:t xml:space="preserve"> </w:t>
      </w:r>
      <w:r>
        <w:t>Authenticated via stored password hash. SQL logins are a compliance risk regardless of NTLM — they store a credential in the SQL Server instance that is not rotated by any external system. SQL logins are migrated to Entra logins or, for service account contexts, to Managed Identity connections.</w:t>
      </w:r>
    </w:p>
    <w:p w:rsidR="00A50715" w:rsidRDefault="006A60F1">
      <w:pPr>
        <w:pStyle w:val="BodyText"/>
      </w:pPr>
      <w:r>
        <w:rPr>
          <w:b/>
          <w:bCs/>
        </w:rPr>
        <w:t>Entra logins.</w:t>
      </w:r>
      <w:r>
        <w:t xml:space="preserve"> Created with </w:t>
      </w:r>
      <w:r>
        <w:rPr>
          <w:rStyle w:val="VerbatimChar"/>
        </w:rPr>
        <w:t>CREATE LOGIN [&lt;entra-identity&gt;] FROM EXTERNAL PROVIDER</w:t>
      </w:r>
      <w:r>
        <w:t>. Authenticated via Entra ID token. These are the migration target.</w:t>
      </w:r>
    </w:p>
    <w:p w:rsidR="00A50715" w:rsidRDefault="006A60F1">
      <w:pPr>
        <w:pStyle w:val="Heading2"/>
      </w:pPr>
      <w:bookmarkStart w:id="38" w:name="the-four-phase-parallel-run"/>
      <w:bookmarkStart w:id="39" w:name="_Toc233818290"/>
      <w:bookmarkEnd w:id="36"/>
      <w:r>
        <w:t>5.2 The Four-Phase Parallel Run</w:t>
      </w:r>
      <w:bookmarkEnd w:id="39"/>
    </w:p>
    <w:p w:rsidR="00A50715" w:rsidRDefault="006A60F1">
      <w:pPr>
        <w:pStyle w:val="FirstParagraph"/>
      </w:pPr>
      <w:r>
        <w:t>Login migration must be executed as a parallel run — not a cutover. The legacy login remains active while the Entra login is created and validated. Only after validation is the legacy login disabled, and only after a 30-day observation period is it dropped.</w:t>
      </w:r>
    </w:p>
    <w:p w:rsidR="00A50715" w:rsidRDefault="006A60F1">
      <w:pPr>
        <w:pStyle w:val="BodyText"/>
      </w:pPr>
      <w:r>
        <w:rPr>
          <w:b/>
          <w:bCs/>
        </w:rPr>
        <w:t>Phase 1 — Create.</w:t>
      </w:r>
      <w:r>
        <w:t xml:space="preserve"> </w:t>
      </w:r>
      <w:r>
        <w:rPr>
          <w:rStyle w:val="VerbatimChar"/>
        </w:rPr>
        <w:t>CREATE LOGIN [user@agency.gov] FROM EXTERNAL PROVIDER</w:t>
      </w:r>
      <w:r>
        <w:t xml:space="preserve"> — or for a group: </w:t>
      </w:r>
      <w:r>
        <w:rPr>
          <w:rStyle w:val="VerbatimChar"/>
        </w:rPr>
        <w:t>CREATE LOGIN [GroupName] FROM EXTERNAL PROVIDER</w:t>
      </w:r>
      <w:r>
        <w:t xml:space="preserve"> with the Entra Object ID.</w:t>
      </w:r>
    </w:p>
    <w:p w:rsidR="00A50715" w:rsidRDefault="006A60F1">
      <w:pPr>
        <w:pStyle w:val="BodyText"/>
      </w:pPr>
      <w:r>
        <w:rPr>
          <w:b/>
          <w:bCs/>
        </w:rPr>
        <w:t>Phase 2 — Validate.</w:t>
      </w:r>
      <w:r>
        <w:t xml:space="preserve"> </w:t>
      </w:r>
      <w:r>
        <w:t>The Entra login is tested with real credentials against every connection path: direct connection, application connection string, ODBC data source, linked server. Authentication scheme is confirmed as Entra (not Windows Integrated, not SQL). Database role membership is verified.</w:t>
      </w:r>
    </w:p>
    <w:p w:rsidR="00A50715" w:rsidRDefault="006A60F1">
      <w:pPr>
        <w:pStyle w:val="BodyText"/>
      </w:pPr>
      <w:r>
        <w:rPr>
          <w:b/>
          <w:bCs/>
        </w:rPr>
        <w:t>Phase 3 — Disable.</w:t>
      </w:r>
      <w:r>
        <w:t xml:space="preserve"> </w:t>
      </w:r>
      <w:r>
        <w:rPr>
          <w:rStyle w:val="VerbatimChar"/>
        </w:rPr>
        <w:t>ALTER LOGIN [domain\user] DISABLE</w:t>
      </w:r>
      <w:r>
        <w:t>. The legacy login still exists but cannot be used. This is the critical safety step: if an application was using the legacy login and was missed in the dependency audit, it will fail at this point — but the legacy login can be re-enabled immediately without any data loss or service disruption.</w:t>
      </w:r>
    </w:p>
    <w:p w:rsidR="00A50715" w:rsidRDefault="006A60F1">
      <w:pPr>
        <w:pStyle w:val="BodyText"/>
      </w:pPr>
      <w:r>
        <w:rPr>
          <w:b/>
          <w:bCs/>
        </w:rPr>
        <w:t>Phase 4 — Drop.</w:t>
      </w:r>
      <w:r>
        <w:t xml:space="preserve"> After a 30-day observation period with no authentication failures traceable to the disabled login, </w:t>
      </w:r>
      <w:r>
        <w:rPr>
          <w:rStyle w:val="VerbatimChar"/>
        </w:rPr>
        <w:t>DROP LOGIN [domain\user]</w:t>
      </w:r>
      <w:r>
        <w:t xml:space="preserve"> is executed. The login is gone.</w:t>
      </w:r>
    </w:p>
    <w:tbl>
      <w:tblPr>
        <w:tblStyle w:val="Table"/>
        <w:tblW w:w="0" w:type="auto"/>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A50715" w:rsidTr="00A50715">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rsidR="00A50715" w:rsidRDefault="006A60F1">
            <w:pPr>
              <w:pStyle w:val="BodyText"/>
              <w:spacing w:before="0" w:after="0"/>
              <w:textAlignment w:val="center"/>
            </w:pPr>
            <w:r>
              <w:rPr>
                <w:rFonts w:ascii="Arial" w:hAnsi="Arial"/>
                <w:b/>
                <w:noProof/>
                <w:color w:val="FFFFFF"/>
                <w:sz w:val="20"/>
              </w:rPr>
              <w:drawing>
                <wp:inline distT="0" distB="0" distL="0" distR="0">
                  <wp:extent cx="6858000" cy="6858000"/>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C:\Program Files\Quarto\share\formats\docx\important.png"/>
                          <pic:cNvPicPr>
                            <a:picLocks noChangeAspect="1" noChangeArrowheads="1"/>
                          </pic:cNvPicPr>
                        </pic:nvPicPr>
                        <pic:blipFill>
                          <a:blip r:embed="rId5"/>
                          <a:stretch>
                            <a:fillRect/>
                          </a:stretch>
                        </pic:blipFill>
                        <pic:spPr bwMode="auto">
                          <a:xfrm>
                            <a:off x="0" y="0"/>
                            <a:ext cx="6858000" cy="6858000"/>
                          </a:xfrm>
                          <a:prstGeom prst="rect">
                            <a:avLst/>
                          </a:prstGeom>
                          <a:noFill/>
                          <a:ln w="9525">
                            <a:noFill/>
                            <a:headEnd/>
                            <a:tailEnd/>
                          </a:ln>
                        </pic:spPr>
                      </pic:pic>
                    </a:graphicData>
                  </a:graphic>
                </wp:inline>
              </w:drawing>
            </w:r>
            <w:r>
              <w:rPr>
                <w:rFonts w:ascii="Arial" w:hAnsi="Arial"/>
                <w:b/>
                <w:color w:val="FFFFFF"/>
                <w:sz w:val="20"/>
              </w:rPr>
              <w:t xml:space="preserve">  Important</w:t>
            </w:r>
          </w:p>
        </w:tc>
      </w:tr>
      <w:tr w:rsidR="00A50715" w:rsidTr="00A50715">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rsidR="00A50715" w:rsidRDefault="006A60F1">
            <w:pPr>
              <w:pStyle w:val="BodyText"/>
              <w:spacing w:before="16" w:after="16"/>
            </w:pPr>
            <w:r>
              <w:rPr>
                <w:rFonts w:ascii="Arial" w:hAnsi="Arial"/>
                <w:b/>
                <w:bCs/>
                <w:color w:val="1F3864"/>
                <w:sz w:val="20"/>
              </w:rPr>
              <w:t>Never drop a login until the 30-day observation period is complete.</w:t>
            </w:r>
            <w:r>
              <w:rPr>
                <w:rFonts w:ascii="Arial" w:hAnsi="Arial"/>
                <w:color w:val="1F3864"/>
                <w:sz w:val="20"/>
              </w:rPr>
              <w:t xml:space="preserve"> The observation period is not optional. Applications discover their dependencies against production traffic, not documentation. A login that appears unused in the inventory may be the authentication identity for a monthly process.</w:t>
            </w:r>
          </w:p>
          <w:p w:rsidR="00A50715" w:rsidRDefault="00A50715"/>
        </w:tc>
      </w:tr>
    </w:tbl>
    <w:p w:rsidR="00A50715" w:rsidRDefault="006A60F1">
      <w:pPr>
        <w:pStyle w:val="Heading2"/>
      </w:pPr>
      <w:bookmarkStart w:id="40" w:name="the-sa-account"/>
      <w:bookmarkStart w:id="41" w:name="_Toc233818291"/>
      <w:bookmarkEnd w:id="38"/>
      <w:r>
        <w:t>5.3 The sa Account</w:t>
      </w:r>
      <w:bookmarkEnd w:id="41"/>
    </w:p>
    <w:p w:rsidR="00A50715" w:rsidRDefault="006A60F1">
      <w:pPr>
        <w:pStyle w:val="FirstParagraph"/>
      </w:pPr>
      <w:r>
        <w:t xml:space="preserve">The </w:t>
      </w:r>
      <w:r>
        <w:rPr>
          <w:rStyle w:val="VerbatimChar"/>
        </w:rPr>
        <w:t>sa</w:t>
      </w:r>
      <w:r>
        <w:t xml:space="preserve"> </w:t>
      </w:r>
      <w:r>
        <w:t>(system administrator) account requires special handling. It is a SQL login — a stored password — and it exists in every SQL Server instance regardless of whether it was ever used. Left enabled, it is a standing attack surface.</w:t>
      </w:r>
    </w:p>
    <w:p w:rsidR="00A50715" w:rsidRDefault="006A60F1">
      <w:pPr>
        <w:pStyle w:val="BodyText"/>
      </w:pPr>
      <w:r>
        <w:t>The sa account cannot be dropped. It must be disabled and renamed:</w:t>
      </w:r>
    </w:p>
    <w:p w:rsidR="00A50715" w:rsidRDefault="006A60F1">
      <w:pPr>
        <w:pStyle w:val="SourceCode"/>
      </w:pPr>
      <w:r>
        <w:rPr>
          <w:rStyle w:val="KeywordTok"/>
        </w:rPr>
        <w:t>ALTER</w:t>
      </w:r>
      <w:r>
        <w:rPr>
          <w:rStyle w:val="NormalTok"/>
        </w:rPr>
        <w:t xml:space="preserve"> LOGIN sa </w:t>
      </w:r>
      <w:r>
        <w:rPr>
          <w:rStyle w:val="KeywordTok"/>
        </w:rPr>
        <w:t>DISABLE</w:t>
      </w:r>
      <w:r>
        <w:rPr>
          <w:rStyle w:val="NormalTok"/>
        </w:rPr>
        <w:t>;</w:t>
      </w:r>
      <w:r>
        <w:br/>
      </w:r>
      <w:r>
        <w:rPr>
          <w:rStyle w:val="KeywordTok"/>
        </w:rPr>
        <w:t>ALTER</w:t>
      </w:r>
      <w:r>
        <w:rPr>
          <w:rStyle w:val="NormalTok"/>
        </w:rPr>
        <w:t xml:space="preserve"> LOGIN sa </w:t>
      </w:r>
      <w:r>
        <w:rPr>
          <w:rStyle w:val="KeywordTok"/>
        </w:rPr>
        <w:t>WITH</w:t>
      </w:r>
      <w:r>
        <w:rPr>
          <w:rStyle w:val="NormalTok"/>
        </w:rPr>
        <w:t xml:space="preserve"> NAME </w:t>
      </w:r>
      <w:r>
        <w:rPr>
          <w:rStyle w:val="OperatorTok"/>
        </w:rPr>
        <w:t>=</w:t>
      </w:r>
      <w:r>
        <w:rPr>
          <w:rStyle w:val="NormalTok"/>
        </w:rPr>
        <w:t xml:space="preserve"> [disabled_sa_</w:t>
      </w:r>
      <w:r>
        <w:rPr>
          <w:rStyle w:val="OperatorTok"/>
        </w:rPr>
        <w:t>&lt;</w:t>
      </w:r>
      <w:r>
        <w:rPr>
          <w:rStyle w:val="NormalTok"/>
        </w:rPr>
        <w:t>instancename</w:t>
      </w:r>
      <w:r>
        <w:rPr>
          <w:rStyle w:val="OperatorTok"/>
        </w:rPr>
        <w:t>&gt;</w:t>
      </w:r>
      <w:r>
        <w:rPr>
          <w:rStyle w:val="NormalTok"/>
        </w:rPr>
        <w:t>];</w:t>
      </w:r>
    </w:p>
    <w:p w:rsidR="00A50715" w:rsidRDefault="006A60F1">
      <w:pPr>
        <w:pStyle w:val="FirstParagraph"/>
      </w:pPr>
      <w:r>
        <w:t>Disabling sa is a CM-8 inventory action and should be documented in the instance’s change record. The renamed, disabled account remains in the login list as evidence that the action was taken.</w:t>
      </w:r>
    </w:p>
    <w:p w:rsidR="00A50715" w:rsidRDefault="006A60F1">
      <w:pPr>
        <w:pStyle w:val="Heading1"/>
      </w:pPr>
      <w:bookmarkStart w:id="42" w:name="access-control-and-the-entra-perimeter"/>
      <w:bookmarkStart w:id="43" w:name="_Toc233818292"/>
      <w:bookmarkEnd w:id="33"/>
      <w:bookmarkEnd w:id="40"/>
      <w:r>
        <w:t>6. Access Control and the Entra Perimeter</w:t>
      </w:r>
      <w:bookmarkEnd w:id="43"/>
    </w:p>
    <w:p w:rsidR="00A50715" w:rsidRDefault="006A60F1">
      <w:pPr>
        <w:pStyle w:val="FirstParagraph"/>
      </w:pPr>
      <w:r>
        <w:t>Entra ID Conditional Access, when applied to SQL Server connections, creates an authentication perimeter that cannot be expressed in SQL Server itself. SQL Server can grant or deny based on login existence and database role. It cannot enforce MFA, device compliance, or location policy. Entra ID can.</w:t>
      </w:r>
    </w:p>
    <w:p w:rsidR="00A50715" w:rsidRDefault="006A60F1">
      <w:pPr>
        <w:pStyle w:val="Heading2"/>
      </w:pPr>
      <w:bookmarkStart w:id="44" w:name="X8e2eef1b5223fab3c205906d44c8894713407b8"/>
      <w:bookmarkStart w:id="45" w:name="_Toc233818293"/>
      <w:r>
        <w:t>6.1 Entra Dynamic Groups as SQL Authorization Source</w:t>
      </w:r>
      <w:bookmarkEnd w:id="45"/>
    </w:p>
    <w:p w:rsidR="00A50715" w:rsidRDefault="006A60F1">
      <w:pPr>
        <w:pStyle w:val="FirstParagraph"/>
      </w:pPr>
      <w:r>
        <w:t>SQL Server authorization at the database level maps to Entra group membership via Entra database principals (</w:t>
      </w:r>
      <w:r>
        <w:rPr>
          <w:rStyle w:val="VerbatimChar"/>
        </w:rPr>
        <w:t>CREATE USER [&lt;group&gt;] FROM EXTERNAL PROVIDER</w:t>
      </w:r>
      <w:r>
        <w:t>). The group membership is the authorization record — a user in the Entra group has the database role assigned to that group’s database principal.</w:t>
      </w:r>
    </w:p>
    <w:p w:rsidR="00A50715" w:rsidRDefault="006A60F1">
      <w:pPr>
        <w:pStyle w:val="BodyText"/>
      </w:pPr>
      <w:r>
        <w:t>Dynamic groups in Entra ID assign membership based on HR-derived attributes: department, job code, work location, management chain. Dynamic group membership is continuously reconciled by Entra ID — when an employee’s department changes in the HR system, their group membership changes automatically, and their SQL Server access changes with it. No manual SQL Server access provisioning is required.</w:t>
      </w:r>
    </w:p>
    <w:p w:rsidR="00A50715" w:rsidRDefault="006A60F1">
      <w:pPr>
        <w:pStyle w:val="BodyText"/>
      </w:pPr>
      <w:r>
        <w:t>This is the identity lifecycle enforcement mechanism: access is derived from employment status and role, not from a ticket submitted to a DBA.</w:t>
      </w:r>
    </w:p>
    <w:p w:rsidR="00A50715" w:rsidRDefault="006A60F1">
      <w:pPr>
        <w:pStyle w:val="Heading2"/>
      </w:pPr>
      <w:bookmarkStart w:id="46" w:name="conditional-access-policies-for-sql"/>
      <w:bookmarkStart w:id="47" w:name="_Toc233818294"/>
      <w:bookmarkEnd w:id="44"/>
      <w:r>
        <w:t>6.2 Conditional Access Policies for SQL</w:t>
      </w:r>
      <w:bookmarkEnd w:id="47"/>
    </w:p>
    <w:p w:rsidR="00A50715" w:rsidRDefault="006A60F1">
      <w:pPr>
        <w:pStyle w:val="FirstParagraph"/>
      </w:pPr>
      <w:r>
        <w:t>Entra ID Conditional Access policies are applied to the Entra authentication flow that SQL clients use. Policies can enforce:</w:t>
      </w:r>
    </w:p>
    <w:p w:rsidR="00A50715" w:rsidRDefault="006A60F1">
      <w:pPr>
        <w:pStyle w:val="Compact"/>
        <w:numPr>
          <w:ilvl w:val="0"/>
          <w:numId w:val="6"/>
        </w:numPr>
      </w:pPr>
      <w:r>
        <w:rPr>
          <w:b/>
          <w:bCs/>
        </w:rPr>
        <w:t>MFA for privileged logins.</w:t>
      </w:r>
      <w:r>
        <w:t xml:space="preserve"> DBA logins (members of </w:t>
      </w:r>
      <w:r>
        <w:rPr>
          <w:rStyle w:val="VerbatimChar"/>
        </w:rPr>
        <w:t>sysadmin</w:t>
      </w:r>
      <w:r>
        <w:t xml:space="preserve">, </w:t>
      </w:r>
      <w:r>
        <w:rPr>
          <w:rStyle w:val="VerbatimChar"/>
        </w:rPr>
        <w:t>securityadmin</w:t>
      </w:r>
      <w:r>
        <w:t>, or custom privileged groups) require MFA at every authentication.</w:t>
      </w:r>
    </w:p>
    <w:p w:rsidR="00A50715" w:rsidRDefault="006A60F1">
      <w:pPr>
        <w:pStyle w:val="Compact"/>
        <w:numPr>
          <w:ilvl w:val="0"/>
          <w:numId w:val="6"/>
        </w:numPr>
      </w:pPr>
      <w:r>
        <w:rPr>
          <w:b/>
          <w:bCs/>
        </w:rPr>
        <w:t>Device compliance.</w:t>
      </w:r>
      <w:r>
        <w:t xml:space="preserve"> </w:t>
      </w:r>
      <w:r>
        <w:t>Connections from devices not enrolled in the MDM system are blocked. This eliminates authentication from unmanaged endpoints.</w:t>
      </w:r>
    </w:p>
    <w:p w:rsidR="00A50715" w:rsidRDefault="006A60F1">
      <w:pPr>
        <w:pStyle w:val="Compact"/>
        <w:numPr>
          <w:ilvl w:val="0"/>
          <w:numId w:val="6"/>
        </w:numPr>
      </w:pPr>
      <w:r>
        <w:rPr>
          <w:b/>
          <w:bCs/>
        </w:rPr>
        <w:t>Location restrictions.</w:t>
      </w:r>
      <w:r>
        <w:t xml:space="preserve"> Authentication from outside defined trusted IP ranges requires MFA step-up or is blocked entirely. This addresses contractor and vendor access from personal systems.</w:t>
      </w:r>
    </w:p>
    <w:p w:rsidR="00A50715" w:rsidRDefault="006A60F1">
      <w:pPr>
        <w:pStyle w:val="Compact"/>
        <w:numPr>
          <w:ilvl w:val="0"/>
          <w:numId w:val="6"/>
        </w:numPr>
      </w:pPr>
      <w:r>
        <w:rPr>
          <w:b/>
          <w:bCs/>
        </w:rPr>
        <w:t>Session time limits.</w:t>
      </w:r>
      <w:r>
        <w:t xml:space="preserve"> Access tokens for SQL connections have a configurable lifetime. Privileged sessions are time-limited and require re-authentication after expiry.</w:t>
      </w:r>
    </w:p>
    <w:p w:rsidR="00A50715" w:rsidRDefault="006A60F1">
      <w:pPr>
        <w:pStyle w:val="FirstParagraph"/>
      </w:pPr>
      <w:r>
        <w:t>Conditional Access policies are configured at the Entra tenant level and apply to all SQL connections authenticated via Entra — there is no per-instance configuration required in SQL Server.</w:t>
      </w:r>
    </w:p>
    <w:p w:rsidR="00A50715" w:rsidRDefault="006A60F1">
      <w:pPr>
        <w:pStyle w:val="Heading1"/>
      </w:pPr>
      <w:bookmarkStart w:id="48" w:name="the-application-chain"/>
      <w:bookmarkStart w:id="49" w:name="_Toc233818295"/>
      <w:bookmarkEnd w:id="42"/>
      <w:bookmarkEnd w:id="46"/>
      <w:r>
        <w:t>7. The Application Chain</w:t>
      </w:r>
      <w:bookmarkEnd w:id="49"/>
    </w:p>
    <w:p w:rsidR="00A50715" w:rsidRDefault="006A60F1">
      <w:pPr>
        <w:pStyle w:val="FirstParagraph"/>
      </w:pPr>
      <w:r>
        <w:t>Every application that connects to SQL Server carries an authentication assumption. Connection strings, ODBC data sources, service accounts, and application configuration files all encode the authentication method. These must all be updated as part of the login migration program.</w:t>
      </w:r>
    </w:p>
    <w:tbl>
      <w:tblPr>
        <w:tblStyle w:val="Table"/>
        <w:tblW w:w="5000" w:type="pct"/>
        <w:tblLayout w:type="fixed"/>
        <w:tblLook w:val="0000" w:firstRow="0" w:lastRow="0" w:firstColumn="0" w:lastColumn="0" w:noHBand="0" w:noVBand="0"/>
      </w:tblPr>
      <w:tblGrid>
        <w:gridCol w:w="9576"/>
      </w:tblGrid>
      <w:tr w:rsidR="00A50715" w:rsidTr="00A50715">
        <w:tc>
          <w:tcPr>
            <w:tcW w:w="7920" w:type="dxa"/>
            <w:tcBorders>
              <w:top w:val="single" w:sz="4" w:space="0" w:color="C8D0DC"/>
              <w:left w:val="single" w:sz="4" w:space="0" w:color="C8D0DC"/>
              <w:bottom w:val="single" w:sz="4" w:space="0" w:color="C8D0DC"/>
              <w:right w:val="single" w:sz="4" w:space="0" w:color="C8D0DC"/>
            </w:tcBorders>
            <w:shd w:val="clear" w:color="auto" w:fill="1F3864"/>
          </w:tcPr>
          <w:p w:rsidR="00A50715" w:rsidRDefault="006A60F1">
            <w:pPr>
              <w:pStyle w:val="Compact"/>
              <w:jc w:val="center"/>
            </w:pPr>
            <w:bookmarkStart w:id="50" w:name="fig-san05"/>
            <w:r>
              <w:rPr>
                <w:rFonts w:ascii="Arial" w:hAnsi="Arial"/>
                <w:b/>
                <w:noProof/>
                <w:color w:val="FFFFFF"/>
                <w:sz w:val="20"/>
              </w:rPr>
              <w:drawing>
                <wp:inline distT="0" distB="0" distL="0" distR="0">
                  <wp:extent cx="6858000" cy="2736606"/>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figs/san-fig-05-app-chain.png"/>
                          <pic:cNvPicPr>
                            <a:picLocks noChangeAspect="1" noChangeArrowheads="1"/>
                          </pic:cNvPicPr>
                        </pic:nvPicPr>
                        <pic:blipFill>
                          <a:blip r:embed="rId10"/>
                          <a:stretch>
                            <a:fillRect/>
                          </a:stretch>
                        </pic:blipFill>
                        <pic:spPr bwMode="auto">
                          <a:xfrm>
                            <a:off x="0" y="0"/>
                            <a:ext cx="6858000" cy="2736606"/>
                          </a:xfrm>
                          <a:prstGeom prst="rect">
                            <a:avLst/>
                          </a:prstGeom>
                          <a:noFill/>
                          <a:ln w="9525">
                            <a:noFill/>
                            <a:headEnd/>
                            <a:tailEnd/>
                          </a:ln>
                        </pic:spPr>
                      </pic:pic>
                    </a:graphicData>
                  </a:graphic>
                </wp:inline>
              </w:drawing>
            </w:r>
          </w:p>
          <w:p w:rsidR="00A50715" w:rsidRDefault="006A60F1">
            <w:pPr>
              <w:pStyle w:val="ImageCaption"/>
              <w:spacing w:before="200"/>
            </w:pPr>
            <w:r>
              <w:rPr>
                <w:rFonts w:ascii="Arial" w:hAnsi="Arial"/>
                <w:b/>
                <w:color w:val="FFFFFF"/>
                <w:sz w:val="20"/>
              </w:rPr>
              <w:t>Figure 5: Applications are classified into four categories based on their authentication modernization path. Class 3 (OIDC/Token) is the goal for all new work.</w:t>
            </w:r>
          </w:p>
        </w:tc>
        <w:bookmarkEnd w:id="50"/>
      </w:tr>
    </w:tbl>
    <w:p w:rsidR="00A50715" w:rsidRDefault="006A60F1">
      <w:pPr>
        <w:pStyle w:val="Heading2"/>
      </w:pPr>
      <w:bookmarkStart w:id="51" w:name="application-authentication-classes"/>
      <w:bookmarkStart w:id="52" w:name="_Toc233818296"/>
      <w:r>
        <w:t>7.1 Application Authentication Classes</w:t>
      </w:r>
      <w:bookmarkEnd w:id="52"/>
    </w:p>
    <w:p w:rsidR="00A50715" w:rsidRDefault="006A60F1">
      <w:pPr>
        <w:pStyle w:val="FirstParagraph"/>
      </w:pPr>
      <w:r>
        <w:t>Applications that connect to SQL Server are classified into four categories based on their ability to use modern authentication:</w:t>
      </w:r>
    </w:p>
    <w:p w:rsidR="00A50715" w:rsidRDefault="006A60F1">
      <w:pPr>
        <w:pStyle w:val="BodyText"/>
      </w:pPr>
      <w:r>
        <w:rPr>
          <w:b/>
          <w:bCs/>
        </w:rPr>
        <w:t>Class 3 — OIDC/Token (Preferred).</w:t>
      </w:r>
      <w:r>
        <w:t xml:space="preserve"> The application uses the Azure Identity SDK and </w:t>
      </w:r>
      <w:r>
        <w:rPr>
          <w:rStyle w:val="VerbatimChar"/>
        </w:rPr>
        <w:t>DefaultAzureCredential</w:t>
      </w:r>
      <w:r>
        <w:t xml:space="preserve"> or a </w:t>
      </w:r>
      <w:r>
        <w:rPr>
          <w:rStyle w:val="VerbatimChar"/>
        </w:rPr>
        <w:t>ManagedIdentityCredential</w:t>
      </w:r>
      <w:r>
        <w:t xml:space="preserve">. The connection string specifies </w:t>
      </w:r>
      <w:r>
        <w:rPr>
          <w:rStyle w:val="VerbatimChar"/>
        </w:rPr>
        <w:t>Authentication=Active Directory Default</w:t>
      </w:r>
      <w:r>
        <w:t>. No stored credential. Entra ID is the primary IdP. This is the target class for all new development and the migration goal for existing applications that can be modified.</w:t>
      </w:r>
    </w:p>
    <w:p w:rsidR="00A50715" w:rsidRDefault="006A60F1">
      <w:pPr>
        <w:pStyle w:val="BodyText"/>
      </w:pPr>
      <w:r>
        <w:rPr>
          <w:b/>
          <w:bCs/>
        </w:rPr>
        <w:t>Class 2 — SAML Federation (Acceptable).</w:t>
      </w:r>
      <w:r>
        <w:t xml:space="preserve"> </w:t>
      </w:r>
      <w:r>
        <w:t>The application uses SAML authentication federated through Entra ID. Entra ID is the IdP; the application remains SAML-aware. The SQL connection is made under a federated identity rather than a directly-issued token. This is acceptable for applications that cannot be modified to use the Azure Identity SDK but are otherwise functional.</w:t>
      </w:r>
    </w:p>
    <w:p w:rsidR="00A50715" w:rsidRDefault="006A60F1">
      <w:pPr>
        <w:pStyle w:val="BodyText"/>
      </w:pPr>
      <w:r>
        <w:rPr>
          <w:b/>
          <w:bCs/>
        </w:rPr>
        <w:t>Class 1 — Application Proxy (Constrained).</w:t>
      </w:r>
      <w:r>
        <w:t xml:space="preserve"> </w:t>
      </w:r>
      <w:r>
        <w:t>The application cannot have its authentication modified. An Azure AD Application Proxy or equivalent reverse proxy provides an Entra-authenticated front-end while the application continues to use its internal authentication mechanism to connect to SQL Server. This is a constrained posture — the SQL connection may still use a service account credential — but the user-facing authentication is modernized.</w:t>
      </w:r>
    </w:p>
    <w:p w:rsidR="00A50715" w:rsidRDefault="006A60F1">
      <w:pPr>
        <w:pStyle w:val="BodyText"/>
      </w:pPr>
      <w:r>
        <w:rPr>
          <w:b/>
          <w:bCs/>
        </w:rPr>
        <w:t>Class 4 — Domain Services (Last Resort).</w:t>
      </w:r>
      <w:r>
        <w:t xml:space="preserve"> </w:t>
      </w:r>
      <w:r>
        <w:t>The application requires AD for authentication and cannot use any of the above approaches. Azure AD Domain Services preserves the AD dependency in a managed form. This is the last resort — it preserves the AD dependency that the program is trying to eliminate. No new applications should be assigned Class 4.</w:t>
      </w:r>
    </w:p>
    <w:p w:rsidR="00A50715" w:rsidRDefault="006A60F1">
      <w:pPr>
        <w:pStyle w:val="Heading2"/>
      </w:pPr>
      <w:bookmarkStart w:id="53" w:name="connection-string-transformation"/>
      <w:bookmarkStart w:id="54" w:name="_Toc233818297"/>
      <w:bookmarkEnd w:id="51"/>
      <w:r>
        <w:t>7.2 Connection String Transformation</w:t>
      </w:r>
      <w:bookmarkEnd w:id="54"/>
    </w:p>
    <w:p w:rsidR="00A50715" w:rsidRDefault="006A60F1">
      <w:pPr>
        <w:pStyle w:val="FirstParagraph"/>
      </w:pPr>
      <w:r>
        <w:t>The most common transformation in the application chain is connection string modification from Windows Integrated Authentication to Entra Default authentication:</w:t>
      </w:r>
    </w:p>
    <w:p w:rsidR="00A50715" w:rsidRDefault="006A60F1">
      <w:pPr>
        <w:pStyle w:val="BodyText"/>
      </w:pPr>
      <w:r>
        <w:rPr>
          <w:b/>
          <w:bCs/>
        </w:rPr>
        <w:t>Before:</w:t>
      </w:r>
    </w:p>
    <w:p w:rsidR="00A50715" w:rsidRDefault="006A60F1">
      <w:pPr>
        <w:pStyle w:val="SourceCode"/>
      </w:pPr>
      <w:r>
        <w:rPr>
          <w:rStyle w:val="VerbatimChar"/>
        </w:rPr>
        <w:t>Server=sql01.agency.gov;Database=ApplicationDB;Integrated Security=SSPI;</w:t>
      </w:r>
    </w:p>
    <w:p w:rsidR="00A50715" w:rsidRDefault="006A60F1">
      <w:pPr>
        <w:pStyle w:val="FirstParagraph"/>
      </w:pPr>
      <w:r>
        <w:rPr>
          <w:b/>
          <w:bCs/>
        </w:rPr>
        <w:t>After:</w:t>
      </w:r>
    </w:p>
    <w:p w:rsidR="00A50715" w:rsidRDefault="006A60F1">
      <w:pPr>
        <w:pStyle w:val="SourceCode"/>
      </w:pPr>
      <w:r>
        <w:rPr>
          <w:rStyle w:val="VerbatimChar"/>
        </w:rPr>
        <w:t>Server=sql01.database.usgovcloudapi.net;Database=ApplicationDB;Authentication=Active Directory Default;</w:t>
      </w:r>
    </w:p>
    <w:p w:rsidR="00A50715" w:rsidRDefault="006A60F1">
      <w:pPr>
        <w:pStyle w:val="FirstParagraph"/>
      </w:pPr>
      <w:r>
        <w:t xml:space="preserve">The </w:t>
      </w:r>
      <w:r>
        <w:rPr>
          <w:rStyle w:val="VerbatimChar"/>
        </w:rPr>
        <w:t>Authentication=Active Directory Default</w:t>
      </w:r>
      <w:r>
        <w:t xml:space="preserve"> directive instructs the SQL client library to acquire an access token from the available managed identity, environment credential, or interactive login — whichever is available in the execution context — and present it to SQL Server as the authentication credential.</w:t>
      </w:r>
    </w:p>
    <w:p w:rsidR="00A50715" w:rsidRDefault="006A60F1">
      <w:pPr>
        <w:pStyle w:val="BodyText"/>
      </w:pPr>
      <w:r>
        <w:t>For applications running as Azure resources (App Service, Azure Functions, Container Apps), the available credential is the application’s Managed Identity. For applications running on Arc-enrolled servers, the available credential is the server’s Managed Identity. No stored credential is required.</w:t>
      </w:r>
    </w:p>
    <w:p w:rsidR="00A50715" w:rsidRDefault="006A60F1">
      <w:pPr>
        <w:pStyle w:val="Heading2"/>
      </w:pPr>
      <w:bookmarkStart w:id="55" w:name="linked-server-migration"/>
      <w:bookmarkStart w:id="56" w:name="_Toc233818298"/>
      <w:bookmarkEnd w:id="53"/>
      <w:r>
        <w:t>7.3 Linked Server Migration</w:t>
      </w:r>
      <w:bookmarkEnd w:id="56"/>
    </w:p>
    <w:p w:rsidR="00A50715" w:rsidRDefault="006A60F1">
      <w:pPr>
        <w:pStyle w:val="FirstParagraph"/>
      </w:pPr>
      <w:r>
        <w:t xml:space="preserve">Linked servers that pass authentication credentials from the calling context are a significant risk. The </w:t>
      </w:r>
      <w:r>
        <w:rPr>
          <w:rStyle w:val="VerbatimChar"/>
        </w:rPr>
        <w:t>EXECUTE AS</w:t>
      </w:r>
      <w:r>
        <w:t xml:space="preserve"> or </w:t>
      </w:r>
      <w:r>
        <w:rPr>
          <w:rStyle w:val="VerbatimChar"/>
        </w:rPr>
        <w:t>SELF</w:t>
      </w:r>
      <w:r>
        <w:t xml:space="preserve"> </w:t>
      </w:r>
      <w:r>
        <w:t>security context options used in linked server definitions determine whether the calling credential is passed through. In a post-migration posture:</w:t>
      </w:r>
    </w:p>
    <w:p w:rsidR="00A50715" w:rsidRDefault="006A60F1">
      <w:pPr>
        <w:pStyle w:val="Compact"/>
        <w:numPr>
          <w:ilvl w:val="0"/>
          <w:numId w:val="7"/>
        </w:numPr>
      </w:pPr>
      <w:r>
        <w:t>Linked servers should authenticate using a dedicated service principal or Managed Identity with minimum necessary permissions.</w:t>
      </w:r>
    </w:p>
    <w:p w:rsidR="00A50715" w:rsidRDefault="006A60F1">
      <w:pPr>
        <w:pStyle w:val="Compact"/>
        <w:numPr>
          <w:ilvl w:val="0"/>
          <w:numId w:val="7"/>
        </w:numPr>
      </w:pPr>
      <w:r>
        <w:t xml:space="preserve">The </w:t>
      </w:r>
      <w:r>
        <w:rPr>
          <w:rStyle w:val="VerbatimChar"/>
        </w:rPr>
        <w:t>SELF</w:t>
      </w:r>
      <w:r>
        <w:t xml:space="preserve"> passthrough option should be disabled in most cases — it passes whatever credential the calling query used, which may be an NTLM credential.</w:t>
      </w:r>
    </w:p>
    <w:p w:rsidR="00A50715" w:rsidRDefault="006A60F1">
      <w:pPr>
        <w:pStyle w:val="Compact"/>
        <w:numPr>
          <w:ilvl w:val="0"/>
          <w:numId w:val="7"/>
        </w:numPr>
      </w:pPr>
      <w:r>
        <w:t>Linked servers to non-SQL systems (Oracle, PostgreSQL, OData) are audited for credential storage in the linked server definition.</w:t>
      </w:r>
    </w:p>
    <w:p w:rsidR="00A50715" w:rsidRDefault="006A60F1">
      <w:pPr>
        <w:pStyle w:val="Heading1"/>
      </w:pPr>
      <w:bookmarkStart w:id="57" w:name="the-transformed-posture"/>
      <w:bookmarkStart w:id="58" w:name="_Toc233818299"/>
      <w:bookmarkEnd w:id="48"/>
      <w:bookmarkEnd w:id="55"/>
      <w:r>
        <w:t>8. The Transformed Posture</w:t>
      </w:r>
      <w:bookmarkEnd w:id="58"/>
    </w:p>
    <w:p w:rsidR="00A50715" w:rsidRDefault="006A60F1">
      <w:pPr>
        <w:pStyle w:val="FirstParagraph"/>
      </w:pPr>
      <w:r>
        <w:t>After a complete migration, the SQL Server authentication posture looks fundamentally different from the inherited state:</w:t>
      </w:r>
    </w:p>
    <w:tbl>
      <w:tblPr>
        <w:tblStyle w:val="Table"/>
        <w:tblW w:w="5000" w:type="pct"/>
        <w:tblLayout w:type="fixed"/>
        <w:tblLook w:val="0020" w:firstRow="1" w:lastRow="0" w:firstColumn="0" w:lastColumn="0" w:noHBand="0" w:noVBand="0"/>
      </w:tblPr>
      <w:tblGrid>
        <w:gridCol w:w="3192"/>
        <w:gridCol w:w="3192"/>
        <w:gridCol w:w="3192"/>
      </w:tblGrid>
      <w:tr w:rsidR="00A50715" w:rsidTr="00A50715">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4" w:space="0" w:color="C8D0DC"/>
              <w:left w:val="single" w:sz="4" w:space="0" w:color="C8D0DC"/>
              <w:bottom w:val="single" w:sz="4" w:space="0" w:color="C8D0DC"/>
              <w:right w:val="single" w:sz="4" w:space="0" w:color="C8D0DC"/>
            </w:tcBorders>
            <w:shd w:val="clear" w:color="auto" w:fill="1F3864"/>
          </w:tcPr>
          <w:p w:rsidR="00A50715" w:rsidRDefault="006A60F1">
            <w:pPr>
              <w:pStyle w:val="Compact"/>
            </w:pPr>
            <w:r>
              <w:rPr>
                <w:rFonts w:ascii="Arial" w:hAnsi="Arial"/>
                <w:b/>
                <w:color w:val="FFFFFF"/>
                <w:sz w:val="20"/>
              </w:rPr>
              <w:t>Authentication Surface</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rsidR="00A50715" w:rsidRDefault="006A60F1">
            <w:pPr>
              <w:pStyle w:val="Compact"/>
            </w:pPr>
            <w:r>
              <w:rPr>
                <w:rFonts w:ascii="Arial" w:hAnsi="Arial"/>
                <w:b/>
                <w:color w:val="FFFFFF"/>
                <w:sz w:val="20"/>
              </w:rPr>
              <w:t>Before</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rsidR="00A50715" w:rsidRDefault="006A60F1">
            <w:pPr>
              <w:pStyle w:val="Compact"/>
            </w:pPr>
            <w:r>
              <w:rPr>
                <w:rFonts w:ascii="Arial" w:hAnsi="Arial"/>
                <w:b/>
                <w:color w:val="FFFFFF"/>
                <w:sz w:val="20"/>
              </w:rPr>
              <w:t>After</w:t>
            </w:r>
          </w:p>
        </w:tc>
      </w:tr>
      <w:tr w:rsidR="00A50715" w:rsidTr="00A50715">
        <w:tc>
          <w:tcPr>
            <w:tcW w:w="2640" w:type="dxa"/>
            <w:tcBorders>
              <w:top w:val="single" w:sz="4" w:space="0" w:color="C8D0DC"/>
              <w:left w:val="single" w:sz="4" w:space="0" w:color="C8D0DC"/>
              <w:bottom w:val="single" w:sz="4" w:space="0" w:color="C8D0DC"/>
              <w:right w:val="single" w:sz="4" w:space="0" w:color="C8D0DC"/>
            </w:tcBorders>
            <w:shd w:val="clear" w:color="auto" w:fill="F2F2F2"/>
          </w:tcPr>
          <w:p w:rsidR="00A50715" w:rsidRDefault="006A60F1">
            <w:pPr>
              <w:pStyle w:val="Compact"/>
            </w:pPr>
            <w:r>
              <w:rPr>
                <w:rFonts w:ascii="Arial" w:hAnsi="Arial"/>
                <w:color w:val="1F3864"/>
                <w:sz w:val="20"/>
              </w:rPr>
              <w:t>User database connections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rsidR="00A50715" w:rsidRDefault="006A60F1">
            <w:pPr>
              <w:pStyle w:val="Compact"/>
            </w:pPr>
            <w:r>
              <w:rPr>
                <w:rFonts w:ascii="Arial" w:hAnsi="Arial"/>
                <w:color w:val="1F3864"/>
                <w:sz w:val="20"/>
              </w:rPr>
              <w:t>Windows Integrated (Kerberos/NTLM)</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rsidR="00A50715" w:rsidRDefault="006A60F1">
            <w:pPr>
              <w:pStyle w:val="Compact"/>
            </w:pPr>
            <w:r>
              <w:rPr>
                <w:rFonts w:ascii="Arial" w:hAnsi="Arial"/>
                <w:color w:val="1F3864"/>
                <w:sz w:val="20"/>
              </w:rPr>
              <w:t>Entra token via Azure Identity SDK</w:t>
            </w:r>
          </w:p>
        </w:tc>
      </w:tr>
      <w:tr w:rsidR="00A50715" w:rsidTr="00A50715">
        <w:tc>
          <w:tcPr>
            <w:tcW w:w="2640" w:type="dxa"/>
            <w:tcBorders>
              <w:top w:val="single" w:sz="4" w:space="0" w:color="C8D0DC"/>
              <w:left w:val="single" w:sz="4" w:space="0" w:color="C8D0DC"/>
              <w:bottom w:val="single" w:sz="4" w:space="0" w:color="C8D0DC"/>
              <w:right w:val="single" w:sz="4" w:space="0" w:color="C8D0DC"/>
            </w:tcBorders>
            <w:shd w:val="clear" w:color="auto" w:fill="FFFFFF"/>
          </w:tcPr>
          <w:p w:rsidR="00A50715" w:rsidRDefault="006A60F1">
            <w:pPr>
              <w:pStyle w:val="Compact"/>
            </w:pPr>
            <w:r>
              <w:rPr>
                <w:rFonts w:ascii="Arial" w:hAnsi="Arial"/>
                <w:color w:val="1F3864"/>
                <w:sz w:val="20"/>
              </w:rPr>
              <w:t>Service account connections</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rsidR="00A50715" w:rsidRDefault="006A60F1">
            <w:pPr>
              <w:pStyle w:val="Compact"/>
            </w:pPr>
            <w:r>
              <w:rPr>
                <w:rFonts w:ascii="Arial" w:hAnsi="Arial"/>
                <w:color w:val="1F3864"/>
                <w:sz w:val="20"/>
              </w:rPr>
              <w:t>SQL login or Windows service account</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rsidR="00A50715" w:rsidRDefault="006A60F1">
            <w:pPr>
              <w:pStyle w:val="Compact"/>
            </w:pPr>
            <w:r>
              <w:rPr>
                <w:rFonts w:ascii="Arial" w:hAnsi="Arial"/>
                <w:color w:val="1F3864"/>
                <w:sz w:val="20"/>
              </w:rPr>
              <w:t>Managed Identity (credential-free)</w:t>
            </w:r>
          </w:p>
        </w:tc>
      </w:tr>
      <w:tr w:rsidR="00A50715" w:rsidTr="00A50715">
        <w:tc>
          <w:tcPr>
            <w:tcW w:w="2640" w:type="dxa"/>
            <w:tcBorders>
              <w:top w:val="single" w:sz="4" w:space="0" w:color="C8D0DC"/>
              <w:left w:val="single" w:sz="4" w:space="0" w:color="C8D0DC"/>
              <w:bottom w:val="single" w:sz="4" w:space="0" w:color="C8D0DC"/>
              <w:right w:val="single" w:sz="4" w:space="0" w:color="C8D0DC"/>
            </w:tcBorders>
            <w:shd w:val="clear" w:color="auto" w:fill="F2F2F2"/>
          </w:tcPr>
          <w:p w:rsidR="00A50715" w:rsidRDefault="006A60F1">
            <w:pPr>
              <w:pStyle w:val="Compact"/>
            </w:pPr>
            <w:r>
              <w:rPr>
                <w:rFonts w:ascii="Arial" w:hAnsi="Arial"/>
                <w:color w:val="1F3864"/>
                <w:sz w:val="20"/>
              </w:rPr>
              <w:t>DBA logins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rsidR="00A50715" w:rsidRDefault="006A60F1">
            <w:pPr>
              <w:pStyle w:val="Compact"/>
            </w:pPr>
            <w:r>
              <w:rPr>
                <w:rFonts w:ascii="Arial" w:hAnsi="Arial"/>
                <w:color w:val="1F3864"/>
                <w:sz w:val="20"/>
              </w:rPr>
              <w:t>Windows admin accounts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rsidR="00A50715" w:rsidRDefault="006A60F1">
            <w:pPr>
              <w:pStyle w:val="Compact"/>
            </w:pPr>
            <w:r>
              <w:rPr>
                <w:rFonts w:ascii="Arial" w:hAnsi="Arial"/>
                <w:color w:val="1F3864"/>
                <w:sz w:val="20"/>
              </w:rPr>
              <w:t>Entra privileged accounts + MFA</w:t>
            </w:r>
          </w:p>
        </w:tc>
      </w:tr>
      <w:tr w:rsidR="00A50715" w:rsidTr="00A50715">
        <w:tc>
          <w:tcPr>
            <w:tcW w:w="2640" w:type="dxa"/>
            <w:tcBorders>
              <w:top w:val="single" w:sz="4" w:space="0" w:color="C8D0DC"/>
              <w:left w:val="single" w:sz="4" w:space="0" w:color="C8D0DC"/>
              <w:bottom w:val="single" w:sz="4" w:space="0" w:color="C8D0DC"/>
              <w:right w:val="single" w:sz="4" w:space="0" w:color="C8D0DC"/>
            </w:tcBorders>
            <w:shd w:val="clear" w:color="auto" w:fill="FFFFFF"/>
          </w:tcPr>
          <w:p w:rsidR="00A50715" w:rsidRDefault="006A60F1">
            <w:pPr>
              <w:pStyle w:val="Compact"/>
            </w:pPr>
            <w:r>
              <w:rPr>
                <w:rFonts w:ascii="Arial" w:hAnsi="Arial"/>
                <w:color w:val="1F3864"/>
                <w:sz w:val="20"/>
              </w:rPr>
              <w:t>sa account</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rsidR="00A50715" w:rsidRDefault="006A60F1">
            <w:pPr>
              <w:pStyle w:val="Compact"/>
            </w:pPr>
            <w:r>
              <w:rPr>
                <w:rFonts w:ascii="Arial" w:hAnsi="Arial"/>
                <w:color w:val="1F3864"/>
                <w:sz w:val="20"/>
              </w:rPr>
              <w:t>Enabled (often with default password)</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rsidR="00A50715" w:rsidRDefault="006A60F1">
            <w:pPr>
              <w:pStyle w:val="Compact"/>
            </w:pPr>
            <w:r>
              <w:rPr>
                <w:rFonts w:ascii="Arial" w:hAnsi="Arial"/>
                <w:color w:val="1F3864"/>
                <w:sz w:val="20"/>
              </w:rPr>
              <w:t>Disabled and renamed</w:t>
            </w:r>
          </w:p>
        </w:tc>
      </w:tr>
      <w:tr w:rsidR="00A50715" w:rsidTr="00A50715">
        <w:tc>
          <w:tcPr>
            <w:tcW w:w="2640" w:type="dxa"/>
            <w:tcBorders>
              <w:top w:val="single" w:sz="4" w:space="0" w:color="C8D0DC"/>
              <w:left w:val="single" w:sz="4" w:space="0" w:color="C8D0DC"/>
              <w:bottom w:val="single" w:sz="4" w:space="0" w:color="C8D0DC"/>
              <w:right w:val="single" w:sz="4" w:space="0" w:color="C8D0DC"/>
            </w:tcBorders>
            <w:shd w:val="clear" w:color="auto" w:fill="F2F2F2"/>
          </w:tcPr>
          <w:p w:rsidR="00A50715" w:rsidRDefault="006A60F1">
            <w:pPr>
              <w:pStyle w:val="Compact"/>
            </w:pPr>
            <w:r>
              <w:rPr>
                <w:rFonts w:ascii="Arial" w:hAnsi="Arial"/>
                <w:color w:val="1F3864"/>
                <w:sz w:val="20"/>
              </w:rPr>
              <w:t>Application connections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rsidR="00A50715" w:rsidRDefault="006A60F1">
            <w:pPr>
              <w:pStyle w:val="Compact"/>
            </w:pPr>
            <w:r>
              <w:rPr>
                <w:rFonts w:ascii="Arial" w:hAnsi="Arial"/>
                <w:color w:val="1F3864"/>
                <w:sz w:val="20"/>
              </w:rPr>
              <w:t>Integrated Security=SSPI</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rsidR="00A50715" w:rsidRDefault="006A60F1">
            <w:pPr>
              <w:pStyle w:val="Compact"/>
            </w:pPr>
            <w:r>
              <w:rPr>
                <w:rFonts w:ascii="Arial" w:hAnsi="Arial"/>
                <w:color w:val="1F3864"/>
                <w:sz w:val="20"/>
              </w:rPr>
              <w:t>Authentication=Active Directory Default</w:t>
            </w:r>
          </w:p>
        </w:tc>
      </w:tr>
      <w:tr w:rsidR="00A50715" w:rsidTr="00A50715">
        <w:tc>
          <w:tcPr>
            <w:tcW w:w="2640" w:type="dxa"/>
            <w:tcBorders>
              <w:top w:val="single" w:sz="4" w:space="0" w:color="C8D0DC"/>
              <w:left w:val="single" w:sz="4" w:space="0" w:color="C8D0DC"/>
              <w:bottom w:val="single" w:sz="4" w:space="0" w:color="C8D0DC"/>
              <w:right w:val="single" w:sz="4" w:space="0" w:color="C8D0DC"/>
            </w:tcBorders>
            <w:shd w:val="clear" w:color="auto" w:fill="FFFFFF"/>
          </w:tcPr>
          <w:p w:rsidR="00A50715" w:rsidRDefault="006A60F1">
            <w:pPr>
              <w:pStyle w:val="Compact"/>
            </w:pPr>
            <w:r>
              <w:rPr>
                <w:rFonts w:ascii="Arial" w:hAnsi="Arial"/>
                <w:color w:val="1F3864"/>
                <w:sz w:val="20"/>
              </w:rPr>
              <w:t>Linked servers</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rsidR="00A50715" w:rsidRDefault="006A60F1">
            <w:pPr>
              <w:pStyle w:val="Compact"/>
            </w:pPr>
            <w:r>
              <w:rPr>
                <w:rFonts w:ascii="Arial" w:hAnsi="Arial"/>
                <w:color w:val="1F3864"/>
                <w:sz w:val="20"/>
              </w:rPr>
              <w:t>Passthrough or stored credential</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rsidR="00A50715" w:rsidRDefault="006A60F1">
            <w:pPr>
              <w:pStyle w:val="Compact"/>
            </w:pPr>
            <w:r>
              <w:rPr>
                <w:rFonts w:ascii="Arial" w:hAnsi="Arial"/>
                <w:color w:val="1F3864"/>
                <w:sz w:val="20"/>
              </w:rPr>
              <w:t>Service principal or Managed Identity</w:t>
            </w:r>
          </w:p>
        </w:tc>
      </w:tr>
      <w:tr w:rsidR="00A50715" w:rsidTr="00A50715">
        <w:tc>
          <w:tcPr>
            <w:tcW w:w="2640" w:type="dxa"/>
            <w:tcBorders>
              <w:top w:val="single" w:sz="4" w:space="0" w:color="C8D0DC"/>
              <w:left w:val="single" w:sz="4" w:space="0" w:color="C8D0DC"/>
              <w:bottom w:val="single" w:sz="4" w:space="0" w:color="C8D0DC"/>
              <w:right w:val="single" w:sz="4" w:space="0" w:color="C8D0DC"/>
            </w:tcBorders>
            <w:shd w:val="clear" w:color="auto" w:fill="F2F2F2"/>
          </w:tcPr>
          <w:p w:rsidR="00A50715" w:rsidRDefault="006A60F1">
            <w:pPr>
              <w:pStyle w:val="Compact"/>
            </w:pPr>
            <w:r>
              <w:rPr>
                <w:rFonts w:ascii="Arial" w:hAnsi="Arial"/>
                <w:color w:val="1F3864"/>
                <w:sz w:val="20"/>
              </w:rPr>
              <w:t>Group authorization</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rsidR="00A50715" w:rsidRDefault="006A60F1">
            <w:pPr>
              <w:pStyle w:val="Compact"/>
            </w:pPr>
            <w:r>
              <w:rPr>
                <w:rFonts w:ascii="Arial" w:hAnsi="Arial"/>
                <w:color w:val="1F3864"/>
                <w:sz w:val="20"/>
              </w:rPr>
              <w:t>AD security groups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rsidR="00A50715" w:rsidRDefault="006A60F1">
            <w:pPr>
              <w:pStyle w:val="Compact"/>
            </w:pPr>
            <w:r>
              <w:rPr>
                <w:rFonts w:ascii="Arial" w:hAnsi="Arial"/>
                <w:color w:val="1F3864"/>
                <w:sz w:val="20"/>
              </w:rPr>
              <w:t>Entra dynamic groups (HR-derived)</w:t>
            </w:r>
          </w:p>
        </w:tc>
      </w:tr>
      <w:tr w:rsidR="00A50715" w:rsidTr="00A50715">
        <w:tc>
          <w:tcPr>
            <w:tcW w:w="2640" w:type="dxa"/>
            <w:tcBorders>
              <w:top w:val="single" w:sz="4" w:space="0" w:color="C8D0DC"/>
              <w:left w:val="single" w:sz="4" w:space="0" w:color="C8D0DC"/>
              <w:bottom w:val="single" w:sz="4" w:space="0" w:color="C8D0DC"/>
              <w:right w:val="single" w:sz="4" w:space="0" w:color="C8D0DC"/>
            </w:tcBorders>
            <w:shd w:val="clear" w:color="auto" w:fill="FFFFFF"/>
          </w:tcPr>
          <w:p w:rsidR="00A50715" w:rsidRDefault="006A60F1">
            <w:pPr>
              <w:pStyle w:val="Compact"/>
            </w:pPr>
            <w:r>
              <w:rPr>
                <w:rFonts w:ascii="Arial" w:hAnsi="Arial"/>
                <w:color w:val="1F3864"/>
                <w:sz w:val="20"/>
              </w:rPr>
              <w:t>MFA enforcement</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rsidR="00A50715" w:rsidRDefault="006A60F1">
            <w:pPr>
              <w:pStyle w:val="Compact"/>
            </w:pPr>
            <w:r>
              <w:rPr>
                <w:rFonts w:ascii="Arial" w:hAnsi="Arial"/>
                <w:color w:val="1F3864"/>
                <w:sz w:val="20"/>
              </w:rPr>
              <w:t>None</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rsidR="00A50715" w:rsidRDefault="006A60F1">
            <w:pPr>
              <w:pStyle w:val="Compact"/>
            </w:pPr>
            <w:r>
              <w:rPr>
                <w:rFonts w:ascii="Arial" w:hAnsi="Arial"/>
                <w:color w:val="1F3864"/>
                <w:sz w:val="20"/>
              </w:rPr>
              <w:t>Conditional Access on all privileged logins</w:t>
            </w:r>
          </w:p>
        </w:tc>
      </w:tr>
      <w:tr w:rsidR="00A50715" w:rsidTr="00A50715">
        <w:tc>
          <w:tcPr>
            <w:tcW w:w="2640" w:type="dxa"/>
            <w:tcBorders>
              <w:top w:val="single" w:sz="4" w:space="0" w:color="C8D0DC"/>
              <w:left w:val="single" w:sz="4" w:space="0" w:color="C8D0DC"/>
              <w:bottom w:val="single" w:sz="4" w:space="0" w:color="C8D0DC"/>
              <w:right w:val="single" w:sz="4" w:space="0" w:color="C8D0DC"/>
            </w:tcBorders>
            <w:shd w:val="clear" w:color="auto" w:fill="F2F2F2"/>
          </w:tcPr>
          <w:p w:rsidR="00A50715" w:rsidRDefault="006A60F1">
            <w:pPr>
              <w:pStyle w:val="Compact"/>
            </w:pPr>
            <w:r>
              <w:rPr>
                <w:rFonts w:ascii="Arial" w:hAnsi="Arial"/>
                <w:color w:val="1F3864"/>
                <w:sz w:val="20"/>
              </w:rPr>
              <w:t>Access lifecycle</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rsidR="00A50715" w:rsidRDefault="006A60F1">
            <w:pPr>
              <w:pStyle w:val="Compact"/>
            </w:pPr>
            <w:r>
              <w:rPr>
                <w:rFonts w:ascii="Arial" w:hAnsi="Arial"/>
                <w:color w:val="1F3864"/>
                <w:sz w:val="20"/>
              </w:rPr>
              <w:t>Manual DBA provisioning</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rsidR="00A50715" w:rsidRDefault="006A60F1">
            <w:pPr>
              <w:pStyle w:val="Compact"/>
            </w:pPr>
            <w:r>
              <w:rPr>
                <w:rFonts w:ascii="Arial" w:hAnsi="Arial"/>
                <w:color w:val="1F3864"/>
                <w:sz w:val="20"/>
              </w:rPr>
              <w:t>HR attribute-driven dynamic group</w:t>
            </w:r>
          </w:p>
        </w:tc>
      </w:tr>
      <w:tr w:rsidR="00A50715" w:rsidTr="00A50715">
        <w:tc>
          <w:tcPr>
            <w:tcW w:w="2640" w:type="dxa"/>
            <w:tcBorders>
              <w:top w:val="single" w:sz="4" w:space="0" w:color="C8D0DC"/>
              <w:left w:val="single" w:sz="4" w:space="0" w:color="C8D0DC"/>
              <w:bottom w:val="single" w:sz="4" w:space="0" w:color="C8D0DC"/>
              <w:right w:val="single" w:sz="4" w:space="0" w:color="C8D0DC"/>
            </w:tcBorders>
            <w:shd w:val="clear" w:color="auto" w:fill="FFFFFF"/>
          </w:tcPr>
          <w:p w:rsidR="00A50715" w:rsidRDefault="006A60F1">
            <w:pPr>
              <w:pStyle w:val="Compact"/>
            </w:pPr>
            <w:r>
              <w:rPr>
                <w:rFonts w:ascii="Arial" w:hAnsi="Arial"/>
                <w:color w:val="1F3864"/>
                <w:sz w:val="20"/>
              </w:rPr>
              <w:t>NTLM exposure</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rsidR="00A50715" w:rsidRDefault="006A60F1">
            <w:pPr>
              <w:pStyle w:val="Compact"/>
            </w:pPr>
            <w:r>
              <w:rPr>
                <w:rFonts w:ascii="Arial" w:hAnsi="Arial"/>
                <w:color w:val="1F3864"/>
                <w:sz w:val="20"/>
              </w:rPr>
              <w:t>Ubiquitous, silent</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rsidR="00A50715" w:rsidRDefault="006A60F1">
            <w:pPr>
              <w:pStyle w:val="Compact"/>
            </w:pPr>
            <w:r>
              <w:rPr>
                <w:rFonts w:ascii="Arial" w:hAnsi="Arial"/>
                <w:color w:val="1F3864"/>
                <w:sz w:val="20"/>
              </w:rPr>
              <w:t>Zero NTLM (domain-wide block)</w:t>
            </w:r>
          </w:p>
        </w:tc>
      </w:tr>
    </w:tbl>
    <w:p w:rsidR="00A50715" w:rsidRDefault="006A60F1">
      <w:pPr>
        <w:pStyle w:val="Heading1"/>
      </w:pPr>
      <w:bookmarkStart w:id="59" w:name="X7c375571acb5b657b96618cf2d2b2b43503bddb"/>
      <w:bookmarkStart w:id="60" w:name="_Toc233818300"/>
      <w:bookmarkEnd w:id="57"/>
      <w:r>
        <w:t>9. Certificate Authority and PKI Dependencies</w:t>
      </w:r>
      <w:bookmarkEnd w:id="60"/>
    </w:p>
    <w:p w:rsidR="00A50715" w:rsidRDefault="006A60F1">
      <w:pPr>
        <w:pStyle w:val="FirstParagraph"/>
      </w:pPr>
      <w:r>
        <w:t>SQL Server uses TLS for transport encryption. The TLS certificate chain anchors to a certificate authority. In federal environments this is typically an internal PKI (usually ADCS) or a FedRAMP-authorized certificate service.</w:t>
      </w:r>
    </w:p>
    <w:p w:rsidR="00A50715" w:rsidRDefault="006A60F1">
      <w:pPr>
        <w:pStyle w:val="BodyText"/>
      </w:pPr>
      <w:r>
        <w:t>When Active Directory is retired or domain-unjoined servers are migrated to Entra, the ADCS infrastructure that issued server certificates must be addressed:</w:t>
      </w:r>
    </w:p>
    <w:p w:rsidR="00A50715" w:rsidRDefault="006A60F1">
      <w:pPr>
        <w:pStyle w:val="BodyText"/>
      </w:pPr>
      <w:r>
        <w:rPr>
          <w:b/>
          <w:bCs/>
        </w:rPr>
        <w:t>Certificate renewal.</w:t>
      </w:r>
      <w:r>
        <w:t xml:space="preserve"> Domain-joined ADCS certificate auto-enrollment stops working when the host is domain-unjoined. A replacement enrollment mechanism — DigiCert, GlobalSign, or equivalent FedRAMP-authorized CA, or Azure Private CA — must be in place before the domain is unjoined.</w:t>
      </w:r>
    </w:p>
    <w:p w:rsidR="00A50715" w:rsidRDefault="006A60F1">
      <w:pPr>
        <w:pStyle w:val="BodyText"/>
      </w:pPr>
      <w:r>
        <w:rPr>
          <w:b/>
          <w:bCs/>
        </w:rPr>
        <w:t>SQL Server TLS configuration.</w:t>
      </w:r>
      <w:r>
        <w:t xml:space="preserve"> </w:t>
      </w:r>
      <w:r>
        <w:t>SQL Server reads its TLS certificate from the local certificate store. The migration from ADCS-issued certificates to a new CA requires updating the SQL Server Configuration Manager to reference the new certificate and restarting the SQL Server service.</w:t>
      </w:r>
    </w:p>
    <w:p w:rsidR="00A50715" w:rsidRDefault="006A60F1">
      <w:pPr>
        <w:pStyle w:val="BodyText"/>
      </w:pPr>
      <w:r>
        <w:rPr>
          <w:b/>
          <w:bCs/>
        </w:rPr>
        <w:t>Certificate pinning.</w:t>
      </w:r>
      <w:r>
        <w:t xml:space="preserve"> Some connection strings or ODBC configurations pin to a specific certificate thumbprint. These must be identified in the dependency inventory and updated before the certificate is replaced.</w:t>
      </w:r>
    </w:p>
    <w:p w:rsidR="00A50715" w:rsidRDefault="006A60F1">
      <w:pPr>
        <w:pStyle w:val="BodyText"/>
      </w:pPr>
      <w:r>
        <w:t>The PKI surface is addressed in Part 1 of this series (Landing Zone IPAM/DDI/PKI). The certificate authority decisions made in Part 1 apply directly to the SQL Server certificate migration described here.</w:t>
      </w:r>
    </w:p>
    <w:p w:rsidR="00A50715" w:rsidRDefault="006A60F1">
      <w:pPr>
        <w:pStyle w:val="Heading1"/>
      </w:pPr>
      <w:bookmarkStart w:id="61" w:name="database-platform-decisions"/>
      <w:bookmarkStart w:id="62" w:name="_Toc233818301"/>
      <w:bookmarkEnd w:id="59"/>
      <w:r>
        <w:t>10. Database Platform Decisions</w:t>
      </w:r>
      <w:bookmarkEnd w:id="62"/>
    </w:p>
    <w:p w:rsidR="00A50715" w:rsidRDefault="006A60F1">
      <w:pPr>
        <w:pStyle w:val="FirstParagraph"/>
      </w:pPr>
      <w:r>
        <w:t>The SQL Server modernization program creates a rationalization gate at which the platform decision for each workload is revisited. SQL Server 2022 with Arc Managed Identity is the primary target, but two alternative platforms are worth evaluating:</w:t>
      </w:r>
    </w:p>
    <w:p w:rsidR="00A50715" w:rsidRDefault="006A60F1">
      <w:pPr>
        <w:pStyle w:val="Heading2"/>
      </w:pPr>
      <w:bookmarkStart w:id="63" w:name="postgresql-for-new-workloads"/>
      <w:bookmarkStart w:id="64" w:name="_Toc233818302"/>
      <w:r>
        <w:t>10.1 PostgreSQL for New Workloads</w:t>
      </w:r>
      <w:bookmarkEnd w:id="64"/>
    </w:p>
    <w:p w:rsidR="00A50715" w:rsidRDefault="006A60F1">
      <w:pPr>
        <w:pStyle w:val="FirstParagraph"/>
      </w:pPr>
      <w:r>
        <w:t>PostgreSQL on Azure Database for PostgreSQL — Flexible Server supports Entra authentication natively. For new database workloads with no existing PL/SQL or T-SQL corpus, PostgreSQL avoids the SQL Server licensing cost and provides equivalent Entra authentication posture.</w:t>
      </w:r>
    </w:p>
    <w:p w:rsidR="00A50715" w:rsidRDefault="006A60F1">
      <w:pPr>
        <w:pStyle w:val="BodyText"/>
      </w:pPr>
      <w:r>
        <w:t>For existing workloads, schema migration from SQL Server to PostgreSQL requires the SQL Server Migration Assistant (SSMA) for PostgreSQL and significant testing effort. This is appropriate when the licensing cost savings justify the migration investment — typically when the SQL Server instance is a new deployment or a simple schema with minimal stored procedures.</w:t>
      </w:r>
    </w:p>
    <w:p w:rsidR="00A50715" w:rsidRDefault="006A60F1">
      <w:pPr>
        <w:pStyle w:val="Heading2"/>
      </w:pPr>
      <w:bookmarkStart w:id="65" w:name="azure-sql-managed-instance"/>
      <w:bookmarkStart w:id="66" w:name="_Toc233818303"/>
      <w:bookmarkEnd w:id="63"/>
      <w:r>
        <w:t>10.2 Azure SQL Managed Instance</w:t>
      </w:r>
      <w:bookmarkEnd w:id="66"/>
    </w:p>
    <w:p w:rsidR="00A50715" w:rsidRDefault="006A60F1">
      <w:pPr>
        <w:pStyle w:val="FirstParagraph"/>
      </w:pPr>
      <w:r>
        <w:t>Azure SQL Managed Instance is a fully managed SQL Server deployment in Azure that supports Entra authentication and provides a path to a cloud-native posture without infrastructure management. It is appropriate when the workload can move off on-premises infrastructure entirely and the agency’s cloud strategy supports Azure-native hosting.</w:t>
      </w:r>
    </w:p>
    <w:p w:rsidR="00A50715" w:rsidRDefault="006A60F1">
      <w:pPr>
        <w:pStyle w:val="BodyText"/>
      </w:pPr>
      <w:r>
        <w:t>The authentication migration described in this document applies to Azure SQL Managed Instance identically — Entra logins, Managed Identity connections, and Conditional Access policies work the same way.</w:t>
      </w:r>
    </w:p>
    <w:p w:rsidR="00A50715" w:rsidRDefault="006A60F1">
      <w:pPr>
        <w:pStyle w:val="Heading1"/>
      </w:pPr>
      <w:bookmarkStart w:id="67" w:name="federal-compliance-alignment"/>
      <w:bookmarkStart w:id="68" w:name="_Toc233818304"/>
      <w:bookmarkEnd w:id="61"/>
      <w:bookmarkEnd w:id="65"/>
      <w:r>
        <w:t>11. Federal Compliance Alignment</w:t>
      </w:r>
      <w:bookmarkEnd w:id="68"/>
    </w:p>
    <w:tbl>
      <w:tblPr>
        <w:tblStyle w:val="Table"/>
        <w:tblW w:w="5000" w:type="pct"/>
        <w:tblLayout w:type="fixed"/>
        <w:tblLook w:val="0000" w:firstRow="0" w:lastRow="0" w:firstColumn="0" w:lastColumn="0" w:noHBand="0" w:noVBand="0"/>
      </w:tblPr>
      <w:tblGrid>
        <w:gridCol w:w="9576"/>
      </w:tblGrid>
      <w:tr w:rsidR="00A50715" w:rsidTr="00A50715">
        <w:tc>
          <w:tcPr>
            <w:tcW w:w="7920" w:type="dxa"/>
            <w:tcBorders>
              <w:top w:val="single" w:sz="4" w:space="0" w:color="C8D0DC"/>
              <w:left w:val="single" w:sz="4" w:space="0" w:color="C8D0DC"/>
              <w:bottom w:val="single" w:sz="4" w:space="0" w:color="C8D0DC"/>
              <w:right w:val="single" w:sz="4" w:space="0" w:color="C8D0DC"/>
            </w:tcBorders>
            <w:shd w:val="clear" w:color="auto" w:fill="1F3864"/>
          </w:tcPr>
          <w:p w:rsidR="00A50715" w:rsidRDefault="006A60F1">
            <w:pPr>
              <w:pStyle w:val="Compact"/>
              <w:jc w:val="center"/>
            </w:pPr>
            <w:bookmarkStart w:id="69" w:name="fig-san06"/>
            <w:r>
              <w:rPr>
                <w:rFonts w:ascii="Arial" w:hAnsi="Arial"/>
                <w:b/>
                <w:noProof/>
                <w:color w:val="FFFFFF"/>
                <w:sz w:val="20"/>
              </w:rPr>
              <w:drawing>
                <wp:inline distT="0" distB="0" distL="0" distR="0">
                  <wp:extent cx="6858000" cy="2571750"/>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figs/san-fig-06-fedramp-alignment.png"/>
                          <pic:cNvPicPr>
                            <a:picLocks noChangeAspect="1" noChangeArrowheads="1"/>
                          </pic:cNvPicPr>
                        </pic:nvPicPr>
                        <pic:blipFill>
                          <a:blip r:embed="rId11"/>
                          <a:stretch>
                            <a:fillRect/>
                          </a:stretch>
                        </pic:blipFill>
                        <pic:spPr bwMode="auto">
                          <a:xfrm>
                            <a:off x="0" y="0"/>
                            <a:ext cx="6858000" cy="2571750"/>
                          </a:xfrm>
                          <a:prstGeom prst="rect">
                            <a:avLst/>
                          </a:prstGeom>
                          <a:noFill/>
                          <a:ln w="9525">
                            <a:noFill/>
                            <a:headEnd/>
                            <a:tailEnd/>
                          </a:ln>
                        </pic:spPr>
                      </pic:pic>
                    </a:graphicData>
                  </a:graphic>
                </wp:inline>
              </w:drawing>
            </w:r>
          </w:p>
          <w:p w:rsidR="00A50715" w:rsidRDefault="006A60F1">
            <w:pPr>
              <w:pStyle w:val="ImageCaption"/>
              <w:spacing w:before="200"/>
            </w:pPr>
            <w:r>
              <w:rPr>
                <w:rFonts w:ascii="Arial" w:hAnsi="Arial"/>
                <w:b/>
                <w:color w:val="FFFFFF"/>
                <w:sz w:val="20"/>
              </w:rPr>
              <w:t>Figure 6: Each SQL Server modernization milestone directly closes a federal compliance requirement. The cumulative effect is a posture aligned with FedRAMP 20x, Zero Trust, and NTLM elimination mandates.</w:t>
            </w:r>
          </w:p>
        </w:tc>
        <w:bookmarkEnd w:id="69"/>
      </w:tr>
    </w:tbl>
    <w:p w:rsidR="00A50715" w:rsidRDefault="006A60F1">
      <w:pPr>
        <w:pStyle w:val="Heading2"/>
      </w:pPr>
      <w:bookmarkStart w:id="70" w:name="nist-sp-800-53-rev-5-control-closure"/>
      <w:bookmarkStart w:id="71" w:name="_Toc233818305"/>
      <w:r>
        <w:t>11.1 NIST SP 800-53 Rev 5 Control Closure</w:t>
      </w:r>
      <w:bookmarkEnd w:id="71"/>
    </w:p>
    <w:tbl>
      <w:tblPr>
        <w:tblStyle w:val="Table"/>
        <w:tblW w:w="5000" w:type="pct"/>
        <w:tblLayout w:type="fixed"/>
        <w:tblLook w:val="0020" w:firstRow="1" w:lastRow="0" w:firstColumn="0" w:lastColumn="0" w:noHBand="0" w:noVBand="0"/>
      </w:tblPr>
      <w:tblGrid>
        <w:gridCol w:w="2394"/>
        <w:gridCol w:w="2394"/>
        <w:gridCol w:w="2394"/>
        <w:gridCol w:w="2394"/>
      </w:tblGrid>
      <w:tr w:rsidR="00A50715" w:rsidTr="00A50715">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4" w:space="0" w:color="C8D0DC"/>
              <w:left w:val="single" w:sz="4" w:space="0" w:color="C8D0DC"/>
              <w:bottom w:val="single" w:sz="4" w:space="0" w:color="C8D0DC"/>
              <w:right w:val="single" w:sz="4" w:space="0" w:color="C8D0DC"/>
            </w:tcBorders>
            <w:shd w:val="clear" w:color="auto" w:fill="1F3864"/>
          </w:tcPr>
          <w:p w:rsidR="00A50715" w:rsidRDefault="006A60F1">
            <w:pPr>
              <w:pStyle w:val="Compact"/>
            </w:pPr>
            <w:r>
              <w:rPr>
                <w:rFonts w:ascii="Arial" w:hAnsi="Arial"/>
                <w:b/>
                <w:color w:val="FFFFFF"/>
                <w:sz w:val="20"/>
              </w:rPr>
              <w:t>Control</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rsidR="00A50715" w:rsidRDefault="006A60F1">
            <w:pPr>
              <w:pStyle w:val="Compact"/>
            </w:pPr>
            <w:r>
              <w:rPr>
                <w:rFonts w:ascii="Arial" w:hAnsi="Arial"/>
                <w:b/>
                <w:color w:val="FFFFFF"/>
                <w:sz w:val="20"/>
              </w:rPr>
              <w:t>Control Name</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rsidR="00A50715" w:rsidRDefault="006A60F1">
            <w:pPr>
              <w:pStyle w:val="Compact"/>
            </w:pPr>
            <w:r>
              <w:rPr>
                <w:rFonts w:ascii="Arial" w:hAnsi="Arial"/>
                <w:b/>
                <w:color w:val="FFFFFF"/>
                <w:sz w:val="20"/>
              </w:rPr>
              <w:t>Closed By</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rsidR="00A50715" w:rsidRDefault="006A60F1">
            <w:pPr>
              <w:pStyle w:val="Compact"/>
            </w:pPr>
            <w:r>
              <w:rPr>
                <w:rFonts w:ascii="Arial" w:hAnsi="Arial"/>
                <w:b/>
                <w:color w:val="FFFFFF"/>
                <w:sz w:val="20"/>
              </w:rPr>
              <w:t>How</w:t>
            </w:r>
          </w:p>
        </w:tc>
      </w:tr>
      <w:tr w:rsidR="00A50715" w:rsidTr="00A50715">
        <w:tc>
          <w:tcPr>
            <w:tcW w:w="1980" w:type="dxa"/>
            <w:tcBorders>
              <w:top w:val="single" w:sz="4" w:space="0" w:color="C8D0DC"/>
              <w:left w:val="single" w:sz="4" w:space="0" w:color="C8D0DC"/>
              <w:bottom w:val="single" w:sz="4" w:space="0" w:color="C8D0DC"/>
              <w:right w:val="single" w:sz="4" w:space="0" w:color="C8D0DC"/>
            </w:tcBorders>
            <w:shd w:val="clear" w:color="auto" w:fill="F2F2F2"/>
          </w:tcPr>
          <w:p w:rsidR="00A50715" w:rsidRDefault="006A60F1">
            <w:pPr>
              <w:pStyle w:val="Compact"/>
            </w:pPr>
            <w:r>
              <w:rPr>
                <w:rFonts w:ascii="Arial" w:hAnsi="Arial"/>
                <w:color w:val="1F3864"/>
                <w:sz w:val="20"/>
              </w:rPr>
              <w:t>IA-2</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rsidR="00A50715" w:rsidRDefault="006A60F1">
            <w:pPr>
              <w:pStyle w:val="Compact"/>
            </w:pPr>
            <w:r>
              <w:rPr>
                <w:rFonts w:ascii="Arial" w:hAnsi="Arial"/>
                <w:color w:val="1F3864"/>
                <w:sz w:val="20"/>
              </w:rPr>
              <w:t>Identification and Authentication — Organizational Users</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rsidR="00A50715" w:rsidRDefault="006A60F1">
            <w:pPr>
              <w:pStyle w:val="Compact"/>
            </w:pPr>
            <w:r>
              <w:rPr>
                <w:rFonts w:ascii="Arial" w:hAnsi="Arial"/>
                <w:color w:val="1F3864"/>
                <w:sz w:val="20"/>
              </w:rPr>
              <w:t>Entra login migration</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rsidR="00A50715" w:rsidRDefault="006A60F1">
            <w:pPr>
              <w:pStyle w:val="Compact"/>
            </w:pPr>
            <w:r>
              <w:rPr>
                <w:rFonts w:ascii="Arial" w:hAnsi="Arial"/>
                <w:color w:val="1F3864"/>
                <w:sz w:val="20"/>
              </w:rPr>
              <w:t>Token-based authentication replaces Windows Integrated and SQL auth</w:t>
            </w:r>
          </w:p>
        </w:tc>
      </w:tr>
      <w:tr w:rsidR="00A50715" w:rsidTr="00A50715">
        <w:tc>
          <w:tcPr>
            <w:tcW w:w="1980" w:type="dxa"/>
            <w:tcBorders>
              <w:top w:val="single" w:sz="4" w:space="0" w:color="C8D0DC"/>
              <w:left w:val="single" w:sz="4" w:space="0" w:color="C8D0DC"/>
              <w:bottom w:val="single" w:sz="4" w:space="0" w:color="C8D0DC"/>
              <w:right w:val="single" w:sz="4" w:space="0" w:color="C8D0DC"/>
            </w:tcBorders>
            <w:shd w:val="clear" w:color="auto" w:fill="FFFFFF"/>
          </w:tcPr>
          <w:p w:rsidR="00A50715" w:rsidRDefault="006A60F1">
            <w:pPr>
              <w:pStyle w:val="Compact"/>
            </w:pPr>
            <w:r>
              <w:rPr>
                <w:rFonts w:ascii="Arial" w:hAnsi="Arial"/>
                <w:color w:val="1F3864"/>
                <w:sz w:val="20"/>
              </w:rPr>
              <w:t>IA-3</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rsidR="00A50715" w:rsidRDefault="006A60F1">
            <w:pPr>
              <w:pStyle w:val="Compact"/>
            </w:pPr>
            <w:r>
              <w:rPr>
                <w:rFonts w:ascii="Arial" w:hAnsi="Arial"/>
                <w:color w:val="1F3864"/>
                <w:sz w:val="20"/>
              </w:rPr>
              <w:t>Device Identification and Authentication</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rsidR="00A50715" w:rsidRDefault="006A60F1">
            <w:pPr>
              <w:pStyle w:val="Compact"/>
            </w:pPr>
            <w:r>
              <w:rPr>
                <w:rFonts w:ascii="Arial" w:hAnsi="Arial"/>
                <w:color w:val="1F3864"/>
                <w:sz w:val="20"/>
              </w:rPr>
              <w:t>Arc Managed Identity</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rsidR="00A50715" w:rsidRDefault="006A60F1">
            <w:pPr>
              <w:pStyle w:val="Compact"/>
            </w:pPr>
            <w:r>
              <w:rPr>
                <w:rFonts w:ascii="Arial" w:hAnsi="Arial"/>
                <w:color w:val="1F3864"/>
                <w:sz w:val="20"/>
              </w:rPr>
              <w:t>Server identity is cryptographically bound to Arc enrollment</w:t>
            </w:r>
          </w:p>
        </w:tc>
      </w:tr>
      <w:tr w:rsidR="00A50715" w:rsidTr="00A50715">
        <w:tc>
          <w:tcPr>
            <w:tcW w:w="1980" w:type="dxa"/>
            <w:tcBorders>
              <w:top w:val="single" w:sz="4" w:space="0" w:color="C8D0DC"/>
              <w:left w:val="single" w:sz="4" w:space="0" w:color="C8D0DC"/>
              <w:bottom w:val="single" w:sz="4" w:space="0" w:color="C8D0DC"/>
              <w:right w:val="single" w:sz="4" w:space="0" w:color="C8D0DC"/>
            </w:tcBorders>
            <w:shd w:val="clear" w:color="auto" w:fill="F2F2F2"/>
          </w:tcPr>
          <w:p w:rsidR="00A50715" w:rsidRDefault="006A60F1">
            <w:pPr>
              <w:pStyle w:val="Compact"/>
            </w:pPr>
            <w:r>
              <w:rPr>
                <w:rFonts w:ascii="Arial" w:hAnsi="Arial"/>
                <w:color w:val="1F3864"/>
                <w:sz w:val="20"/>
              </w:rPr>
              <w:t>IA-5</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rsidR="00A50715" w:rsidRDefault="006A60F1">
            <w:pPr>
              <w:pStyle w:val="Compact"/>
            </w:pPr>
            <w:r>
              <w:rPr>
                <w:rFonts w:ascii="Arial" w:hAnsi="Arial"/>
                <w:color w:val="1F3864"/>
                <w:sz w:val="20"/>
              </w:rPr>
              <w:t>Authenticator Management</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rsidR="00A50715" w:rsidRDefault="006A60F1">
            <w:pPr>
              <w:pStyle w:val="Compact"/>
            </w:pPr>
            <w:r>
              <w:rPr>
                <w:rFonts w:ascii="Arial" w:hAnsi="Arial"/>
                <w:color w:val="1F3864"/>
                <w:sz w:val="20"/>
              </w:rPr>
              <w:t>Credential elimination</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rsidR="00A50715" w:rsidRDefault="006A60F1">
            <w:pPr>
              <w:pStyle w:val="Compact"/>
            </w:pPr>
            <w:r>
              <w:rPr>
                <w:rFonts w:ascii="Arial" w:hAnsi="Arial"/>
                <w:color w:val="1F3864"/>
                <w:sz w:val="20"/>
              </w:rPr>
              <w:t>Managed Identity eliminates stored credentials; sa disabled</w:t>
            </w:r>
          </w:p>
        </w:tc>
      </w:tr>
      <w:tr w:rsidR="00A50715" w:rsidTr="00A50715">
        <w:tc>
          <w:tcPr>
            <w:tcW w:w="1980" w:type="dxa"/>
            <w:tcBorders>
              <w:top w:val="single" w:sz="4" w:space="0" w:color="C8D0DC"/>
              <w:left w:val="single" w:sz="4" w:space="0" w:color="C8D0DC"/>
              <w:bottom w:val="single" w:sz="4" w:space="0" w:color="C8D0DC"/>
              <w:right w:val="single" w:sz="4" w:space="0" w:color="C8D0DC"/>
            </w:tcBorders>
            <w:shd w:val="clear" w:color="auto" w:fill="FFFFFF"/>
          </w:tcPr>
          <w:p w:rsidR="00A50715" w:rsidRDefault="006A60F1">
            <w:pPr>
              <w:pStyle w:val="Compact"/>
            </w:pPr>
            <w:r>
              <w:rPr>
                <w:rFonts w:ascii="Arial" w:hAnsi="Arial"/>
                <w:color w:val="1F3864"/>
                <w:sz w:val="20"/>
              </w:rPr>
              <w:t>IA-5(1)</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rsidR="00A50715" w:rsidRDefault="006A60F1">
            <w:pPr>
              <w:pStyle w:val="Compact"/>
            </w:pPr>
            <w:r>
              <w:rPr>
                <w:rFonts w:ascii="Arial" w:hAnsi="Arial"/>
                <w:color w:val="1F3864"/>
                <w:sz w:val="20"/>
              </w:rPr>
              <w:t>Password-Based Authentication</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rsidR="00A50715" w:rsidRDefault="006A60F1">
            <w:pPr>
              <w:pStyle w:val="Compact"/>
            </w:pPr>
            <w:r>
              <w:rPr>
                <w:rFonts w:ascii="Arial" w:hAnsi="Arial"/>
                <w:color w:val="1F3864"/>
                <w:sz w:val="20"/>
              </w:rPr>
              <w:t>SQL login elimination</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rsidR="00A50715" w:rsidRDefault="006A60F1">
            <w:pPr>
              <w:pStyle w:val="Compact"/>
            </w:pPr>
            <w:r>
              <w:rPr>
                <w:rFonts w:ascii="Arial" w:hAnsi="Arial"/>
                <w:color w:val="1F3864"/>
                <w:sz w:val="20"/>
              </w:rPr>
              <w:t>SQL logins (stored password hashes) removed from all instances</w:t>
            </w:r>
          </w:p>
        </w:tc>
      </w:tr>
      <w:tr w:rsidR="00A50715" w:rsidTr="00A50715">
        <w:tc>
          <w:tcPr>
            <w:tcW w:w="1980" w:type="dxa"/>
            <w:tcBorders>
              <w:top w:val="single" w:sz="4" w:space="0" w:color="C8D0DC"/>
              <w:left w:val="single" w:sz="4" w:space="0" w:color="C8D0DC"/>
              <w:bottom w:val="single" w:sz="4" w:space="0" w:color="C8D0DC"/>
              <w:right w:val="single" w:sz="4" w:space="0" w:color="C8D0DC"/>
            </w:tcBorders>
            <w:shd w:val="clear" w:color="auto" w:fill="F2F2F2"/>
          </w:tcPr>
          <w:p w:rsidR="00A50715" w:rsidRDefault="006A60F1">
            <w:pPr>
              <w:pStyle w:val="Compact"/>
            </w:pPr>
            <w:r>
              <w:rPr>
                <w:rFonts w:ascii="Arial" w:hAnsi="Arial"/>
                <w:color w:val="1F3864"/>
                <w:sz w:val="20"/>
              </w:rPr>
              <w:t>AC-2</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rsidR="00A50715" w:rsidRDefault="006A60F1">
            <w:pPr>
              <w:pStyle w:val="Compact"/>
            </w:pPr>
            <w:r>
              <w:rPr>
                <w:rFonts w:ascii="Arial" w:hAnsi="Arial"/>
                <w:color w:val="1F3864"/>
                <w:sz w:val="20"/>
              </w:rPr>
              <w:t>Account Management</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rsidR="00A50715" w:rsidRDefault="006A60F1">
            <w:pPr>
              <w:pStyle w:val="Compact"/>
            </w:pPr>
            <w:r>
              <w:rPr>
                <w:rFonts w:ascii="Arial" w:hAnsi="Arial"/>
                <w:color w:val="1F3864"/>
                <w:sz w:val="20"/>
              </w:rPr>
              <w:t>Entra dynamic group lifecycle</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rsidR="00A50715" w:rsidRDefault="006A60F1">
            <w:pPr>
              <w:pStyle w:val="Compact"/>
            </w:pPr>
            <w:r>
              <w:rPr>
                <w:rFonts w:ascii="Arial" w:hAnsi="Arial"/>
                <w:color w:val="1F3864"/>
                <w:sz w:val="20"/>
              </w:rPr>
              <w:t>Access lifecycle driven by HR attributes, not manual DBA requests</w:t>
            </w:r>
          </w:p>
        </w:tc>
      </w:tr>
      <w:tr w:rsidR="00A50715" w:rsidTr="00A50715">
        <w:tc>
          <w:tcPr>
            <w:tcW w:w="1980" w:type="dxa"/>
            <w:tcBorders>
              <w:top w:val="single" w:sz="4" w:space="0" w:color="C8D0DC"/>
              <w:left w:val="single" w:sz="4" w:space="0" w:color="C8D0DC"/>
              <w:bottom w:val="single" w:sz="4" w:space="0" w:color="C8D0DC"/>
              <w:right w:val="single" w:sz="4" w:space="0" w:color="C8D0DC"/>
            </w:tcBorders>
            <w:shd w:val="clear" w:color="auto" w:fill="FFFFFF"/>
          </w:tcPr>
          <w:p w:rsidR="00A50715" w:rsidRDefault="006A60F1">
            <w:pPr>
              <w:pStyle w:val="Compact"/>
            </w:pPr>
            <w:r>
              <w:rPr>
                <w:rFonts w:ascii="Arial" w:hAnsi="Arial"/>
                <w:color w:val="1F3864"/>
                <w:sz w:val="20"/>
              </w:rPr>
              <w:t>AC-3</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rsidR="00A50715" w:rsidRDefault="006A60F1">
            <w:pPr>
              <w:pStyle w:val="Compact"/>
            </w:pPr>
            <w:r>
              <w:rPr>
                <w:rFonts w:ascii="Arial" w:hAnsi="Arial"/>
                <w:color w:val="1F3864"/>
                <w:sz w:val="20"/>
              </w:rPr>
              <w:t>Access Enforcement</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rsidR="00A50715" w:rsidRDefault="006A60F1">
            <w:pPr>
              <w:pStyle w:val="Compact"/>
            </w:pPr>
            <w:r>
              <w:rPr>
                <w:rFonts w:ascii="Arial" w:hAnsi="Arial"/>
                <w:color w:val="1F3864"/>
                <w:sz w:val="20"/>
              </w:rPr>
              <w:t>Database role + Entra group</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rsidR="00A50715" w:rsidRDefault="006A60F1">
            <w:pPr>
              <w:pStyle w:val="Compact"/>
            </w:pPr>
            <w:r>
              <w:rPr>
                <w:rFonts w:ascii="Arial" w:hAnsi="Arial"/>
                <w:color w:val="1F3864"/>
                <w:sz w:val="20"/>
              </w:rPr>
              <w:t>Authorization enforced at Entra group membership level</w:t>
            </w:r>
          </w:p>
        </w:tc>
      </w:tr>
      <w:tr w:rsidR="00A50715" w:rsidTr="00A50715">
        <w:tc>
          <w:tcPr>
            <w:tcW w:w="1980" w:type="dxa"/>
            <w:tcBorders>
              <w:top w:val="single" w:sz="4" w:space="0" w:color="C8D0DC"/>
              <w:left w:val="single" w:sz="4" w:space="0" w:color="C8D0DC"/>
              <w:bottom w:val="single" w:sz="4" w:space="0" w:color="C8D0DC"/>
              <w:right w:val="single" w:sz="4" w:space="0" w:color="C8D0DC"/>
            </w:tcBorders>
            <w:shd w:val="clear" w:color="auto" w:fill="F2F2F2"/>
          </w:tcPr>
          <w:p w:rsidR="00A50715" w:rsidRDefault="006A60F1">
            <w:pPr>
              <w:pStyle w:val="Compact"/>
            </w:pPr>
            <w:r>
              <w:rPr>
                <w:rFonts w:ascii="Arial" w:hAnsi="Arial"/>
                <w:color w:val="1F3864"/>
                <w:sz w:val="20"/>
              </w:rPr>
              <w:t>AC-17</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rsidR="00A50715" w:rsidRDefault="006A60F1">
            <w:pPr>
              <w:pStyle w:val="Compact"/>
            </w:pPr>
            <w:r>
              <w:rPr>
                <w:rFonts w:ascii="Arial" w:hAnsi="Arial"/>
                <w:color w:val="1F3864"/>
                <w:sz w:val="20"/>
              </w:rPr>
              <w:t>Remote Access</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rsidR="00A50715" w:rsidRDefault="006A60F1">
            <w:pPr>
              <w:pStyle w:val="Compact"/>
            </w:pPr>
            <w:r>
              <w:rPr>
                <w:rFonts w:ascii="Arial" w:hAnsi="Arial"/>
                <w:color w:val="1F3864"/>
                <w:sz w:val="20"/>
              </w:rPr>
              <w:t>Conditional Access</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rsidR="00A50715" w:rsidRDefault="006A60F1">
            <w:pPr>
              <w:pStyle w:val="Compact"/>
            </w:pPr>
            <w:r>
              <w:rPr>
                <w:rFonts w:ascii="Arial" w:hAnsi="Arial"/>
                <w:color w:val="1F3864"/>
                <w:sz w:val="20"/>
              </w:rPr>
              <w:t>Remote SQL access gated by device compliance and location policy</w:t>
            </w:r>
          </w:p>
        </w:tc>
      </w:tr>
      <w:tr w:rsidR="00A50715" w:rsidTr="00A50715">
        <w:tc>
          <w:tcPr>
            <w:tcW w:w="1980" w:type="dxa"/>
            <w:tcBorders>
              <w:top w:val="single" w:sz="4" w:space="0" w:color="C8D0DC"/>
              <w:left w:val="single" w:sz="4" w:space="0" w:color="C8D0DC"/>
              <w:bottom w:val="single" w:sz="4" w:space="0" w:color="C8D0DC"/>
              <w:right w:val="single" w:sz="4" w:space="0" w:color="C8D0DC"/>
            </w:tcBorders>
            <w:shd w:val="clear" w:color="auto" w:fill="FFFFFF"/>
          </w:tcPr>
          <w:p w:rsidR="00A50715" w:rsidRDefault="006A60F1">
            <w:pPr>
              <w:pStyle w:val="Compact"/>
            </w:pPr>
            <w:r>
              <w:rPr>
                <w:rFonts w:ascii="Arial" w:hAnsi="Arial"/>
                <w:color w:val="1F3864"/>
                <w:sz w:val="20"/>
              </w:rPr>
              <w:t>AU-2</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rsidR="00A50715" w:rsidRDefault="006A60F1">
            <w:pPr>
              <w:pStyle w:val="Compact"/>
            </w:pPr>
            <w:r>
              <w:rPr>
                <w:rFonts w:ascii="Arial" w:hAnsi="Arial"/>
                <w:color w:val="1F3864"/>
                <w:sz w:val="20"/>
              </w:rPr>
              <w:t>Audit Events</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rsidR="00A50715" w:rsidRDefault="006A60F1">
            <w:pPr>
              <w:pStyle w:val="Compact"/>
            </w:pPr>
            <w:r>
              <w:rPr>
                <w:rFonts w:ascii="Arial" w:hAnsi="Arial"/>
                <w:color w:val="1F3864"/>
                <w:sz w:val="20"/>
              </w:rPr>
              <w:t>NTLM elimination</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rsidR="00A50715" w:rsidRDefault="006A60F1">
            <w:pPr>
              <w:pStyle w:val="Compact"/>
            </w:pPr>
            <w:r>
              <w:rPr>
                <w:rFonts w:ascii="Arial" w:hAnsi="Arial"/>
                <w:color w:val="1F3864"/>
                <w:sz w:val="20"/>
              </w:rPr>
              <w:t>NTLM eliminated; all authentication produces auditable token events</w:t>
            </w:r>
          </w:p>
        </w:tc>
      </w:tr>
      <w:tr w:rsidR="00A50715" w:rsidTr="00A50715">
        <w:tc>
          <w:tcPr>
            <w:tcW w:w="1980" w:type="dxa"/>
            <w:tcBorders>
              <w:top w:val="single" w:sz="4" w:space="0" w:color="C8D0DC"/>
              <w:left w:val="single" w:sz="4" w:space="0" w:color="C8D0DC"/>
              <w:bottom w:val="single" w:sz="4" w:space="0" w:color="C8D0DC"/>
              <w:right w:val="single" w:sz="4" w:space="0" w:color="C8D0DC"/>
            </w:tcBorders>
            <w:shd w:val="clear" w:color="auto" w:fill="F2F2F2"/>
          </w:tcPr>
          <w:p w:rsidR="00A50715" w:rsidRDefault="006A60F1">
            <w:pPr>
              <w:pStyle w:val="Compact"/>
            </w:pPr>
            <w:r>
              <w:rPr>
                <w:rFonts w:ascii="Arial" w:hAnsi="Arial"/>
                <w:color w:val="1F3864"/>
                <w:sz w:val="20"/>
              </w:rPr>
              <w:t>AU-12</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rsidR="00A50715" w:rsidRDefault="006A60F1">
            <w:pPr>
              <w:pStyle w:val="Compact"/>
            </w:pPr>
            <w:r>
              <w:rPr>
                <w:rFonts w:ascii="Arial" w:hAnsi="Arial"/>
                <w:color w:val="1F3864"/>
                <w:sz w:val="20"/>
              </w:rPr>
              <w:t>Audit Record Generation</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rsidR="00A50715" w:rsidRDefault="006A60F1">
            <w:pPr>
              <w:pStyle w:val="Compact"/>
            </w:pPr>
            <w:r>
              <w:rPr>
                <w:rFonts w:ascii="Arial" w:hAnsi="Arial"/>
                <w:color w:val="1F3864"/>
                <w:sz w:val="20"/>
              </w:rPr>
              <w:t>Entra token audit trail</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rsidR="00A50715" w:rsidRDefault="006A60F1">
            <w:pPr>
              <w:pStyle w:val="Compact"/>
            </w:pPr>
            <w:r>
              <w:rPr>
                <w:rFonts w:ascii="Arial" w:hAnsi="Arial"/>
                <w:color w:val="1F3864"/>
                <w:sz w:val="20"/>
              </w:rPr>
              <w:t>Entra sign-in logs provide token-level audit for every connection</w:t>
            </w:r>
          </w:p>
        </w:tc>
      </w:tr>
      <w:tr w:rsidR="00A50715" w:rsidTr="00A50715">
        <w:tc>
          <w:tcPr>
            <w:tcW w:w="1980" w:type="dxa"/>
            <w:tcBorders>
              <w:top w:val="single" w:sz="4" w:space="0" w:color="C8D0DC"/>
              <w:left w:val="single" w:sz="4" w:space="0" w:color="C8D0DC"/>
              <w:bottom w:val="single" w:sz="4" w:space="0" w:color="C8D0DC"/>
              <w:right w:val="single" w:sz="4" w:space="0" w:color="C8D0DC"/>
            </w:tcBorders>
            <w:shd w:val="clear" w:color="auto" w:fill="FFFFFF"/>
          </w:tcPr>
          <w:p w:rsidR="00A50715" w:rsidRDefault="006A60F1">
            <w:pPr>
              <w:pStyle w:val="Compact"/>
            </w:pPr>
            <w:r>
              <w:rPr>
                <w:rFonts w:ascii="Arial" w:hAnsi="Arial"/>
                <w:color w:val="1F3864"/>
                <w:sz w:val="20"/>
              </w:rPr>
              <w:t>CA-7</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rsidR="00A50715" w:rsidRDefault="006A60F1">
            <w:pPr>
              <w:pStyle w:val="Compact"/>
            </w:pPr>
            <w:r>
              <w:rPr>
                <w:rFonts w:ascii="Arial" w:hAnsi="Arial"/>
                <w:color w:val="1F3864"/>
                <w:sz w:val="20"/>
              </w:rPr>
              <w:t>Continuous Monitoring</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rsidR="00A50715" w:rsidRDefault="006A60F1">
            <w:pPr>
              <w:pStyle w:val="Compact"/>
            </w:pPr>
            <w:r>
              <w:rPr>
                <w:rFonts w:ascii="Arial" w:hAnsi="Arial"/>
                <w:color w:val="1F3864"/>
                <w:sz w:val="20"/>
              </w:rPr>
              <w:t>CCM compliance record</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rsidR="00A50715" w:rsidRDefault="006A60F1">
            <w:pPr>
              <w:pStyle w:val="Compact"/>
            </w:pPr>
            <w:r>
              <w:rPr>
                <w:rFonts w:ascii="Arial" w:hAnsi="Arial"/>
                <w:color w:val="1F3864"/>
                <w:sz w:val="20"/>
              </w:rPr>
              <w:t>Continuous monitoring baseline established per FedRAMP 20x requirements</w:t>
            </w:r>
          </w:p>
        </w:tc>
      </w:tr>
      <w:tr w:rsidR="00A50715" w:rsidTr="00A50715">
        <w:tc>
          <w:tcPr>
            <w:tcW w:w="1980" w:type="dxa"/>
            <w:tcBorders>
              <w:top w:val="single" w:sz="4" w:space="0" w:color="C8D0DC"/>
              <w:left w:val="single" w:sz="4" w:space="0" w:color="C8D0DC"/>
              <w:bottom w:val="single" w:sz="4" w:space="0" w:color="C8D0DC"/>
              <w:right w:val="single" w:sz="4" w:space="0" w:color="C8D0DC"/>
            </w:tcBorders>
            <w:shd w:val="clear" w:color="auto" w:fill="F2F2F2"/>
          </w:tcPr>
          <w:p w:rsidR="00A50715" w:rsidRDefault="006A60F1">
            <w:pPr>
              <w:pStyle w:val="Compact"/>
            </w:pPr>
            <w:r>
              <w:rPr>
                <w:rFonts w:ascii="Arial" w:hAnsi="Arial"/>
                <w:color w:val="1F3864"/>
                <w:sz w:val="20"/>
              </w:rPr>
              <w:t>CM-2</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rsidR="00A50715" w:rsidRDefault="006A60F1">
            <w:pPr>
              <w:pStyle w:val="Compact"/>
            </w:pPr>
            <w:r>
              <w:rPr>
                <w:rFonts w:ascii="Arial" w:hAnsi="Arial"/>
                <w:color w:val="1F3864"/>
                <w:sz w:val="20"/>
              </w:rPr>
              <w:t>Baseline Configuration</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rsidR="00A50715" w:rsidRDefault="006A60F1">
            <w:pPr>
              <w:pStyle w:val="Compact"/>
            </w:pPr>
            <w:r>
              <w:rPr>
                <w:rFonts w:ascii="Arial" w:hAnsi="Arial"/>
                <w:color w:val="1F3864"/>
                <w:sz w:val="20"/>
              </w:rPr>
              <w:t>Login inventory documentation</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rsidR="00A50715" w:rsidRDefault="006A60F1">
            <w:pPr>
              <w:pStyle w:val="Compact"/>
            </w:pPr>
            <w:r>
              <w:rPr>
                <w:rFonts w:ascii="Arial" w:hAnsi="Arial"/>
                <w:color w:val="1F3864"/>
                <w:sz w:val="20"/>
              </w:rPr>
              <w:t>Login migration produces a documented baseline of all database identities</w:t>
            </w:r>
          </w:p>
        </w:tc>
      </w:tr>
      <w:tr w:rsidR="00A50715" w:rsidTr="00A50715">
        <w:tc>
          <w:tcPr>
            <w:tcW w:w="1980" w:type="dxa"/>
            <w:tcBorders>
              <w:top w:val="single" w:sz="4" w:space="0" w:color="C8D0DC"/>
              <w:left w:val="single" w:sz="4" w:space="0" w:color="C8D0DC"/>
              <w:bottom w:val="single" w:sz="4" w:space="0" w:color="C8D0DC"/>
              <w:right w:val="single" w:sz="4" w:space="0" w:color="C8D0DC"/>
            </w:tcBorders>
            <w:shd w:val="clear" w:color="auto" w:fill="FFFFFF"/>
          </w:tcPr>
          <w:p w:rsidR="00A50715" w:rsidRDefault="006A60F1">
            <w:pPr>
              <w:pStyle w:val="Compact"/>
            </w:pPr>
            <w:r>
              <w:rPr>
                <w:rFonts w:ascii="Arial" w:hAnsi="Arial"/>
                <w:color w:val="1F3864"/>
                <w:sz w:val="20"/>
              </w:rPr>
              <w:t>CM-8</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rsidR="00A50715" w:rsidRDefault="006A60F1">
            <w:pPr>
              <w:pStyle w:val="Compact"/>
            </w:pPr>
            <w:r>
              <w:rPr>
                <w:rFonts w:ascii="Arial" w:hAnsi="Arial"/>
                <w:color w:val="1F3864"/>
                <w:sz w:val="20"/>
              </w:rPr>
              <w:t>System Component Inventory</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rsidR="00A50715" w:rsidRDefault="006A60F1">
            <w:pPr>
              <w:pStyle w:val="Compact"/>
            </w:pPr>
            <w:r>
              <w:rPr>
                <w:rFonts w:ascii="Arial" w:hAnsi="Arial"/>
                <w:color w:val="1F3864"/>
                <w:sz w:val="20"/>
              </w:rPr>
              <w:t>Estate discovery output</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rsidR="00A50715" w:rsidRDefault="006A60F1">
            <w:pPr>
              <w:pStyle w:val="Compact"/>
            </w:pPr>
            <w:r>
              <w:rPr>
                <w:rFonts w:ascii="Arial" w:hAnsi="Arial"/>
                <w:color w:val="1F3864"/>
                <w:sz w:val="20"/>
              </w:rPr>
              <w:t>All SQL instances, versions, and logins inventoried and documented</w:t>
            </w:r>
          </w:p>
        </w:tc>
      </w:tr>
      <w:tr w:rsidR="00A50715" w:rsidTr="00A50715">
        <w:tc>
          <w:tcPr>
            <w:tcW w:w="1980" w:type="dxa"/>
            <w:tcBorders>
              <w:top w:val="single" w:sz="4" w:space="0" w:color="C8D0DC"/>
              <w:left w:val="single" w:sz="4" w:space="0" w:color="C8D0DC"/>
              <w:bottom w:val="single" w:sz="4" w:space="0" w:color="C8D0DC"/>
              <w:right w:val="single" w:sz="4" w:space="0" w:color="C8D0DC"/>
            </w:tcBorders>
            <w:shd w:val="clear" w:color="auto" w:fill="F2F2F2"/>
          </w:tcPr>
          <w:p w:rsidR="00A50715" w:rsidRDefault="006A60F1">
            <w:pPr>
              <w:pStyle w:val="Compact"/>
            </w:pPr>
            <w:r>
              <w:rPr>
                <w:rFonts w:ascii="Arial" w:hAnsi="Arial"/>
                <w:color w:val="1F3864"/>
                <w:sz w:val="20"/>
              </w:rPr>
              <w:t>SC-8</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rsidR="00A50715" w:rsidRDefault="006A60F1">
            <w:pPr>
              <w:pStyle w:val="Compact"/>
            </w:pPr>
            <w:r>
              <w:rPr>
                <w:rFonts w:ascii="Arial" w:hAnsi="Arial"/>
                <w:color w:val="1F3864"/>
                <w:sz w:val="20"/>
              </w:rPr>
              <w:t>Transmission Confidentiality and Integrity</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rsidR="00A50715" w:rsidRDefault="006A60F1">
            <w:pPr>
              <w:pStyle w:val="Compact"/>
            </w:pPr>
            <w:r>
              <w:rPr>
                <w:rFonts w:ascii="Arial" w:hAnsi="Arial"/>
                <w:color w:val="1F3864"/>
                <w:sz w:val="20"/>
              </w:rPr>
              <w:t>TLS + Arc cert</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rsidR="00A50715" w:rsidRDefault="006A60F1">
            <w:pPr>
              <w:pStyle w:val="Compact"/>
            </w:pPr>
            <w:r>
              <w:rPr>
                <w:rFonts w:ascii="Arial" w:hAnsi="Arial"/>
                <w:color w:val="1F3864"/>
                <w:sz w:val="20"/>
              </w:rPr>
              <w:t>SQL Server TLS with Arc-managed certificate for all connections</w:t>
            </w:r>
          </w:p>
        </w:tc>
      </w:tr>
      <w:tr w:rsidR="00A50715" w:rsidTr="00A50715">
        <w:tc>
          <w:tcPr>
            <w:tcW w:w="1980" w:type="dxa"/>
            <w:tcBorders>
              <w:top w:val="single" w:sz="4" w:space="0" w:color="C8D0DC"/>
              <w:left w:val="single" w:sz="4" w:space="0" w:color="C8D0DC"/>
              <w:bottom w:val="single" w:sz="4" w:space="0" w:color="C8D0DC"/>
              <w:right w:val="single" w:sz="4" w:space="0" w:color="C8D0DC"/>
            </w:tcBorders>
            <w:shd w:val="clear" w:color="auto" w:fill="FFFFFF"/>
          </w:tcPr>
          <w:p w:rsidR="00A50715" w:rsidRDefault="006A60F1">
            <w:pPr>
              <w:pStyle w:val="Compact"/>
            </w:pPr>
            <w:r>
              <w:rPr>
                <w:rFonts w:ascii="Arial" w:hAnsi="Arial"/>
                <w:color w:val="1F3864"/>
                <w:sz w:val="20"/>
              </w:rPr>
              <w:t>SI-4</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rsidR="00A50715" w:rsidRDefault="006A60F1">
            <w:pPr>
              <w:pStyle w:val="Compact"/>
            </w:pPr>
            <w:r>
              <w:rPr>
                <w:rFonts w:ascii="Arial" w:hAnsi="Arial"/>
                <w:color w:val="1F3864"/>
                <w:sz w:val="20"/>
              </w:rPr>
              <w:t>System Monitoring</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rsidR="00A50715" w:rsidRDefault="006A60F1">
            <w:pPr>
              <w:pStyle w:val="Compact"/>
            </w:pPr>
            <w:r>
              <w:rPr>
                <w:rFonts w:ascii="Arial" w:hAnsi="Arial"/>
                <w:color w:val="1F3864"/>
                <w:sz w:val="20"/>
              </w:rPr>
              <w:t>Zero NTLM monitoring</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rsidR="00A50715" w:rsidRDefault="006A60F1">
            <w:pPr>
              <w:pStyle w:val="Compact"/>
            </w:pPr>
            <w:r>
              <w:rPr>
                <w:rFonts w:ascii="Arial" w:hAnsi="Arial"/>
                <w:color w:val="1F3864"/>
                <w:sz w:val="20"/>
              </w:rPr>
              <w:t>Post-Phase C monitoring for any NTLM recurrence</w:t>
            </w:r>
          </w:p>
        </w:tc>
      </w:tr>
    </w:tbl>
    <w:p w:rsidR="00A50715" w:rsidRDefault="006A60F1">
      <w:pPr>
        <w:pStyle w:val="Heading2"/>
      </w:pPr>
      <w:bookmarkStart w:id="72" w:name="fedramp-20x-key-security-indicators"/>
      <w:bookmarkStart w:id="73" w:name="_Toc233818306"/>
      <w:bookmarkEnd w:id="70"/>
      <w:r>
        <w:t>11.2 FedRAMP 20x Key Security Indicators</w:t>
      </w:r>
      <w:bookmarkEnd w:id="73"/>
    </w:p>
    <w:p w:rsidR="00A50715" w:rsidRDefault="006A60F1">
      <w:pPr>
        <w:pStyle w:val="FirstParagraph"/>
      </w:pPr>
      <w:r>
        <w:t>FedRAMP 20x replaces annual assessment with continuous machine-readable evidence. The SQL Server migration program produces the following KSI evidence artifacts:</w:t>
      </w:r>
    </w:p>
    <w:p w:rsidR="00A50715" w:rsidRDefault="006A60F1">
      <w:pPr>
        <w:pStyle w:val="Compact"/>
        <w:numPr>
          <w:ilvl w:val="0"/>
          <w:numId w:val="8"/>
        </w:numPr>
      </w:pPr>
      <w:r>
        <w:rPr>
          <w:b/>
          <w:bCs/>
        </w:rPr>
        <w:t>Authentication posture report.</w:t>
      </w:r>
      <w:r>
        <w:t xml:space="preserve"> Machine-readable export of all database logins, their types, and their last authentication event. Updated daily from SQL Server audit logs.</w:t>
      </w:r>
    </w:p>
    <w:p w:rsidR="00A50715" w:rsidRDefault="006A60F1">
      <w:pPr>
        <w:pStyle w:val="Compact"/>
        <w:numPr>
          <w:ilvl w:val="0"/>
          <w:numId w:val="8"/>
        </w:numPr>
      </w:pPr>
      <w:r>
        <w:rPr>
          <w:b/>
          <w:bCs/>
        </w:rPr>
        <w:t>NTLM event count.</w:t>
      </w:r>
      <w:r>
        <w:t xml:space="preserve"> Zero-count assertion for NTLM authentication events in the Windows Security log, validated against the Group Policy configuration.</w:t>
      </w:r>
    </w:p>
    <w:p w:rsidR="00A50715" w:rsidRDefault="006A60F1">
      <w:pPr>
        <w:pStyle w:val="Compact"/>
        <w:numPr>
          <w:ilvl w:val="0"/>
          <w:numId w:val="8"/>
        </w:numPr>
      </w:pPr>
      <w:r>
        <w:rPr>
          <w:b/>
          <w:bCs/>
        </w:rPr>
        <w:t>Managed Identity coverage.</w:t>
      </w:r>
      <w:r>
        <w:t xml:space="preserve"> </w:t>
      </w:r>
      <w:r>
        <w:t>Percentage of service account connections using Managed Identity vs. stored credential. Target: 100%.</w:t>
      </w:r>
    </w:p>
    <w:p w:rsidR="00A50715" w:rsidRDefault="006A60F1">
      <w:pPr>
        <w:pStyle w:val="Compact"/>
        <w:numPr>
          <w:ilvl w:val="0"/>
          <w:numId w:val="8"/>
        </w:numPr>
      </w:pPr>
      <w:r>
        <w:rPr>
          <w:b/>
          <w:bCs/>
        </w:rPr>
        <w:t>Conditional Access compliance.</w:t>
      </w:r>
      <w:r>
        <w:t xml:space="preserve"> Percentage of Entra-authenticated SQL connections from compliant devices. Non-compliant connection attempts are blocked and logged.</w:t>
      </w:r>
    </w:p>
    <w:p w:rsidR="00A50715" w:rsidRDefault="006A60F1">
      <w:pPr>
        <w:pStyle w:val="Compact"/>
        <w:numPr>
          <w:ilvl w:val="0"/>
          <w:numId w:val="8"/>
        </w:numPr>
      </w:pPr>
      <w:r>
        <w:rPr>
          <w:b/>
          <w:bCs/>
        </w:rPr>
        <w:t>sa account status.</w:t>
      </w:r>
      <w:r>
        <w:t xml:space="preserve"> Disabled and renamed on all instances. Continuous check via SQL audit.</w:t>
      </w:r>
    </w:p>
    <w:p w:rsidR="00A50715" w:rsidRDefault="006A60F1">
      <w:pPr>
        <w:pStyle w:val="FirstParagraph"/>
      </w:pPr>
      <w:r>
        <w:t>These artifacts satisfy the IA-2, IA-5, AU-2, AU-12, CA-7, and CM-8 KSI requirements under FedRAMP 20x.</w:t>
      </w:r>
    </w:p>
    <w:p w:rsidR="00A50715" w:rsidRDefault="006A60F1">
      <w:pPr>
        <w:pStyle w:val="Heading1"/>
      </w:pPr>
      <w:bookmarkStart w:id="74" w:name="summary"/>
      <w:bookmarkStart w:id="75" w:name="_Toc233818307"/>
      <w:bookmarkEnd w:id="67"/>
      <w:bookmarkEnd w:id="72"/>
      <w:r>
        <w:t>12. Summary</w:t>
      </w:r>
      <w:bookmarkEnd w:id="75"/>
    </w:p>
    <w:p w:rsidR="00A50715" w:rsidRDefault="006A60F1">
      <w:pPr>
        <w:pStyle w:val="FirstParagraph"/>
      </w:pPr>
      <w:r>
        <w:t>The SQL Server authentication modernization program addresses the credential surface that persists after network controls are in place. Kerberos and NTLM authentication, SQL logins, and stored service account credentials are replaced with Arc Managed Identity, Entra token-based authentication, and dynamic group authorization. The transformation eliminates NTLM, removes all stored credentials from SQL Server, and creates a machine-readable compliance baseline aligned with FedRAMP 20x requirements.</w:t>
      </w:r>
    </w:p>
    <w:p w:rsidR="00A50715" w:rsidRDefault="006A60F1">
      <w:pPr>
        <w:pStyle w:val="BodyText"/>
      </w:pPr>
      <w:r>
        <w:t>The program is structured as four sequential workstreams: estate discovery and consolidation gate, Arc enrollment and Layer 1 authentication migration, NTLM elimination, and application chain migration. Each workstream has measurable exit criteria. The migration does not require taking systems offline — parallel run patterns ensure continuity throughout.</w:t>
      </w:r>
    </w:p>
    <w:p w:rsidR="00A50715" w:rsidRDefault="006A60F1">
      <w:pPr>
        <w:pStyle w:val="BodyText"/>
      </w:pPr>
      <w:r>
        <w:t>The certificate authority and PKI decisions from Part 1 of this series provide the transport encryption foundation. The network segmentation and SD-WAN traffic class controls from Parts 2 and 3 provide the network-layer isolation. This part provides the identity and credential foundation. Together they constitute the application-aware networking posture required for FedRAMP 20x authorization.</w:t>
      </w:r>
      <w:bookmarkEnd w:id="74"/>
    </w:p>
    <w:sectPr w:rsidR="00A50715">
      <w:footnotePr>
        <w:numRestart w:val="eachSect"/>
      </w:footnotePr>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CD2DC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3808BF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48EF46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21063270">
    <w:abstractNumId w:val="0"/>
  </w:num>
  <w:num w:numId="2" w16cid:durableId="1830610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13145168">
    <w:abstractNumId w:val="1"/>
  </w:num>
  <w:num w:numId="4" w16cid:durableId="16488987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443734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36041097">
    <w:abstractNumId w:val="1"/>
  </w:num>
  <w:num w:numId="7" w16cid:durableId="1547596848">
    <w:abstractNumId w:val="1"/>
  </w:num>
  <w:num w:numId="8" w16cid:durableId="15331093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50715"/>
    <w:rsid w:val="00062A57"/>
    <w:rsid w:val="006A60F1"/>
    <w:rsid w:val="00A50715"/>
    <w:rsid w:val="00E232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5AFF8B6-7400-4B81-B8FF-340C01129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062A57"/>
    <w:pPr>
      <w:spacing w:after="100"/>
    </w:pPr>
  </w:style>
  <w:style w:type="paragraph" w:styleId="TOC2">
    <w:name w:val="toc 2"/>
    <w:basedOn w:val="Normal"/>
    <w:next w:val="Normal"/>
    <w:autoRedefine/>
    <w:uiPriority w:val="39"/>
    <w:rsid w:val="00062A5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5044</Words>
  <Characters>31023</Characters>
  <Application>Microsoft Office Word</Application>
  <DocSecurity>0</DocSecurity>
  <Lines>2068</Lines>
  <Paragraphs>680</Paragraphs>
  <ScaleCrop>false</ScaleCrop>
  <Company/>
  <LinksUpToDate>false</LinksUpToDate>
  <CharactersWithSpaces>35387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Federal Application-Aware Networking: SQL Server Authentication Modernization</dc:title>
  <dc:creator>Federal Cloud Services</dc:creator>
  <cp:keywords/>
  <cp:lastModifiedBy>Michael Stratton</cp:lastModifiedBy>
  <cp:revision>2</cp:revision>
  <dcterms:created xsi:type="dcterms:W3CDTF">2026-07-01T21:08:00Z</dcterms:created>
  <dcterms:modified xsi:type="dcterms:W3CDTF">2026-07-01T21:09:00Z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2026-07-01</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out-width">
    <vt:lpwstr>100%</vt:lpwstr>
  </property>
  <property fmtid="{D5CDD505-2E9C-101B-9397-08002B2CF9AE}" pid="12" name="subtitle">
    <vt:lpwstr>Eliminating Domain Credentials from SQL Server — Azure Arc, Entra ID, and Zero-Trust Authentication</vt:lpwstr>
  </property>
  <property fmtid="{D5CDD505-2E9C-101B-9397-08002B2CF9AE}" pid="13" name="toc-title">
    <vt:lpwstr>Table of contents</vt:lpwstr>
  </property>
</Properties>
</file>