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Book</w:t>
      </w:r>
      <w:r>
        <w:t xml:space="preserve"> </w:t>
      </w:r>
      <w:r>
        <w:t xml:space="preserve">13</w:t>
      </w:r>
      <w:r>
        <w:t xml:space="preserve"> </w:t>
      </w:r>
      <w:r>
        <w:t xml:space="preserve">—</w:t>
      </w:r>
      <w:r>
        <w:t xml:space="preserve"> </w:t>
      </w:r>
      <w:r>
        <w:t xml:space="preserve">Federal</w:t>
      </w:r>
      <w:r>
        <w:t xml:space="preserve"> </w:t>
      </w:r>
      <w:r>
        <w:t xml:space="preserve">Application-Aware</w:t>
      </w:r>
      <w:r>
        <w:t xml:space="preserve"> </w:t>
      </w:r>
      <w:r>
        <w:t xml:space="preserve">Networking</w:t>
      </w:r>
      <w:r>
        <w:t xml:space="preserve"> </w:t>
      </w:r>
      <w:r>
        <w:t xml:space="preserve">—</w:t>
      </w:r>
      <w:r>
        <w:t xml:space="preserve"> </w:t>
      </w:r>
      <w:r>
        <w:t xml:space="preserve">Part</w:t>
      </w:r>
      <w:r>
        <w:t xml:space="preserve"> </w:t>
      </w:r>
      <w:r>
        <w:t xml:space="preserve">13</w:t>
      </w:r>
    </w:p>
    <w:p>
      <w:pPr>
        <w:pStyle w:val="Subtitle"/>
      </w:pPr>
      <w:r>
        <w:t xml:space="preserve">Program</w:t>
      </w:r>
      <w:r>
        <w:t xml:space="preserve"> </w:t>
      </w:r>
      <w:r>
        <w:t xml:space="preserve">Management</w:t>
      </w:r>
      <w:r>
        <w:t xml:space="preserve"> </w:t>
      </w:r>
      <w:r>
        <w:t xml:space="preserve">Governance:</w:t>
      </w:r>
      <w:r>
        <w:t xml:space="preserve"> </w:t>
      </w:r>
      <w:r>
        <w:t xml:space="preserve">Security</w:t>
      </w:r>
      <w:r>
        <w:t xml:space="preserve"> </w:t>
      </w:r>
      <w:r>
        <w:t xml:space="preserve">Program</w:t>
      </w:r>
      <w:r>
        <w:t xml:space="preserve"> </w:t>
      </w:r>
      <w:r>
        <w:t xml:space="preserve">Plan,</w:t>
      </w:r>
      <w:r>
        <w:t xml:space="preserve"> </w:t>
      </w:r>
      <w:r>
        <w:t xml:space="preserve">POA&amp;M</w:t>
      </w:r>
      <w:r>
        <w:t xml:space="preserve"> </w:t>
      </w:r>
      <w:r>
        <w:t xml:space="preserve">Framework,</w:t>
      </w:r>
      <w:r>
        <w:t xml:space="preserve"> </w:t>
      </w:r>
      <w:r>
        <w:t xml:space="preserve">and</w:t>
      </w:r>
      <w:r>
        <w:t xml:space="preserve"> </w:t>
      </w:r>
      <w:r>
        <w:t xml:space="preserve">SCRM</w:t>
      </w:r>
      <w:r>
        <w:t xml:space="preserve"> </w:t>
      </w:r>
      <w:r>
        <w:t xml:space="preserve">Charter</w:t>
      </w:r>
      <w:r>
        <w:t xml:space="preserve"> </w:t>
      </w:r>
      <w:r>
        <w:t xml:space="preserve">for</w:t>
      </w:r>
      <w:r>
        <w:t xml:space="preserve"> </w:t>
      </w:r>
      <w:r>
        <w:t xml:space="preserve">FedRAMP</w:t>
      </w:r>
      <w:r>
        <w:t xml:space="preserve"> </w:t>
      </w:r>
      <w:r>
        <w:t xml:space="preserve">20x</w:t>
      </w:r>
    </w:p>
    <w:p>
      <w:pPr>
        <w:pStyle w:val="Author"/>
      </w:pPr>
      <w:r>
        <w:t xml:space="preserve">SSA</w:t>
      </w:r>
      <w:r>
        <w:t xml:space="preserve"> </w:t>
      </w:r>
      <w:r>
        <w:t xml:space="preserve">Cloud</w:t>
      </w:r>
      <w:r>
        <w:t xml:space="preserve"> </w:t>
      </w:r>
      <w:r>
        <w:t xml:space="preserve">Services</w:t>
      </w:r>
      <w:r>
        <w:t xml:space="preserve"> </w:t>
      </w:r>
      <w:r>
        <w:t xml:space="preserve">Team</w:t>
      </w:r>
    </w:p>
    <w:p>
      <w:pPr>
        <w:pStyle w:val="Date"/>
      </w:pPr>
      <w:r>
        <w:t xml:space="preserve">July</w:t>
      </w:r>
      <w:r>
        <w:t xml:space="preserve"> </w:t>
      </w:r>
      <w:r>
        <w:t xml:space="preserve">3,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INTERNAL — NOT FOR PUBLIC DISTRIBUTION</w:t>
      </w:r>
    </w:p>
    <w:bookmarkStart w:id="20" w:name="what-this-document-addresses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t xml:space="preserve">What This Document Addresses</w:t>
      </w:r>
    </w:p>
    <w:p>
      <w:pPr>
        <w:pStyle w:val="FirstParagraph"/>
      </w:pPr>
      <w:r>
        <w:t xml:space="preserve">FedRAMP 20x Authorization requires organizational governance artifacts that</w:t>
      </w:r>
      <w:r>
        <w:t xml:space="preserve"> </w:t>
      </w:r>
      <w:r>
        <w:t xml:space="preserve">exist outside the technical control stack. Program Management (PM) controls</w:t>
      </w:r>
      <w:r>
        <w:t xml:space="preserve"> </w:t>
      </w:r>
      <w:r>
        <w:t xml:space="preserve">establish the organizational infrastructure — leadership accountabilities,</w:t>
      </w:r>
      <w:r>
        <w:t xml:space="preserve"> </w:t>
      </w:r>
      <w:r>
        <w:t xml:space="preserve">program plans, metrics, and risk management frameworks — within which all</w:t>
      </w:r>
      <w:r>
        <w:t xml:space="preserve"> </w:t>
      </w:r>
      <w:r>
        <w:t xml:space="preserve">technical controls operate. Without these artifacts, technical evidence</w:t>
      </w:r>
      <w:r>
        <w:t xml:space="preserve"> </w:t>
      </w:r>
      <w:r>
        <w:t xml:space="preserve">cannot be contextualized against organizational mission and risk posture.</w:t>
      </w:r>
    </w:p>
    <w:p>
      <w:pPr>
        <w:pStyle w:val="BodyText"/>
      </w:pPr>
      <w:r>
        <w:t xml:space="preserve">This document provides: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Information Security Program Plan (ISPP)</w:t>
      </w:r>
      <w:r>
        <w:t xml:space="preserve"> </w:t>
      </w:r>
      <w:r>
        <w:t xml:space="preserve">— a structured outline</w:t>
      </w:r>
      <w:r>
        <w:t xml:space="preserve"> </w:t>
      </w:r>
      <w:r>
        <w:t xml:space="preserve">satisfying PM-1, PM-7, PM-11 with a fillable template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Program Leadership RACI</w:t>
      </w:r>
      <w:r>
        <w:t xml:space="preserve"> </w:t>
      </w:r>
      <w:r>
        <w:t xml:space="preserve">— roles, responsibilities, and accountability</w:t>
      </w:r>
      <w:r>
        <w:t xml:space="preserve"> </w:t>
      </w:r>
      <w:r>
        <w:t xml:space="preserve">matrix satisfying PM-2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System Inventory Framework</w:t>
      </w:r>
      <w:r>
        <w:t xml:space="preserve"> </w:t>
      </w:r>
      <w:r>
        <w:t xml:space="preserve">— inventory methodology and automation</w:t>
      </w:r>
      <w:r>
        <w:t xml:space="preserve"> </w:t>
      </w:r>
      <w:r>
        <w:t xml:space="preserve">approach satisfying PM-5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Risk Management Strategy</w:t>
      </w:r>
      <w:r>
        <w:t xml:space="preserve"> </w:t>
      </w:r>
      <w:r>
        <w:t xml:space="preserve">— risk register format and governance cadence</w:t>
      </w:r>
      <w:r>
        <w:t xml:space="preserve"> </w:t>
      </w:r>
      <w:r>
        <w:t xml:space="preserve">satisfying PM-9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Testing, Training, and Monitoring (T&amp;T&amp;M) Plan</w:t>
      </w:r>
      <w:r>
        <w:t xml:space="preserve"> </w:t>
      </w:r>
      <w:r>
        <w:t xml:space="preserve">— tracker template</w:t>
      </w:r>
      <w:r>
        <w:t xml:space="preserve"> </w:t>
      </w:r>
      <w:r>
        <w:t xml:space="preserve">satisfying PM-14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Security Contact Registry</w:t>
      </w:r>
      <w:r>
        <w:t xml:space="preserve"> </w:t>
      </w:r>
      <w:r>
        <w:t xml:space="preserve">— industry liaison contacts satisfying PM-15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Supply Chain Risk Management (SCRM) Governance Charter</w:t>
      </w:r>
      <w:r>
        <w:t xml:space="preserve"> </w:t>
      </w:r>
      <w:r>
        <w:t xml:space="preserve">— organizational</w:t>
      </w:r>
      <w:r>
        <w:t xml:space="preserve"> </w:t>
      </w:r>
      <w:r>
        <w:t xml:space="preserve">SCRM framework satisfying PM-30 and providing the organizational backbone</w:t>
      </w:r>
      <w:r>
        <w:t xml:space="preserve"> </w:t>
      </w:r>
      <w:r>
        <w:t xml:space="preserve">for the technical evidence established in Part 12</w:t>
      </w:r>
    </w:p>
    <w:p>
      <w:pPr>
        <w:pStyle w:val="FirstParagraph"/>
      </w:pPr>
      <w:r>
        <w:t xml:space="preserve">Together these artifacts close nine NIST SP 800-53 Rev 5 PM family controls</w:t>
      </w:r>
      <w:r>
        <w:t xml:space="preserve"> </w:t>
      </w:r>
      <w:r>
        <w:t xml:space="preserve">and provide the PM-30 evidence that, combined with Part 12’s technical</w:t>
      </w:r>
      <w:r>
        <w:t xml:space="preserve"> </w:t>
      </w:r>
      <w:r>
        <w:t xml:space="preserve">SBOM/VDR/VEX pipeline, seeds KSI-SCR coverage (KSI-015, KSI-016).</w:t>
      </w:r>
    </w:p>
    <w:p>
      <w:r>
        <w:pict>
          <v:rect style="width:0;height:1.5pt" o:hralign="center" o:hrstd="t" o:hr="t"/>
        </w:pict>
      </w:r>
    </w:p>
    <w:bookmarkEnd w:id="20"/>
    <w:bookmarkStart w:id="26" w:name="X7058f7ad453c2890024bfad90a4cbe42e48ed2c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Program Management Governance in the FedRAMP 20x Context</w:t>
      </w:r>
    </w:p>
    <w:bookmarkStart w:id="21" w:name="why-pm-controls-gate-authorization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Why PM Controls Gate Authorization</w:t>
      </w:r>
    </w:p>
    <w:p>
      <w:pPr>
        <w:pStyle w:val="FirstParagraph"/>
      </w:pPr>
      <w:r>
        <w:t xml:space="preserve">FedRAMP 20x Key Security Indicators evaluate</w:t>
      </w:r>
      <w:r>
        <w:t xml:space="preserve"> </w:t>
      </w:r>
      <w:r>
        <w:rPr>
          <w:iCs/>
          <w:i/>
        </w:rPr>
        <w:t xml:space="preserve">outcomes</w:t>
      </w:r>
      <w:r>
        <w:t xml:space="preserve">, not checklist</w:t>
      </w:r>
      <w:r>
        <w:t xml:space="preserve"> </w:t>
      </w:r>
      <w:r>
        <w:t xml:space="preserve">compliance. PM controls are the organizational preconditions that determine</w:t>
      </w:r>
      <w:r>
        <w:t xml:space="preserve"> </w:t>
      </w:r>
      <w:r>
        <w:t xml:space="preserve">whether technical controls can achieve sustainable outcomes: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PM-1</w:t>
      </w:r>
      <w:r>
        <w:t xml:space="preserve"> </w:t>
      </w:r>
      <w:r>
        <w:t xml:space="preserve">(ISPP) is the document that contextualizes all other controls —</w:t>
      </w:r>
      <w:r>
        <w:t xml:space="preserve"> </w:t>
      </w:r>
      <w:r>
        <w:t xml:space="preserve">without it, there is no authoritative statement of what the security program</w:t>
      </w:r>
      <w:r>
        <w:t xml:space="preserve"> </w:t>
      </w:r>
      <w:r>
        <w:t xml:space="preserve">is trying to achieve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PM-9</w:t>
      </w:r>
      <w:r>
        <w:t xml:space="preserve"> </w:t>
      </w:r>
      <w:r>
        <w:t xml:space="preserve">(Risk Management Strategy) determines how the organization decides</w:t>
      </w:r>
      <w:r>
        <w:t xml:space="preserve"> </w:t>
      </w:r>
      <w:r>
        <w:t xml:space="preserve">which risks to accept, mitigate, transfer, or avoid — every POA&amp;M item</w:t>
      </w:r>
      <w:r>
        <w:t xml:space="preserve"> </w:t>
      </w:r>
      <w:r>
        <w:t xml:space="preserve">references this decision framework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PM-30</w:t>
      </w:r>
      <w:r>
        <w:t xml:space="preserve"> </w:t>
      </w:r>
      <w:r>
        <w:t xml:space="preserve">(SCRM Strategy) is the organizational commitment that makes the</w:t>
      </w:r>
      <w:r>
        <w:t xml:space="preserve"> </w:t>
      </w:r>
      <w:r>
        <w:t xml:space="preserve">Part 12 SBOM/VDR/VEX pipeline a governance artifact rather than a technical</w:t>
      </w:r>
      <w:r>
        <w:t xml:space="preserve"> </w:t>
      </w:r>
      <w:r>
        <w:t xml:space="preserve">experiment — it binds leadership to the supply chain risk posture</w:t>
      </w:r>
    </w:p>
    <w:bookmarkEnd w:id="21"/>
    <w:bookmarkStart w:id="25" w:name="pm-controls-closed-by-this-document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PM Controls Closed by This Document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Security Program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 ISPP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 Security Program Leadership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 Leadership RACI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 Inventory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§2.4 EA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Management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 Risk Register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Mission/Business Process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§2.5 Mission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Testing, Training, and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 T&amp;T&amp;M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Security/Privacy Contact with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 Contact 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Chain Risk Management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SCRM Charter</w:t>
            </w:r>
          </w:p>
        </w:tc>
      </w:tr>
    </w:tbl>
    <w:p>
      <w:pPr>
        <w:pStyle w:val="CaptionedFigure"/>
      </w:pPr>
      <w:r>
        <w:drawing>
          <wp:inline>
            <wp:extent cx="6858000" cy="3033346"/>
            <wp:effectExtent b="0" l="0" r="0" t="0"/>
            <wp:docPr descr="FedRAMP 20x Program Management Governance Structure" title="" id="23" name="Picture"/>
            <a:graphic>
              <a:graphicData uri="http://schemas.openxmlformats.org/drawingml/2006/picture">
                <pic:pic>
                  <pic:nvPicPr>
                    <pic:cNvPr descr="figs/pmg-fig-01-pm-governanc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033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FedRAMP 20x Program Management Governance Structure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Xadfec1205972c55c7f7da87cd313895defa5c9e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Information Security Program Plan (PM-1, PM-7, PM-11)</w:t>
      </w:r>
    </w:p>
    <w:bookmarkStart w:id="28" w:name="ispp-document-template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ISPP Document Template</w:t>
      </w:r>
    </w:p>
    <w:p>
      <w:pPr>
        <w:pStyle w:val="FirstParagraph"/>
      </w:pPr>
      <w:r>
        <w:t xml:space="preserve">The Information Security Program Plan (ISPP) is the governing document for</w:t>
      </w:r>
      <w:r>
        <w:t xml:space="preserve"> </w:t>
      </w:r>
      <w:r>
        <w:t xml:space="preserve">SSA’s cloud security program under FedRAMP 20x. It must be maintained by</w:t>
      </w:r>
      <w:r>
        <w:t xml:space="preserve"> </w:t>
      </w:r>
      <w:r>
        <w:t xml:space="preserve">the designated Senior Agency Information Security Officer (SAISO/CISO) and</w:t>
      </w:r>
      <w:r>
        <w:t xml:space="preserve"> </w:t>
      </w:r>
      <w:r>
        <w:t xml:space="preserve">reviewed annually or after major system changes.</w:t>
      </w:r>
    </w:p>
    <w:bookmarkStart w:id="27" w:name="ispp-section-outline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ISPP Section Outline</w:t>
      </w:r>
    </w:p>
    <w:p>
      <w:pPr>
        <w:pStyle w:val="FirstParagraph"/>
      </w:pPr>
      <w:r>
        <w:rPr>
          <w:bCs/>
          <w:b/>
        </w:rPr>
        <w:t xml:space="preserve">Section 1 — Purpose and Scope</w:t>
      </w:r>
    </w:p>
    <w:p>
      <w:pPr>
        <w:pStyle w:val="BlockText"/>
      </w:pPr>
      <w:r>
        <w:t xml:space="preserve">[FILLABLE] This Information Security Program Plan establishes the security</w:t>
      </w:r>
      <w:r>
        <w:t xml:space="preserve"> </w:t>
      </w:r>
      <w:r>
        <w:t xml:space="preserve">management framework for [SYSTEM NAME], a [IMPACT LEVEL: Low/Moderate/High]</w:t>
      </w:r>
      <w:r>
        <w:t xml:space="preserve"> </w:t>
      </w:r>
      <w:r>
        <w:t xml:space="preserve">impact system operated by the Social Security Administration (SSA) Cloud</w:t>
      </w:r>
      <w:r>
        <w:t xml:space="preserve"> </w:t>
      </w:r>
      <w:r>
        <w:t xml:space="preserve">Services Team under FedRAMP 20x Authorization.</w:t>
      </w:r>
    </w:p>
    <w:p>
      <w:pPr>
        <w:pStyle w:val="BlockText"/>
      </w:pPr>
      <w:r>
        <w:rPr>
          <w:bCs/>
          <w:b/>
        </w:rPr>
        <w:t xml:space="preserve">Authorization Boundary:</w:t>
      </w:r>
      <w:r>
        <w:t xml:space="preserve"> </w:t>
      </w:r>
      <w:r>
        <w:t xml:space="preserve">[Reference the boundary diagram from the SSP.</w:t>
      </w:r>
      <w:r>
        <w:t xml:space="preserve"> </w:t>
      </w:r>
      <w:r>
        <w:t xml:space="preserve">The boundary must match the system inventory in §PM-5 and the</w:t>
      </w:r>
      <w:r>
        <w:t xml:space="preserve"> </w:t>
      </w:r>
      <w:r>
        <w:t xml:space="preserve">authorization package submitted to FedRAMP PMO.]</w:t>
      </w:r>
    </w:p>
    <w:p>
      <w:pPr>
        <w:pStyle w:val="BlockText"/>
      </w:pPr>
      <w:r>
        <w:rPr>
          <w:bCs/>
          <w:b/>
        </w:rPr>
        <w:t xml:space="preserve">Effective Date:</w:t>
      </w:r>
      <w:r>
        <w:t xml:space="preserve"> </w:t>
      </w:r>
      <w:r>
        <w:t xml:space="preserve">[DATE]</w:t>
      </w:r>
      <w:r>
        <w:t xml:space="preserve"> </w:t>
      </w:r>
      <w:r>
        <w:rPr>
          <w:bCs/>
          <w:b/>
        </w:rPr>
        <w:t xml:space="preserve">Review Cycle:</w:t>
      </w:r>
      <w:r>
        <w:t xml:space="preserve"> </w:t>
      </w:r>
      <w:r>
        <w:t xml:space="preserve">Annual / After major change</w:t>
      </w:r>
    </w:p>
    <w:p>
      <w:pPr>
        <w:pStyle w:val="BlockText"/>
      </w:pPr>
      <w:r>
        <w:rPr>
          <w:bCs/>
          <w:b/>
        </w:rPr>
        <w:t xml:space="preserve">Document Owner:</w:t>
      </w:r>
      <w:r>
        <w:t xml:space="preserve"> </w:t>
      </w:r>
      <w:r>
        <w:t xml:space="preserve">[NAME, TITLE] — SAISO/CISO</w:t>
      </w:r>
    </w:p>
    <w:p>
      <w:pPr>
        <w:pStyle w:val="BlockText"/>
      </w:pPr>
      <w:r>
        <w:rPr>
          <w:bCs/>
          <w:b/>
        </w:rPr>
        <w:t xml:space="preserve">Approver:</w:t>
      </w:r>
      <w:r>
        <w:t xml:space="preserve"> </w:t>
      </w:r>
      <w:r>
        <w:t xml:space="preserve">[NAME, TITLE] — Authorizing Official (AO)</w:t>
      </w:r>
    </w:p>
    <w:p>
      <w:pPr>
        <w:pStyle w:val="FirstParagraph"/>
      </w:pPr>
      <w:r>
        <w:rPr>
          <w:bCs/>
          <w:b/>
        </w:rPr>
        <w:t xml:space="preserve">Section 2 — Legal and Regulatory Authority</w:t>
      </w:r>
    </w:p>
    <w:p>
      <w:pPr>
        <w:numPr>
          <w:ilvl w:val="0"/>
          <w:numId w:val="1003"/>
        </w:numPr>
        <w:pStyle w:val="Compact"/>
      </w:pPr>
      <w:r>
        <w:t xml:space="preserve">Federal Information Security Modernization Act (FISMA) 2014, 44 U.S.C. §3551</w:t>
      </w:r>
    </w:p>
    <w:p>
      <w:pPr>
        <w:numPr>
          <w:ilvl w:val="0"/>
          <w:numId w:val="1003"/>
        </w:numPr>
        <w:pStyle w:val="Compact"/>
      </w:pPr>
      <w:r>
        <w:t xml:space="preserve">OMB Circular A-130, Managing Federal Information as a Strategic Resource</w:t>
      </w:r>
    </w:p>
    <w:p>
      <w:pPr>
        <w:numPr>
          <w:ilvl w:val="0"/>
          <w:numId w:val="1003"/>
        </w:numPr>
        <w:pStyle w:val="Compact"/>
      </w:pPr>
      <w:r>
        <w:t xml:space="preserve">NIST SP 800-53 Rev 5, Security and Privacy Controls for Information Systems</w:t>
      </w:r>
    </w:p>
    <w:p>
      <w:pPr>
        <w:numPr>
          <w:ilvl w:val="0"/>
          <w:numId w:val="1003"/>
        </w:numPr>
        <w:pStyle w:val="Compact"/>
      </w:pPr>
      <w:r>
        <w:t xml:space="preserve">FedRAMP 20x Authorization Framework (GSA, 2026)</w:t>
      </w:r>
    </w:p>
    <w:p>
      <w:pPr>
        <w:numPr>
          <w:ilvl w:val="0"/>
          <w:numId w:val="1003"/>
        </w:numPr>
        <w:pStyle w:val="Compact"/>
      </w:pPr>
      <w:r>
        <w:t xml:space="preserve">CISA Binding Operational Directive 26-04 (SBOM/VDR/VER, effective Dec 7, 2026)</w:t>
      </w:r>
    </w:p>
    <w:p>
      <w:pPr>
        <w:numPr>
          <w:ilvl w:val="0"/>
          <w:numId w:val="1003"/>
        </w:numPr>
        <w:pStyle w:val="Compact"/>
      </w:pPr>
      <w:r>
        <w:t xml:space="preserve">Executive Order 14028, Improving the Nation’s Cybersecurity (May 2021)</w:t>
      </w:r>
    </w:p>
    <w:p>
      <w:pPr>
        <w:pStyle w:val="FirstParagraph"/>
      </w:pPr>
      <w:r>
        <w:rPr>
          <w:bCs/>
          <w:b/>
        </w:rPr>
        <w:t xml:space="preserve">Section 3 — Security Program Objectives</w:t>
      </w:r>
    </w:p>
    <w:p>
      <w:pPr>
        <w:pStyle w:val="BlockText"/>
      </w:pPr>
      <w:r>
        <w:t xml:space="preserve">[FILLABLE] The SSA cloud security program is designed to achieve the</w:t>
      </w:r>
      <w:r>
        <w:t xml:space="preserve"> </w:t>
      </w:r>
      <w:r>
        <w:t xml:space="preserve">following risk-based objectives, prioritized in alignment with SSA’s</w:t>
      </w:r>
      <w:r>
        <w:t xml:space="preserve"> </w:t>
      </w:r>
      <w:r>
        <w:t xml:space="preserve">mission of delivering critical citizen services:</w:t>
      </w:r>
    </w:p>
    <w:p>
      <w:pPr>
        <w:numPr>
          <w:ilvl w:val="0"/>
          <w:numId w:val="1004"/>
        </w:numPr>
        <w:pStyle w:val="Compact"/>
      </w:pPr>
      <w:r>
        <w:t xml:space="preserve">Protect the confidentiality, integrity, and availability of citizen PII</w:t>
      </w:r>
      <w:r>
        <w:t xml:space="preserve"> </w:t>
      </w:r>
      <w:r>
        <w:t xml:space="preserve">and benefit payment data</w:t>
      </w:r>
    </w:p>
    <w:p>
      <w:pPr>
        <w:numPr>
          <w:ilvl w:val="0"/>
          <w:numId w:val="1004"/>
        </w:numPr>
        <w:pStyle w:val="Compact"/>
      </w:pPr>
      <w:r>
        <w:t xml:space="preserve">Maintain continuous FedRAMP Moderate authorization across all cloud</w:t>
      </w:r>
      <w:r>
        <w:t xml:space="preserve"> </w:t>
      </w:r>
      <w:r>
        <w:t xml:space="preserve">service offerings used to deliver [MISSION FUNCTIONS]</w:t>
      </w:r>
    </w:p>
    <w:p>
      <w:pPr>
        <w:numPr>
          <w:ilvl w:val="0"/>
          <w:numId w:val="1004"/>
        </w:numPr>
        <w:pStyle w:val="Compact"/>
      </w:pPr>
      <w:r>
        <w:t xml:space="preserve">Achieve and sustain KSI scores meeting the FedRAMP 20x Authorize</w:t>
      </w:r>
      <w:r>
        <w:t xml:space="preserve"> </w:t>
      </w:r>
      <w:r>
        <w:t xml:space="preserve">threshold across all 10 KSI themes by [DATE]</w:t>
      </w:r>
    </w:p>
    <w:p>
      <w:pPr>
        <w:numPr>
          <w:ilvl w:val="0"/>
          <w:numId w:val="1004"/>
        </w:numPr>
        <w:pStyle w:val="Compact"/>
      </w:pPr>
      <w:r>
        <w:t xml:space="preserve">Satisfy the BOD 26-04 SBOM/VDR/VER requirement by December 7, 2026</w:t>
      </w:r>
    </w:p>
    <w:p>
      <w:pPr>
        <w:pStyle w:val="FirstParagraph"/>
      </w:pPr>
      <w:r>
        <w:rPr>
          <w:bCs/>
          <w:b/>
        </w:rPr>
        <w:t xml:space="preserve">Section 4 — Program Resources and Budget</w:t>
      </w:r>
    </w:p>
    <w:p>
      <w:pPr>
        <w:pStyle w:val="BlockText"/>
      </w:pPr>
      <w:r>
        <w:t xml:space="preserve">[FILLABLE] Security program resources are allocated as follows: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99"/>
        <w:gridCol w:w="3615"/>
        <w:gridCol w:w="12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Resource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FY[YEAR]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FTE (security staff)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 FTE]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ISSO, Security Architect, DevSecOps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Tools and licensing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$[AMOUNT]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SIEM, vulnerability scanning, SBOM tooling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and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$[AMOUNT]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CISSP, FedRAMP training, vendor certs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Third-party assessment (3PAO)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$[AMOUNT]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assessment + readiness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Contingency / incident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$[AMOUNT]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 retainer + tabletop exercises</w:t>
            </w:r>
          </w:p>
        </w:tc>
      </w:tr>
    </w:tbl>
    <w:bookmarkEnd w:id="27"/>
    <w:bookmarkEnd w:id="28"/>
    <w:bookmarkStart w:id="29" w:name="enterprise-architecture-integration-pm-7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Enterprise Architecture Integration (PM-7)</w:t>
      </w:r>
    </w:p>
    <w:p>
      <w:pPr>
        <w:pStyle w:val="FirstParagraph"/>
      </w:pPr>
      <w:r>
        <w:t xml:space="preserve">The SSA security architecture is integrated into the enterprise architecture</w:t>
      </w:r>
      <w:r>
        <w:t xml:space="preserve"> </w:t>
      </w:r>
      <w:r>
        <w:t xml:space="preserve">at three levels:</w:t>
      </w:r>
    </w:p>
    <w:p>
      <w:pPr>
        <w:pStyle w:val="BodyText"/>
      </w:pPr>
      <w:r>
        <w:rPr>
          <w:bCs/>
          <w:b/>
        </w:rPr>
        <w:t xml:space="preserve">Technical Reference Architecture (TRA):</w:t>
      </w:r>
      <w:r>
        <w:t xml:space="preserve"> </w:t>
      </w:r>
      <w:r>
        <w:t xml:space="preserve">Security controls are embedded in</w:t>
      </w:r>
      <w:r>
        <w:t xml:space="preserve"> </w:t>
      </w:r>
      <w:r>
        <w:t xml:space="preserve">the TRA as mandatory capabilities. The AAN Part 1–6 series establishes the</w:t>
      </w:r>
      <w:r>
        <w:t xml:space="preserve"> </w:t>
      </w:r>
      <w:r>
        <w:t xml:space="preserve">technical baseline; security controls are not bolt-ons but architectural</w:t>
      </w:r>
      <w:r>
        <w:t xml:space="preserve"> </w:t>
      </w:r>
      <w:r>
        <w:t xml:space="preserve">primitives (Zero Trust, encrypted transit, identity-first network access).</w:t>
      </w:r>
    </w:p>
    <w:p>
      <w:pPr>
        <w:pStyle w:val="BodyText"/>
      </w:pPr>
      <w:r>
        <w:rPr>
          <w:bCs/>
          <w:b/>
        </w:rPr>
        <w:t xml:space="preserve">Application Lifecycle Integration:</w:t>
      </w:r>
      <w:r>
        <w:t xml:space="preserve"> </w:t>
      </w:r>
      <w:r>
        <w:t xml:space="preserve">Every new application must complete</w:t>
      </w:r>
      <w:r>
        <w:t xml:space="preserve"> </w:t>
      </w:r>
      <w:r>
        <w:t xml:space="preserve">a Privacy Threshold Analysis (PTA) and Security Categorization before design</w:t>
      </w:r>
      <w:r>
        <w:t xml:space="preserve"> </w:t>
      </w:r>
      <w:r>
        <w:t xml:space="preserve">begins. Architecture review gates include: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Concept</w:t>
      </w:r>
      <w:r>
        <w:t xml:space="preserve"> </w:t>
      </w:r>
      <w:r>
        <w:t xml:space="preserve">— security classification, boundary definition, data flow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Design</w:t>
      </w:r>
      <w:r>
        <w:t xml:space="preserve"> </w:t>
      </w:r>
      <w:r>
        <w:t xml:space="preserve">— control selection, threat modeling, SBOM requirement binding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Build</w:t>
      </w:r>
      <w:r>
        <w:t xml:space="preserve"> </w:t>
      </w:r>
      <w:r>
        <w:t xml:space="preserve">— security testing requirements, SBOM generation, CI gates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Deploy</w:t>
      </w:r>
      <w:r>
        <w:t xml:space="preserve"> </w:t>
      </w:r>
      <w:r>
        <w:t xml:space="preserve">— ATO/P-ATO check, SBOM/VDR submission, KSI baseline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Operate</w:t>
      </w:r>
      <w:r>
        <w:t xml:space="preserve"> </w:t>
      </w:r>
      <w:r>
        <w:t xml:space="preserve">— continuous monitoring, annual assessment, POA&amp;M management</w:t>
      </w:r>
    </w:p>
    <w:p>
      <w:pPr>
        <w:pStyle w:val="FirstParagraph"/>
      </w:pPr>
      <w:r>
        <w:rPr>
          <w:bCs/>
          <w:b/>
        </w:rPr>
        <w:t xml:space="preserve">EA Artifacts That Reference Security Architecture:</w:t>
      </w:r>
    </w:p>
    <w:p>
      <w:pPr>
        <w:numPr>
          <w:ilvl w:val="0"/>
          <w:numId w:val="1006"/>
        </w:numPr>
        <w:pStyle w:val="Compact"/>
      </w:pPr>
      <w:r>
        <w:t xml:space="preserve">Target Architecture Document (TAD) — references AAN Part 1-13 control mappings</w:t>
      </w:r>
    </w:p>
    <w:p>
      <w:pPr>
        <w:numPr>
          <w:ilvl w:val="0"/>
          <w:numId w:val="1006"/>
        </w:numPr>
        <w:pStyle w:val="Compact"/>
      </w:pPr>
      <w:r>
        <w:t xml:space="preserve">Data Architecture — references Part 9 (Purview/CMK) for data-at-rest controls</w:t>
      </w:r>
    </w:p>
    <w:p>
      <w:pPr>
        <w:numPr>
          <w:ilvl w:val="0"/>
          <w:numId w:val="1006"/>
        </w:numPr>
        <w:pStyle w:val="Compact"/>
      </w:pPr>
      <w:r>
        <w:t xml:space="preserve">Network Architecture — references Part 1-3, 6 for network security</w:t>
      </w:r>
    </w:p>
    <w:bookmarkEnd w:id="29"/>
    <w:bookmarkStart w:id="31" w:name="Xd0af50a3aadb5a78babad0afeac67d3d9549b2b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Mission and Business Process Definition (PM-11)</w:t>
      </w:r>
    </w:p>
    <w:bookmarkStart w:id="30" w:name="critical-mission-functions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Critical Mission Functions</w:t>
      </w:r>
    </w:p>
    <w:p>
      <w:pPr>
        <w:pStyle w:val="FirstParagraph"/>
      </w:pPr>
      <w:r>
        <w:t xml:space="preserve">SSA operates the following mission-critical processes relevant to this</w:t>
      </w:r>
      <w:r>
        <w:t xml:space="preserve"> </w:t>
      </w:r>
      <w:r>
        <w:t xml:space="preserve">authorization boundary: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212"/>
        <w:gridCol w:w="2562"/>
        <w:gridCol w:w="582"/>
        <w:gridCol w:w="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Mission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if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 payment disbursement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[SYSTEM]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citizen harm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 determination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[SYSTEM]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Online account services (my Social Security)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[SYSTEM]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 center 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[SYSTEM]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Citizen service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</w:tr>
    </w:tbl>
    <w:p>
      <w:pPr>
        <w:pStyle w:val="BlockText"/>
      </w:pPr>
      <w:r>
        <w:t xml:space="preserve">[FILLABLE] Complete the above table for all mission functions within the</w:t>
      </w:r>
      <w:r>
        <w:t xml:space="preserve"> </w:t>
      </w:r>
      <w:r>
        <w:t xml:space="preserve">authorization boundary. RTO/RPO values must align with the Contingency Plan</w:t>
      </w:r>
      <w:r>
        <w:t xml:space="preserve"> </w:t>
      </w:r>
      <w:r>
        <w:t xml:space="preserve">(CP controls, Part 11) and the Business Impact Analysis (BIA).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6" w:name="Xc20d35fd8033d8726b77cf682068ef9b4ad18d8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Program Leadership and Accountability (PM-2)</w:t>
      </w:r>
    </w:p>
    <w:bookmarkStart w:id="35" w:name="security-leadership-raci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Security Leadership RACI</w:t>
      </w:r>
    </w:p>
    <w:p>
      <w:pPr>
        <w:pStyle w:val="FirstParagraph"/>
      </w:pPr>
      <w:r>
        <w:t xml:space="preserve">FedRAMP 20x requires named individuals in security leadership roles. The</w:t>
      </w:r>
      <w:r>
        <w:t xml:space="preserve"> </w:t>
      </w:r>
      <w:r>
        <w:t xml:space="preserve">following RACI (Responsible / Accountable / Consulted / Informed) matrix</w:t>
      </w:r>
      <w:r>
        <w:t xml:space="preserve"> </w:t>
      </w:r>
      <w:r>
        <w:t xml:space="preserve">defines accountabilities for security program activities.</w:t>
      </w:r>
    </w:p>
    <w:bookmarkStart w:id="33" w:name="role-definitions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Role Definitions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848"/>
        <w:gridCol w:w="44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Authorizing Official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 organizational risk; signs 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SAISO/CISO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Chief Information Security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the ISPP; chairs Security Council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System Security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Day-to-day control operation; POA&amp;M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AO 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Delegates AO oversight functions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3PAO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Assessment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security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Privacy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Program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 controls; Privacy Impact Assessments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DevSecOps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DevSecOps Team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 security gates; SBOM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Operations Center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monitoring; incident response</w:t>
            </w:r>
          </w:p>
        </w:tc>
      </w:tr>
    </w:tbl>
    <w:bookmarkEnd w:id="33"/>
    <w:bookmarkStart w:id="34" w:name="raci-matrix-key-program-activities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RACI Matrix — Key Program Activities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DevSecOps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 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security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SBOM/VDR submission (BOD 26-04)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 continuous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 Impact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</w:tbl>
    <w:p>
      <w:pPr>
        <w:pStyle w:val="BlockText"/>
      </w:pPr>
      <w:r>
        <w:t xml:space="preserve">[FILLABLE] Replace role titles with named individuals. The AO and CISO</w:t>
      </w:r>
      <w:r>
        <w:t xml:space="preserve"> </w:t>
      </w:r>
      <w:r>
        <w:t xml:space="preserve">must be SSA employees; the ISSO may be a contractor with documented oversight.</w:t>
      </w:r>
      <w:r>
        <w:t xml:space="preserve"> </w:t>
      </w:r>
      <w:r>
        <w:t xml:space="preserve">The 3PAO must be FedRAMP-recognized.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0" w:name="system-inventory-framework-pm-5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System Inventory Framework (PM-5)</w:t>
      </w:r>
    </w:p>
    <w:bookmarkStart w:id="37" w:name="inventory-requirements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Inventory Requirements</w:t>
      </w:r>
    </w:p>
    <w:p>
      <w:pPr>
        <w:pStyle w:val="FirstParagraph"/>
      </w:pPr>
      <w:r>
        <w:t xml:space="preserve">NIST SP 800-53 PM-5 requires a current, complete inventory of all system</w:t>
      </w:r>
      <w:r>
        <w:t xml:space="preserve"> </w:t>
      </w:r>
      <w:r>
        <w:t xml:space="preserve">components within the authorization boundary. FedRAMP 20x additionally</w:t>
      </w:r>
      <w:r>
        <w:t xml:space="preserve"> </w:t>
      </w:r>
      <w:r>
        <w:t xml:space="preserve">requires that the inventory be machine-readable and kept in sync with</w:t>
      </w:r>
      <w:r>
        <w:t xml:space="preserve"> </w:t>
      </w:r>
      <w:r>
        <w:t xml:space="preserve">the deployed state.</w:t>
      </w:r>
    </w:p>
    <w:bookmarkEnd w:id="37"/>
    <w:bookmarkStart w:id="38" w:name="automation-approach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Automation Approach</w:t>
      </w:r>
    </w:p>
    <w:p>
      <w:pPr>
        <w:pStyle w:val="FirstParagraph"/>
      </w:pPr>
      <w:r>
        <w:t xml:space="preserve">The SSA system inventory is maintained through a three-layer approach:</w:t>
      </w:r>
    </w:p>
    <w:p>
      <w:pPr>
        <w:pStyle w:val="BodyText"/>
      </w:pPr>
      <w:r>
        <w:rPr>
          <w:bCs/>
          <w:b/>
        </w:rPr>
        <w:t xml:space="preserve">Layer 1 — Infrastructure Inventory (Automated)</w:t>
      </w:r>
    </w:p>
    <w:p>
      <w:pPr>
        <w:pStyle w:val="BodyText"/>
      </w:pPr>
      <w:r>
        <w:t xml:space="preserve">Azure Resource Graph queries provide real-time inventory of all Azure resources</w:t>
      </w:r>
      <w:r>
        <w:t xml:space="preserve"> </w:t>
      </w:r>
      <w:r>
        <w:t xml:space="preserve">within the authorization boundary subscription(s). A scheduled Logic App</w:t>
      </w:r>
      <w:r>
        <w:t xml:space="preserve"> </w:t>
      </w:r>
      <w:r>
        <w:t xml:space="preserve">exports the inventory to a structured JSON format every 24 hours.</w:t>
      </w:r>
    </w:p>
    <w:p>
      <w:pPr>
        <w:pStyle w:val="SourceCode"/>
      </w:pPr>
      <w:r>
        <w:rPr>
          <w:rStyle w:val="VerbatimChar"/>
        </w:rPr>
        <w:t xml:space="preserve">// Azure Resource Graph — authorization boundary inventory</w:t>
      </w:r>
      <w:r>
        <w:br/>
      </w:r>
      <w:r>
        <w:rPr>
          <w:rStyle w:val="VerbatimChar"/>
        </w:rPr>
        <w:t xml:space="preserve">resources</w:t>
      </w:r>
      <w:r>
        <w:br/>
      </w:r>
      <w:r>
        <w:rPr>
          <w:rStyle w:val="VerbatimChar"/>
        </w:rPr>
        <w:t xml:space="preserve">| where subscriptionId in ("[SUBSCRIPTION_IDS]")</w:t>
      </w:r>
      <w:r>
        <w:br/>
      </w:r>
      <w:r>
        <w:rPr>
          <w:rStyle w:val="VerbatimChar"/>
        </w:rPr>
        <w:t xml:space="preserve">| project</w:t>
      </w:r>
      <w:r>
        <w:br/>
      </w:r>
      <w:r>
        <w:rPr>
          <w:rStyle w:val="VerbatimChar"/>
        </w:rPr>
        <w:t xml:space="preserve">    resourceId = id,</w:t>
      </w:r>
      <w:r>
        <w:br/>
      </w:r>
      <w:r>
        <w:rPr>
          <w:rStyle w:val="VerbatimChar"/>
        </w:rPr>
        <w:t xml:space="preserve">    resourceType = type,</w:t>
      </w:r>
      <w:r>
        <w:br/>
      </w:r>
      <w:r>
        <w:rPr>
          <w:rStyle w:val="VerbatimChar"/>
        </w:rPr>
        <w:t xml:space="preserve">    resourceName = name,</w:t>
      </w:r>
      <w:r>
        <w:br/>
      </w:r>
      <w:r>
        <w:rPr>
          <w:rStyle w:val="VerbatimChar"/>
        </w:rPr>
        <w:t xml:space="preserve">    location,</w:t>
      </w:r>
      <w:r>
        <w:br/>
      </w:r>
      <w:r>
        <w:rPr>
          <w:rStyle w:val="VerbatimChar"/>
        </w:rPr>
        <w:t xml:space="preserve">    resourceGroup,</w:t>
      </w:r>
      <w:r>
        <w:br/>
      </w:r>
      <w:r>
        <w:rPr>
          <w:rStyle w:val="VerbatimChar"/>
        </w:rPr>
        <w:t xml:space="preserve">    tags,</w:t>
      </w:r>
      <w:r>
        <w:br/>
      </w:r>
      <w:r>
        <w:rPr>
          <w:rStyle w:val="VerbatimChar"/>
        </w:rPr>
        <w:t xml:space="preserve">    properties</w:t>
      </w:r>
      <w:r>
        <w:br/>
      </w:r>
      <w:r>
        <w:rPr>
          <w:rStyle w:val="VerbatimChar"/>
        </w:rPr>
        <w:t xml:space="preserve">| order by resourceType, resourceName</w:t>
      </w:r>
    </w:p>
    <w:p>
      <w:pPr>
        <w:pStyle w:val="FirstParagraph"/>
      </w:pPr>
      <w:r>
        <w:rPr>
          <w:bCs/>
          <w:b/>
        </w:rPr>
        <w:t xml:space="preserve">Layer 2 — Software Inventory (SBOM)</w:t>
      </w:r>
    </w:p>
    <w:p>
      <w:pPr>
        <w:pStyle w:val="BodyText"/>
      </w:pPr>
      <w:r>
        <w:t xml:space="preserve">Part 12 establishes the SBOM pipeline using Syft. Every container image</w:t>
      </w:r>
      <w:r>
        <w:t xml:space="preserve"> </w:t>
      </w:r>
      <w:r>
        <w:t xml:space="preserve">deployed in production generates a CycloneDX 1.6 SBOM at build time. The</w:t>
      </w:r>
      <w:r>
        <w:t xml:space="preserve"> </w:t>
      </w:r>
      <w:r>
        <w:t xml:space="preserve">SBOM manifest is the machine-readable software component inventory.</w:t>
      </w:r>
    </w:p>
    <w:p>
      <w:pPr>
        <w:pStyle w:val="BodyText"/>
      </w:pPr>
      <w:r>
        <w:t xml:space="preserve">Reconciliation between the infrastructure inventory (Layer 1) and the SBOM</w:t>
      </w:r>
      <w:r>
        <w:t xml:space="preserve"> </w:t>
      </w:r>
      <w:r>
        <w:t xml:space="preserve">inventory (Layer 2) is performed monthly by the DevSecOps team. Discrepancies</w:t>
      </w:r>
      <w:r>
        <w:t xml:space="preserve"> </w:t>
      </w:r>
      <w:r>
        <w:t xml:space="preserve">are logged as POA&amp;M items if not resolved within 30 days.</w:t>
      </w:r>
    </w:p>
    <w:p>
      <w:pPr>
        <w:pStyle w:val="BodyText"/>
      </w:pPr>
      <w:r>
        <w:rPr>
          <w:bCs/>
          <w:b/>
        </w:rPr>
        <w:t xml:space="preserve">Layer 3 — Personnel and Account Inventory (Identity)</w:t>
      </w:r>
    </w:p>
    <w:p>
      <w:pPr>
        <w:pStyle w:val="BodyText"/>
      </w:pPr>
      <w:r>
        <w:t xml:space="preserve">Entra ID (Part 3) provides the authoritative account inventory. The ISSO</w:t>
      </w:r>
      <w:r>
        <w:t xml:space="preserve"> </w:t>
      </w:r>
      <w:r>
        <w:t xml:space="preserve">reviews privileged account counts weekly (referenced by KSI-003). The</w:t>
      </w:r>
      <w:r>
        <w:t xml:space="preserve"> </w:t>
      </w:r>
      <w:r>
        <w:t xml:space="preserve">Part 3 evidence artifacts satisfy CM-8(1) automated inventory updates for</w:t>
      </w:r>
      <w:r>
        <w:t xml:space="preserve"> </w:t>
      </w:r>
      <w:r>
        <w:t xml:space="preserve">the identity plane.</w:t>
      </w:r>
    </w:p>
    <w:bookmarkEnd w:id="38"/>
    <w:bookmarkStart w:id="39" w:name="inventory-template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Inventory Template</w:t>
      </w:r>
    </w:p>
    <w:p>
      <w:pPr>
        <w:pStyle w:val="BlockText"/>
      </w:pPr>
      <w:r>
        <w:t xml:space="preserve">[FILLABLE] Complete the following inventory for all components within the</w:t>
      </w:r>
      <w:r>
        <w:t xml:space="preserve"> </w:t>
      </w:r>
      <w:r>
        <w:t xml:space="preserve">authorization boundary: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54"/>
        <w:gridCol w:w="1667"/>
        <w:gridCol w:w="625"/>
        <w:gridCol w:w="1042"/>
        <w:gridCol w:w="729"/>
        <w:gridCol w:w="937"/>
        <w:gridCol w:w="15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SBOM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Reviewed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[Server/Container/SaaS/Network]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[Azure Region]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[Team]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[SHA256]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5" w:name="risk-management-strategy-pm-9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Risk Management Strategy (PM-9)</w:t>
      </w:r>
    </w:p>
    <w:bookmarkStart w:id="41" w:name="risk-management-framework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Risk Management Framework</w:t>
      </w:r>
    </w:p>
    <w:p>
      <w:pPr>
        <w:pStyle w:val="FirstParagraph"/>
      </w:pPr>
      <w:r>
        <w:t xml:space="preserve">SSA’s risk management strategy follows NIST SP 800-39 (Managing Information</w:t>
      </w:r>
      <w:r>
        <w:t xml:space="preserve"> </w:t>
      </w:r>
      <w:r>
        <w:t xml:space="preserve">Security Risk) at three tiers: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Tier 1 (Organization):</w:t>
      </w:r>
      <w:r>
        <w:t xml:space="preserve"> </w:t>
      </w:r>
      <w:r>
        <w:t xml:space="preserve">Risk framing — risk tolerance, risk assumptions,</w:t>
      </w:r>
      <w:r>
        <w:t xml:space="preserve"> </w:t>
      </w:r>
      <w:r>
        <w:t xml:space="preserve">risk constraints, priorities, and trade-offs defined by SSA leadership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Tier 2 (Mission/Process):</w:t>
      </w:r>
      <w:r>
        <w:t xml:space="preserve"> </w:t>
      </w:r>
      <w:r>
        <w:t xml:space="preserve">Risk assessment — enterprise-level risk</w:t>
      </w:r>
      <w:r>
        <w:t xml:space="preserve"> </w:t>
      </w:r>
      <w:r>
        <w:t xml:space="preserve">register maintained by the CISO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Tier 3 (System):</w:t>
      </w:r>
      <w:r>
        <w:t xml:space="preserve"> </w:t>
      </w:r>
      <w:r>
        <w:t xml:space="preserve">Risk response — system-level POA&amp;M, continuous</w:t>
      </w:r>
      <w:r>
        <w:t xml:space="preserve"> </w:t>
      </w:r>
      <w:r>
        <w:t xml:space="preserve">monitoring, authorization decisions</w:t>
      </w:r>
    </w:p>
    <w:bookmarkEnd w:id="41"/>
    <w:bookmarkStart w:id="42" w:name="risk-appetite-statement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Risk Appetite Statement</w:t>
      </w:r>
    </w:p>
    <w:p>
      <w:pPr>
        <w:pStyle w:val="BlockText"/>
      </w:pPr>
      <w:r>
        <w:t xml:space="preserve">[FILLABLE — requires CISO and AO sign-off]</w:t>
      </w:r>
    </w:p>
    <w:p>
      <w:pPr>
        <w:pStyle w:val="BlockText"/>
      </w:pPr>
      <w:r>
        <w:t xml:space="preserve">SSA accepts residual risk at the Moderate impact level for systems that</w:t>
      </w:r>
      <w:r>
        <w:t xml:space="preserve"> </w:t>
      </w:r>
      <w:r>
        <w:t xml:space="preserve">process citizen benefit data, consistent with FIPS 199 categorization.</w:t>
      </w:r>
      <w:r>
        <w:t xml:space="preserve"> </w:t>
      </w:r>
      <w:r>
        <w:t xml:space="preserve">The organization’s risk tolerance for the following categories is: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10"/>
        <w:gridCol w:w="2354"/>
        <w:gridCol w:w="23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(RTO ≤ 4h for critical)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 payment continuity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Confidentiality — PII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Citizen trust; statutory obligation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Confidentiality — 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accuracy; 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Supply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 26-04 and EO 14028 mandate</w:t>
            </w:r>
          </w:p>
        </w:tc>
      </w:tr>
    </w:tbl>
    <w:bookmarkEnd w:id="42"/>
    <w:bookmarkStart w:id="43" w:name="risk-register-format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Risk Register Format</w:t>
      </w:r>
    </w:p>
    <w:p>
      <w:pPr>
        <w:pStyle w:val="FirstParagraph"/>
      </w:pPr>
      <w:r>
        <w:t xml:space="preserve">The SSA enterprise risk register is maintained in the POA&amp;M tracker and</w:t>
      </w:r>
      <w:r>
        <w:t xml:space="preserve"> </w:t>
      </w:r>
      <w:r>
        <w:t xml:space="preserve">reviewed monthly by the ISSO, quarterly by the CISO.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25"/>
        <w:gridCol w:w="925"/>
        <w:gridCol w:w="1337"/>
        <w:gridCol w:w="1131"/>
        <w:gridCol w:w="822"/>
        <w:gridCol w:w="720"/>
        <w:gridCol w:w="720"/>
        <w:gridCol w:w="822"/>
        <w:gridCol w:w="5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[R-NNN]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[Description]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[1-5]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[1-5]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[L×I]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Open/Closed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Scoring matrix:</w:t>
      </w:r>
      <w:r>
        <w:t xml:space="preserve"> </w:t>
      </w:r>
      <w:r>
        <w:t xml:space="preserve">Score = Likelihood (1=Rare, 5=Certain) × Impact (1=Negligible, 5=Catastrophic)</w:t>
      </w:r>
    </w:p>
    <w:p>
      <w:pPr>
        <w:numPr>
          <w:ilvl w:val="0"/>
          <w:numId w:val="1008"/>
        </w:numPr>
        <w:pStyle w:val="Compact"/>
      </w:pPr>
      <w:r>
        <w:t xml:space="preserve">Score 1–4: Accept (document and monitor)</w:t>
      </w:r>
    </w:p>
    <w:p>
      <w:pPr>
        <w:numPr>
          <w:ilvl w:val="0"/>
          <w:numId w:val="1008"/>
        </w:numPr>
        <w:pStyle w:val="Compact"/>
      </w:pPr>
      <w:r>
        <w:t xml:space="preserve">Score 5–9: Mitigate (POA&amp;M required within 90 days)</w:t>
      </w:r>
    </w:p>
    <w:p>
      <w:pPr>
        <w:numPr>
          <w:ilvl w:val="0"/>
          <w:numId w:val="1008"/>
        </w:numPr>
        <w:pStyle w:val="Compact"/>
      </w:pPr>
      <w:r>
        <w:t xml:space="preserve">Score 10–15: Mitigate urgently (POA&amp;M required within 30 days)</w:t>
      </w:r>
    </w:p>
    <w:p>
      <w:pPr>
        <w:numPr>
          <w:ilvl w:val="0"/>
          <w:numId w:val="1008"/>
        </w:numPr>
        <w:pStyle w:val="Compact"/>
      </w:pPr>
      <w:r>
        <w:t xml:space="preserve">Score 16–25: Escalate to AO (POA&amp;M required within 15 days)</w:t>
      </w:r>
    </w:p>
    <w:bookmarkEnd w:id="43"/>
    <w:bookmarkStart w:id="44" w:name="risk-response-options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Risk Response Options</w:t>
      </w:r>
    </w:p>
    <w:p>
      <w:pPr>
        <w:pStyle w:val="FirstParagraph"/>
      </w:pPr>
      <w:r>
        <w:t xml:space="preserve">For each identified risk the ISSO documents the chosen response: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Mitigate:</w:t>
      </w:r>
      <w:r>
        <w:t xml:space="preserve"> </w:t>
      </w:r>
      <w:r>
        <w:t xml:space="preserve">Implement or strengthen a control to reduce likelihood/impact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Transfer:</w:t>
      </w:r>
      <w:r>
        <w:t xml:space="preserve"> </w:t>
      </w:r>
      <w:r>
        <w:t xml:space="preserve">Contractually shift risk to a cloud service provider or vendor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Accept:</w:t>
      </w:r>
      <w:r>
        <w:t xml:space="preserve"> </w:t>
      </w:r>
      <w:r>
        <w:t xml:space="preserve">Document acceptance with AO concurrence (time-bounded for score &gt; 4)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Avoid:</w:t>
      </w:r>
      <w:r>
        <w:t xml:space="preserve"> </w:t>
      </w:r>
      <w:r>
        <w:t xml:space="preserve">Remove the system component or functionality that generates the risk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Xe72d98f2c6290eae65662920ae3e1fff22106c5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Testing, Training, and Monitoring Plan (PM-14)</w:t>
      </w:r>
    </w:p>
    <w:bookmarkStart w:id="46" w:name="ttm-framework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T&amp;T&amp;M Framework</w:t>
      </w:r>
    </w:p>
    <w:p>
      <w:pPr>
        <w:pStyle w:val="FirstParagraph"/>
      </w:pPr>
      <w:r>
        <w:t xml:space="preserve">PM-14 requires the organization to implement a security testing, training, and</w:t>
      </w:r>
      <w:r>
        <w:t xml:space="preserve"> </w:t>
      </w:r>
      <w:r>
        <w:t xml:space="preserve">monitoring program with defined schedules and accountability.</w:t>
      </w:r>
    </w:p>
    <w:bookmarkEnd w:id="46"/>
    <w:bookmarkStart w:id="47" w:name="testing-schedule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Testing Schedule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43"/>
        <w:gridCol w:w="1643"/>
        <w:gridCol w:w="1942"/>
        <w:gridCol w:w="26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Artifact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security assessment (3PAO)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 / CISO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Penetration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3PAO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 test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Tabletop incident response 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 / SOC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 after-action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spot-check (automated KSI monitoring)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DevSecOps / SOC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Vulnerability scan (Defender VM)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 Defender VM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SBOM/VDR scan (Grype CI gate)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PR 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DevSecOps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12 CI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Contingency plan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CP-4 test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 baseline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DevSecOps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baseline diff</w:t>
            </w:r>
          </w:p>
        </w:tc>
      </w:tr>
    </w:tbl>
    <w:bookmarkEnd w:id="47"/>
    <w:bookmarkStart w:id="48" w:name="training-requirements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Training Requirements</w:t>
      </w:r>
    </w:p>
    <w:p>
      <w:pPr>
        <w:pStyle w:val="FirstParagraph"/>
      </w:pPr>
      <w:r>
        <w:t xml:space="preserve">All personnel with access to systems within the authorization boundary must</w:t>
      </w:r>
      <w:r>
        <w:t xml:space="preserve"> </w:t>
      </w:r>
      <w:r>
        <w:t xml:space="preserve">complete: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85"/>
        <w:gridCol w:w="1853"/>
        <w:gridCol w:w="1685"/>
        <w:gridCol w:w="2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awareness (role-based)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[LMS 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FedRAMP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ISSO, security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[LMS 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response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ISSO, SOC, DevSecOps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Tabletop exercise roster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SBOM/supply chain 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DevSecOps, procurement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[LMS 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 (PII handling)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users with PII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[LMS NAME]</w:t>
            </w:r>
          </w:p>
        </w:tc>
      </w:tr>
    </w:tbl>
    <w:bookmarkEnd w:id="48"/>
    <w:bookmarkStart w:id="49" w:name="continuous-monitoring-program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Continuous Monitoring Program</w:t>
      </w:r>
    </w:p>
    <w:p>
      <w:pPr>
        <w:pStyle w:val="FirstParagraph"/>
      </w:pPr>
      <w:r>
        <w:t xml:space="preserve">The continuous monitoring program for SSA’s FedRAMP 20x authorization is</w:t>
      </w:r>
      <w:r>
        <w:t xml:space="preserve"> </w:t>
      </w:r>
      <w:r>
        <w:t xml:space="preserve">operationalized through the Part 10 Sentinel XDR platform with the following</w:t>
      </w:r>
      <w:r>
        <w:t xml:space="preserve"> </w:t>
      </w:r>
      <w:r>
        <w:t xml:space="preserve">monitoring dimensions: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2592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 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Workbook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Cadence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 anomalies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KSI-IAM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&amp;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anomalies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KSI-CNA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Endpoint threats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KSI-PIY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Vulnerability posture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KSI-MLA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SBOM drift / CVE ingestion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KSI-CMT / KSI-SCR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SBOM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KSI-MLA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Analytics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5" w:name="security-contact-registry-pm-15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Security Contact Registry (PM-15)</w:t>
      </w:r>
    </w:p>
    <w:bookmarkStart w:id="54" w:name="industry-and-government-liaison-contacts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Industry and Government Liaison Contacts</w:t>
      </w:r>
    </w:p>
    <w:p>
      <w:pPr>
        <w:pStyle w:val="FirstParagraph"/>
      </w:pPr>
      <w:r>
        <w:t xml:space="preserve">PM-15 requires the organization to maintain current contacts with security</w:t>
      </w:r>
      <w:r>
        <w:t xml:space="preserve"> </w:t>
      </w:r>
      <w:r>
        <w:t xml:space="preserve">groups, associations, and government organizations. The following registry</w:t>
      </w:r>
      <w:r>
        <w:t xml:space="preserve"> </w:t>
      </w:r>
      <w:r>
        <w:t xml:space="preserve">is maintained by the CISO and reviewed quarterly.</w:t>
      </w:r>
    </w:p>
    <w:bookmarkStart w:id="51" w:name="government-contacts"/>
    <w:p>
      <w:pPr>
        <w:pStyle w:val="Heading3"/>
      </w:pPr>
      <w:r>
        <w:rPr>
          <w:rStyle w:val="SectionNumber"/>
        </w:rPr>
        <w:t xml:space="preserve">7.1.1</w:t>
      </w:r>
      <w:r>
        <w:tab/>
      </w:r>
      <w:r>
        <w:t xml:space="preserve">Government Contacts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34"/>
        <w:gridCol w:w="1634"/>
        <w:gridCol w:w="2640"/>
        <w:gridCol w:w="20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CISA (US-CERT)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incidents meeting FISMA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ir@cisa.dhs.gov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CISA KEV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 intel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 additions affecting SSA SBOM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kev@cisa.dhs.gov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FedRAMP PMO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 change, annual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info@fedramp.gov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OMB Cyber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policy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[OMB POC]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SSA 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notification, investigation referral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[IG POC]</w:t>
            </w:r>
          </w:p>
        </w:tc>
      </w:tr>
    </w:tbl>
    <w:bookmarkEnd w:id="51"/>
    <w:bookmarkStart w:id="52" w:name="industry-and-isac-contacts"/>
    <w:p>
      <w:pPr>
        <w:pStyle w:val="Heading3"/>
      </w:pPr>
      <w:r>
        <w:rPr>
          <w:rStyle w:val="SectionNumber"/>
        </w:rPr>
        <w:t xml:space="preserve">7.1.2</w:t>
      </w:r>
      <w:r>
        <w:tab/>
      </w:r>
      <w:r>
        <w:t xml:space="preserve">Industry and ISAC Contacts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01"/>
        <w:gridCol w:w="1777"/>
        <w:gridCol w:w="2586"/>
        <w:gridCol w:w="14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MS-ISAC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 intelligence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briefing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IT-ISAC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IT threat feeds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 MSRC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CVE notification for Azure/M365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(RSS)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CISA PSIRT feeds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VEX/VDR-relevant vendor advisories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NIST NVD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consumer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CVE/CVSS feed for SBOM VDR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automated pull</w:t>
            </w:r>
          </w:p>
        </w:tc>
      </w:tr>
    </w:tbl>
    <w:bookmarkEnd w:id="52"/>
    <w:bookmarkStart w:id="53" w:name="security-industry-contacts"/>
    <w:p>
      <w:pPr>
        <w:pStyle w:val="Heading3"/>
      </w:pPr>
      <w:r>
        <w:rPr>
          <w:rStyle w:val="SectionNumber"/>
        </w:rPr>
        <w:t xml:space="preserve">7.1.3</w:t>
      </w:r>
      <w:r>
        <w:tab/>
      </w:r>
      <w:r>
        <w:t xml:space="preserve">Security Industry Contacts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8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Security Alliance (CSA)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FedRAMP best practices; STAR 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ACT-IAC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IT policy; FedRAMP 20x working 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ISACA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frameworks; COBIT alignment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4" w:name="Xcb7d7a12a521ad2f34fcbc9b78b5c55b738633c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Supply Chain Risk Management Governance Charter (PM-30)</w:t>
      </w:r>
    </w:p>
    <w:bookmarkStart w:id="56" w:name="charter-purpose-and-authority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Charter Purpose and Authority</w:t>
      </w:r>
    </w:p>
    <w:p>
      <w:pPr>
        <w:pStyle w:val="FirstParagraph"/>
      </w:pPr>
      <w:r>
        <w:t xml:space="preserve">This Supply Chain Risk Management (SCRM) Governance Charter establishes SSA’s</w:t>
      </w:r>
      <w:r>
        <w:t xml:space="preserve"> </w:t>
      </w:r>
      <w:r>
        <w:t xml:space="preserve">organizational commitment to identifying, assessing, and managing supply chain</w:t>
      </w:r>
      <w:r>
        <w:t xml:space="preserve"> </w:t>
      </w:r>
      <w:r>
        <w:t xml:space="preserve">risks across the lifecycle of cloud services used to deliver SSA’s mission.</w:t>
      </w:r>
    </w:p>
    <w:p>
      <w:pPr>
        <w:pStyle w:val="BodyText"/>
      </w:pPr>
      <w:r>
        <w:rPr>
          <w:bCs/>
          <w:b/>
        </w:rPr>
        <w:t xml:space="preserve">Authority:</w:t>
      </w:r>
      <w:r>
        <w:t xml:space="preserve"> </w:t>
      </w:r>
      <w:r>
        <w:t xml:space="preserve">This charter is approved by the [SSA CISO / CIO] and reviewed</w:t>
      </w:r>
      <w:r>
        <w:t xml:space="preserve"> </w:t>
      </w:r>
      <w:r>
        <w:t xml:space="preserve">annually. It implements the requirements of NIST SP 800-161r1, EO 14028</w:t>
      </w:r>
      <w:r>
        <w:t xml:space="preserve"> </w:t>
      </w:r>
      <w:r>
        <w:t xml:space="preserve">§4(c), and FedRAMP 20x KSI-SCR.</w:t>
      </w:r>
    </w:p>
    <w:p>
      <w:pPr>
        <w:pStyle w:val="BodyText"/>
      </w:pPr>
      <w:r>
        <w:rPr>
          <w:bCs/>
          <w:b/>
        </w:rPr>
        <w:t xml:space="preserve">Scope:</w:t>
      </w:r>
      <w:r>
        <w:t xml:space="preserve"> </w:t>
      </w:r>
      <w:r>
        <w:t xml:space="preserve">All cloud services, third-party software components, hardware</w:t>
      </w:r>
      <w:r>
        <w:t xml:space="preserve"> </w:t>
      </w:r>
      <w:r>
        <w:t xml:space="preserve">components, and system integrators within the FedRAMP authorization boundary.</w:t>
      </w:r>
    </w:p>
    <w:bookmarkEnd w:id="56"/>
    <w:bookmarkStart w:id="57" w:name="scrm-organizational-structure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SCRM Organizational Structure</w:t>
      </w:r>
    </w:p>
    <w:p>
      <w:pPr>
        <w:pStyle w:val="SourceCode"/>
      </w:pPr>
      <w:r>
        <w:rPr>
          <w:rStyle w:val="VerbatimChar"/>
        </w:rPr>
        <w:t xml:space="preserve">SSA CIO</w:t>
      </w:r>
      <w:r>
        <w:br/>
      </w:r>
      <w:r>
        <w:rPr>
          <w:rStyle w:val="VerbatimChar"/>
        </w:rPr>
        <w:t xml:space="preserve">└── CISO (SCRM Executive Sponsor)</w:t>
      </w:r>
      <w:r>
        <w:br/>
      </w:r>
      <w:r>
        <w:rPr>
          <w:rStyle w:val="VerbatimChar"/>
        </w:rPr>
        <w:t xml:space="preserve">    ├── ISSO (SCRM Program Manager — day-to-day)</w:t>
      </w:r>
      <w:r>
        <w:br/>
      </w:r>
      <w:r>
        <w:rPr>
          <w:rStyle w:val="VerbatimChar"/>
        </w:rPr>
        <w:t xml:space="preserve">    │   ├── DevSecOps Lead (SBOM pipeline owner)</w:t>
      </w:r>
      <w:r>
        <w:br/>
      </w:r>
      <w:r>
        <w:rPr>
          <w:rStyle w:val="VerbatimChar"/>
        </w:rPr>
        <w:t xml:space="preserve">    │   ├── Procurement Security Liaison (SR-2 acquisition clauses)</w:t>
      </w:r>
      <w:r>
        <w:br/>
      </w:r>
      <w:r>
        <w:rPr>
          <w:rStyle w:val="VerbatimChar"/>
        </w:rPr>
        <w:t xml:space="preserve">    │   └── Vendor Risk Analyst (supplier assessments, SR-6)</w:t>
      </w:r>
      <w:r>
        <w:br/>
      </w:r>
      <w:r>
        <w:rPr>
          <w:rStyle w:val="VerbatimChar"/>
        </w:rPr>
        <w:t xml:space="preserve">    └── Legal / Contracts (FOCI reviews, supply chain clauses)</w:t>
      </w:r>
    </w:p>
    <w:bookmarkEnd w:id="57"/>
    <w:bookmarkStart w:id="58" w:name="scrm-risk-categories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SCRM Risk Categories</w:t>
      </w:r>
    </w:p>
    <w:p>
      <w:pPr>
        <w:pStyle w:val="FirstParagraph"/>
      </w:pPr>
      <w:r>
        <w:t xml:space="preserve">SSA’s SCRM program addresses five supply chain risk categories aligned with</w:t>
      </w:r>
      <w:r>
        <w:t xml:space="preserve"> </w:t>
      </w:r>
      <w:r>
        <w:t xml:space="preserve">NIST SP 800-161r1: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50"/>
        <w:gridCol w:w="1485"/>
        <w:gridCol w:w="1650"/>
        <w:gridCol w:w="313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12/13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Counterfeit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Fake open-source packages, typosquatting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SR-3, SR-10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SBOM + Cosign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Tampered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Compromised build pipeline, malicious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SR-3, SA-10, SA-11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SLSA provenance, Grype CI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Vulnerable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CVEs in SBOM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SR-5, SR-6, SR-11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VDR (Grype output), KEV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Unauthorized access by supplier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with excessive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SR-6, AC-21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 vendor access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Vendor financial/operational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bankruptcy, PSIRT 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SR-8, PM-9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disclosure matrix (Part 12)</w:t>
            </w:r>
          </w:p>
        </w:tc>
      </w:tr>
    </w:tbl>
    <w:bookmarkEnd w:id="58"/>
    <w:bookmarkStart w:id="59" w:name="scrm-risk-assessment-process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SCRM Risk Assessment Process</w:t>
      </w:r>
    </w:p>
    <w:p>
      <w:pPr>
        <w:pStyle w:val="FirstParagraph"/>
      </w:pPr>
      <w:r>
        <w:t xml:space="preserve">The SCRM risk assessment is performed: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Annually</w:t>
      </w:r>
      <w:r>
        <w:t xml:space="preserve"> </w:t>
      </w:r>
      <w:r>
        <w:t xml:space="preserve">— full assessment of all critical suppliers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On new procurement</w:t>
      </w:r>
      <w:r>
        <w:t xml:space="preserve"> </w:t>
      </w:r>
      <w:r>
        <w:t xml:space="preserve">— for any new third-party software component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On CVE disclosure</w:t>
      </w:r>
      <w:r>
        <w:t xml:space="preserve"> </w:t>
      </w:r>
      <w:r>
        <w:t xml:space="preserve">— triggered by KEV additions or vendor PSIRT advisories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On change</w:t>
      </w:r>
      <w:r>
        <w:t xml:space="preserve"> </w:t>
      </w:r>
      <w:r>
        <w:t xml:space="preserve">— when the SBOM diff shows a new dependency or version bump</w:t>
      </w:r>
    </w:p>
    <w:p>
      <w:pPr>
        <w:pStyle w:val="BodyText"/>
      </w:pPr>
      <w:r>
        <w:rPr>
          <w:bCs/>
          <w:b/>
        </w:rPr>
        <w:t xml:space="preserve">Assessment Inputs:</w:t>
      </w:r>
      <w:r>
        <w:t xml:space="preserve"> </w:t>
      </w:r>
      <w:r>
        <w:t xml:space="preserve">1. SBOM manifest (Syft output, Part 12) — identifies all components and suppliers</w:t>
      </w:r>
      <w:r>
        <w:t xml:space="preserve"> </w:t>
      </w:r>
      <w:r>
        <w:t xml:space="preserve">2. VDR (Grype output, Part 12) — identifies exploitable vulnerabilities</w:t>
      </w:r>
      <w:r>
        <w:t xml:space="preserve"> </w:t>
      </w:r>
      <w:r>
        <w:t xml:space="preserve">3. Vendor disclosure matrix (Part 12 §7) — supplier security posture</w:t>
      </w:r>
      <w:r>
        <w:t xml:space="preserve"> </w:t>
      </w:r>
      <w:r>
        <w:t xml:space="preserve">4. KEV feed (CISA, integrated via Part 10 Sentinel) — known exploited CVEs</w:t>
      </w:r>
      <w:r>
        <w:t xml:space="preserve"> </w:t>
      </w:r>
      <w:r>
        <w:t xml:space="preserve">5. PSIRT/MSRC subscriptions (Part 12 §6.3) — vendor security advisories</w:t>
      </w:r>
    </w:p>
    <w:p>
      <w:pPr>
        <w:pStyle w:val="BodyText"/>
      </w:pPr>
      <w:r>
        <w:rPr>
          <w:bCs/>
          <w:b/>
        </w:rPr>
        <w:t xml:space="preserve">Assessment Output:</w:t>
      </w:r>
      <w:r>
        <w:t xml:space="preserve"> </w:t>
      </w:r>
      <w:r>
        <w:t xml:space="preserve">- SCRM risk register update (referenced in PM-9 §5.2 above)</w:t>
      </w:r>
      <w:r>
        <w:t xml:space="preserve"> </w:t>
      </w:r>
      <w:r>
        <w:t xml:space="preserve">- VEX assertions for each CVE (OpenVEX format, Part 12 §5)</w:t>
      </w:r>
      <w:r>
        <w:t xml:space="preserve"> </w:t>
      </w:r>
      <w:r>
        <w:t xml:space="preserve">- Remediation actions (POA&amp;M items for unmitigated critical CVEs)</w:t>
      </w:r>
    </w:p>
    <w:bookmarkEnd w:id="59"/>
    <w:bookmarkStart w:id="60" w:name="supplier-requirements"/>
    <w:p>
      <w:pPr>
        <w:pStyle w:val="Heading2"/>
      </w:pPr>
      <w:r>
        <w:rPr>
          <w:rStyle w:val="SectionNumber"/>
        </w:rPr>
        <w:t xml:space="preserve">8.5</w:t>
      </w:r>
      <w:r>
        <w:tab/>
      </w:r>
      <w:r>
        <w:t xml:space="preserve">Supplier Requirements</w:t>
      </w:r>
    </w:p>
    <w:p>
      <w:pPr>
        <w:pStyle w:val="FirstParagraph"/>
      </w:pPr>
      <w:r>
        <w:t xml:space="preserve">All suppliers of software components within the authorization boundary must: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Provide an SBOM</w:t>
      </w:r>
      <w:r>
        <w:t xml:space="preserve"> </w:t>
      </w:r>
      <w:r>
        <w:t xml:space="preserve">in CycloneDX 1.6 or SPDX 2.3 format for all software</w:t>
      </w:r>
      <w:r>
        <w:t xml:space="preserve"> </w:t>
      </w:r>
      <w:r>
        <w:t xml:space="preserve">delivered, within 30 days of contract award and within 15 days of any</w:t>
      </w:r>
      <w:r>
        <w:t xml:space="preserve"> </w:t>
      </w:r>
      <w:r>
        <w:t xml:space="preserve">production update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Maintain a PSIRT</w:t>
      </w:r>
      <w:r>
        <w:t xml:space="preserve"> </w:t>
      </w:r>
      <w:r>
        <w:t xml:space="preserve">or designate a security contact reachable within</w:t>
      </w:r>
      <w:r>
        <w:t xml:space="preserve"> </w:t>
      </w:r>
      <w:r>
        <w:t xml:space="preserve">24 hours of a critical CVE disclosure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Notify SSA</w:t>
      </w:r>
      <w:r>
        <w:t xml:space="preserve"> </w:t>
      </w:r>
      <w:r>
        <w:t xml:space="preserve">within 72 hours of discovery of any security incident that</w:t>
      </w:r>
      <w:r>
        <w:t xml:space="preserve"> </w:t>
      </w:r>
      <w:r>
        <w:t xml:space="preserve">may affect components in SSA’s production environment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Submit VEX assertions</w:t>
      </w:r>
      <w:r>
        <w:t xml:space="preserve"> </w:t>
      </w:r>
      <w:r>
        <w:t xml:space="preserve">for CVEs identified in their components within</w:t>
      </w:r>
      <w:r>
        <w:t xml:space="preserve"> </w:t>
      </w:r>
      <w:r>
        <w:t xml:space="preserve">30 days of CISA CVE publication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Accept SSA SCRM audit rights</w:t>
      </w:r>
      <w:r>
        <w:t xml:space="preserve"> </w:t>
      </w:r>
      <w:r>
        <w:t xml:space="preserve">— the right to audit the supplier’s</w:t>
      </w:r>
      <w:r>
        <w:t xml:space="preserve"> </w:t>
      </w:r>
      <w:r>
        <w:t xml:space="preserve">security practices with 30 days’ notice</w:t>
      </w:r>
    </w:p>
    <w:p>
      <w:pPr>
        <w:pStyle w:val="BlockText"/>
      </w:pPr>
      <w:r>
        <w:t xml:space="preserve">[FILLABLE] Insert contract clause language for SR-2/SR-3 requirements.</w:t>
      </w:r>
      <w:r>
        <w:t xml:space="preserve"> </w:t>
      </w:r>
      <w:r>
        <w:t xml:space="preserve">Coordinate with SSA Contracts and Procurement to embed SBOM requirement</w:t>
      </w:r>
      <w:r>
        <w:t xml:space="preserve"> </w:t>
      </w:r>
      <w:r>
        <w:t xml:space="preserve">in the standard Acquisition/Vendor Agreement template.</w:t>
      </w:r>
    </w:p>
    <w:bookmarkEnd w:id="60"/>
    <w:bookmarkStart w:id="61" w:name="bod-26-04-compliance-posture"/>
    <w:p>
      <w:pPr>
        <w:pStyle w:val="Heading2"/>
      </w:pPr>
      <w:r>
        <w:rPr>
          <w:rStyle w:val="SectionNumber"/>
        </w:rPr>
        <w:t xml:space="preserve">8.6</w:t>
      </w:r>
      <w:r>
        <w:tab/>
      </w:r>
      <w:r>
        <w:t xml:space="preserve">BOD 26-04 Compliance Posture</w:t>
      </w:r>
    </w:p>
    <w:p>
      <w:pPr>
        <w:pStyle w:val="FirstParagraph"/>
      </w:pPr>
      <w:r>
        <w:t xml:space="preserve">CISA Binding Operational Directive 26-04 requires all FCEB agencies to</w:t>
      </w:r>
      <w:r>
        <w:t xml:space="preserve"> </w:t>
      </w:r>
      <w:r>
        <w:t xml:space="preserve">submit SBOM, VDR, and VER for all federal systems by</w:t>
      </w:r>
      <w:r>
        <w:t xml:space="preserve"> </w:t>
      </w:r>
      <w:r>
        <w:rPr>
          <w:bCs/>
          <w:b/>
        </w:rPr>
        <w:t xml:space="preserve">December 7, 2026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2059"/>
        <w:gridCol w:w="1900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BOD 26-04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SSA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1: SBOM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Machine-readable SBOM for all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12, Syft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2: VDR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 Disclosure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12, Grype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3: 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 Exploitability 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12, OpenVEX JSON</w:t>
            </w:r>
          </w:p>
        </w:tc>
      </w:tr>
    </w:tbl>
    <w:p>
      <w:pPr>
        <w:pStyle w:val="BodyText"/>
      </w:pPr>
      <w:r>
        <w:t xml:space="preserve">SSA’s SCRM program satisfies all three BOD 26-04 tiers through the technical</w:t>
      </w:r>
      <w:r>
        <w:t xml:space="preserve"> </w:t>
      </w:r>
      <w:r>
        <w:t xml:space="preserve">pipeline established in Part 12 (SBOM + VDR + VEX Framework) and the</w:t>
      </w:r>
      <w:r>
        <w:t xml:space="preserve"> </w:t>
      </w:r>
      <w:r>
        <w:t xml:space="preserve">organizational governance framework established in this charter.</w:t>
      </w:r>
    </w:p>
    <w:bookmarkEnd w:id="61"/>
    <w:bookmarkStart w:id="62" w:name="scrm-governance-cadence"/>
    <w:p>
      <w:pPr>
        <w:pStyle w:val="Heading2"/>
      </w:pPr>
      <w:r>
        <w:rPr>
          <w:rStyle w:val="SectionNumber"/>
        </w:rPr>
        <w:t xml:space="preserve">8.7</w:t>
      </w:r>
      <w:r>
        <w:tab/>
      </w:r>
      <w:r>
        <w:t xml:space="preserve">SCRM Governance Cadence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00"/>
        <w:gridCol w:w="2420"/>
        <w:gridCol w:w="154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SBOM scan (CI gate)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PR 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DevSecOps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VDR (Grype)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VEX assertion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90-day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VEX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disclosure matrix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+ on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Risk 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SCRM risk register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register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 SBOM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delivery + 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Procurement Liaison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SBOM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PSIRT subscription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DevSecOps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roster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SCRM charter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charter revision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 26-04 submission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Pre-deadline (Oct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CISO / 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VDR/VER submission package</w:t>
            </w:r>
          </w:p>
        </w:tc>
      </w:tr>
    </w:tbl>
    <w:bookmarkEnd w:id="62"/>
    <w:bookmarkStart w:id="63" w:name="charter-approval"/>
    <w:p>
      <w:pPr>
        <w:pStyle w:val="Heading2"/>
      </w:pPr>
      <w:r>
        <w:rPr>
          <w:rStyle w:val="SectionNumber"/>
        </w:rPr>
        <w:t xml:space="preserve">8.8</w:t>
      </w:r>
      <w:r>
        <w:tab/>
      </w:r>
      <w:r>
        <w:t xml:space="preserve">Charter Approval</w:t>
      </w:r>
    </w:p>
    <w:p>
      <w:pPr>
        <w:pStyle w:val="FirstParagraph"/>
      </w:pPr>
      <w:r>
        <w:t xml:space="preserve">This SCRM Governance Charter has been reviewed and approved by: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CISO / SAISO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[SIGNATURE]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[SIGNATURE]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[SIGNATURE]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[SIGNATURE]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</w:tr>
    </w:tbl>
    <w:p>
      <w:pPr>
        <w:pStyle w:val="BlockText"/>
      </w:pPr>
      <w:r>
        <w:t xml:space="preserve">[FILLABLE] Obtain signatures before submission in the FedRAMP authorization</w:t>
      </w:r>
      <w:r>
        <w:t xml:space="preserve"> </w:t>
      </w:r>
      <w:r>
        <w:t xml:space="preserve">package. The signed charter is the PM-30 evidence artifact. It must be</w:t>
      </w:r>
      <w:r>
        <w:t xml:space="preserve"> </w:t>
      </w:r>
      <w:r>
        <w:t xml:space="preserve">dated and version-controlled; include version number and supersession note</w:t>
      </w:r>
      <w:r>
        <w:t xml:space="preserve"> </w:t>
      </w:r>
      <w:r>
        <w:t xml:space="preserve">when updated.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X9a8cc4156c444ad790bcefa1d9b65ee3c9d9279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Appendix A — PM Control Traceability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20"/>
        <w:gridCol w:w="1260"/>
        <w:gridCol w:w="1980"/>
        <w:gridCol w:w="162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Security Program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ISPP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Template provided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 Security Program Leadership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Leadership RACI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Template provided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Template +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Architecture gates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Management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Template provided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Mission/Business Process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Template provided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Testing, Training, and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T&amp;T&amp;M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Template provided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Contact with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Template provided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Chain Risk Management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SCRM Charter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Template provided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X1ee99e825fea4562699de3ef6af8c2d280fddae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Appendix B — Integration with AAN Technical Series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29"/>
        <w:gridCol w:w="55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AAN 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 Control 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3 (Entra ID / ZTNA)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PM-5 (system inventory — identity plane)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8 (Defender VM)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PM-14 (testing — vulnerability scan cadence)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9 (Purview / Key Vault)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PM-11 (mission mapping — PII-bearing processes)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10 (Sentinel)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PM-14 (monitoring program — Sentinel workbooks)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11 (Contingency)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PM-9 (risk register — RTO/RPO inputs)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12 (SBOM/VDR/VEX)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PM-30 (SCRM charter — technical backbone)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 13 (this document)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PM-1, PM-2, PM-5, PM-7, PM-9, PM-11, PM-14, PM-15, PM-30</w:t>
            </w:r>
          </w:p>
        </w:tc>
      </w:tr>
    </w:tbl>
    <w:p>
      <w:pPr>
        <w:pStyle w:val="BodyText"/>
      </w:pPr>
      <w:r>
        <w:t xml:space="preserve">The PM governance artifacts in Part 13 provide the organizational layer that</w:t>
      </w:r>
      <w:r>
        <w:t xml:space="preserve"> </w:t>
      </w:r>
      <w:r>
        <w:t xml:space="preserve">contextualizes the technical evidence from Parts 1–12. Together they form a</w:t>
      </w:r>
      <w:r>
        <w:t xml:space="preserve"> </w:t>
      </w:r>
      <w:r>
        <w:t xml:space="preserve">complete FedRAMP 20x authorization package for the PM and SR control families.</w:t>
      </w:r>
    </w:p>
    <w:bookmarkEnd w:id="66"/>
    <w:sectPr>
      <w:pgMar w:top="720" w:right="720" w:bottom="720" w:left="72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 13 — Federal Application-Aware Networking — Part 13</dc:title>
  <dc:creator>SSA Cloud Services Team</dc:creator>
  <cp:keywords/>
  <dcterms:created xsi:type="dcterms:W3CDTF">2026-07-04T15:18:54Z</dcterms:created>
  <dcterms:modified xsi:type="dcterms:W3CDTF">2026-07-04T15:18:54Z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3, 2026</vt:lpwstr>
  </property>
  <property fmtid="{D5CDD505-2E9C-101B-9397-08002B2CF9AE}" pid="3" name="execute">
    <vt:lpwstr/>
  </property>
  <property fmtid="{D5CDD505-2E9C-101B-9397-08002B2CF9AE}" pid="4" name="fig-align">
    <vt:lpwstr>center</vt:lpwstr>
  </property>
  <property fmtid="{D5CDD505-2E9C-101B-9397-08002B2CF9AE}" pid="5" name="format">
    <vt:lpwstr/>
  </property>
  <property fmtid="{D5CDD505-2E9C-101B-9397-08002B2CF9AE}" pid="6" name="out-width">
    <vt:lpwstr>100%</vt:lpwstr>
  </property>
  <property fmtid="{D5CDD505-2E9C-101B-9397-08002B2CF9AE}" pid="7" name="subtitle">
    <vt:lpwstr>Program Management Governance: Security Program Plan, POA&amp;M Framework, and SCRM Charter for FedRAMP 20x</vt:lpwstr>
  </property>
</Properties>
</file>