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14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PII</w:t>
      </w:r>
      <w:r>
        <w:t xml:space="preserve"> </w:t>
      </w:r>
      <w:r>
        <w:t xml:space="preserve">Processing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Transparency:</w:t>
      </w:r>
      <w:r>
        <w:t xml:space="preserve"> </w:t>
      </w:r>
      <w:r>
        <w:t xml:space="preserve">Privacy</w:t>
      </w:r>
      <w:r>
        <w:t xml:space="preserve"> </w:t>
      </w:r>
      <w:r>
        <w:t xml:space="preserve">Program</w:t>
      </w:r>
      <w:r>
        <w:t xml:space="preserve"> </w:t>
      </w:r>
      <w:r>
        <w:t xml:space="preserve">Templates</w:t>
      </w:r>
      <w:r>
        <w:t xml:space="preserve"> </w:t>
      </w:r>
      <w:r>
        <w:t xml:space="preserve">for</w:t>
      </w:r>
      <w:r>
        <w:t xml:space="preserve"> </w:t>
      </w:r>
      <w:r>
        <w:t xml:space="preserve">FedRAMP</w:t>
      </w:r>
      <w:r>
        <w:t xml:space="preserve"> </w:t>
      </w:r>
      <w:r>
        <w:t xml:space="preserve">20x</w:t>
      </w:r>
      <w:r>
        <w:t xml:space="preserve"> </w:t>
      </w:r>
      <w:r>
        <w:t xml:space="preserve">GCC</w:t>
      </w:r>
      <w:r>
        <w:t xml:space="preserve"> </w:t>
      </w:r>
      <w:r>
        <w:t xml:space="preserve">Moderate</w:t>
      </w:r>
      <w:r>
        <w:t xml:space="preserve"> </w:t>
      </w:r>
      <w:r>
        <w:t xml:space="preserve">Authorization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20" w:name="what-this-document-address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What This Document Addresses</w:t>
      </w:r>
    </w:p>
    <w:p>
      <w:pPr>
        <w:pStyle w:val="FirstParagraph"/>
      </w:pPr>
      <w:r>
        <w:t xml:space="preserve">Federal systems that process Personally Identifiable Information (PII) carry</w:t>
      </w:r>
      <w:r>
        <w:t xml:space="preserve"> </w:t>
      </w:r>
      <w:r>
        <w:t xml:space="preserve">obligations beyond the security control baseline. The NIST SP 800-53 Rev 5</w:t>
      </w:r>
      <w:r>
        <w:t xml:space="preserve"> </w:t>
      </w:r>
      <w:r>
        <w:t xml:space="preserve">Privacy (PT) control family codifies those obligations as auditable, ATO-ready</w:t>
      </w:r>
      <w:r>
        <w:t xml:space="preserve"> </w:t>
      </w:r>
      <w:r>
        <w:t xml:space="preserve">requirements: an agency must be able to demonstrate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it collects PII,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authority permits collection,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individuals are notified, and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special categories receive heightened protection. Without this documentation,</w:t>
      </w:r>
      <w:r>
        <w:t xml:space="preserve"> </w:t>
      </w:r>
      <w:r>
        <w:t xml:space="preserve">a FedRAMP Moderate system that touches citizen data cannot complete a privacy-</w:t>
      </w:r>
      <w:r>
        <w:t xml:space="preserve"> </w:t>
      </w:r>
      <w:r>
        <w:t xml:space="preserve">sensitive ATO boundary without a significant POA&amp;M gap.</w:t>
      </w:r>
    </w:p>
    <w:p>
      <w:pPr>
        <w:pStyle w:val="BodyText"/>
      </w:pPr>
      <w:r>
        <w:t xml:space="preserve">This document provides: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Program Plan Template (PT-1)</w:t>
      </w:r>
      <w:r>
        <w:t xml:space="preserve"> </w:t>
      </w:r>
      <w:r>
        <w:t xml:space="preserve">— organizational privacy governance</w:t>
      </w:r>
      <w:r>
        <w:t xml:space="preserve"> </w:t>
      </w:r>
      <w:r>
        <w:t xml:space="preserve">structure with SAOP accountability, authority citations, and program cadence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Authority to Process Template (PT-2)</w:t>
      </w:r>
      <w:r>
        <w:t xml:space="preserve"> </w:t>
      </w:r>
      <w:r>
        <w:t xml:space="preserve">— legal basis matrix linking each</w:t>
      </w:r>
      <w:r>
        <w:t xml:space="preserve"> </w:t>
      </w:r>
      <w:r>
        <w:t xml:space="preserve">PII category to its authorizing statute, SORN reference, and retention period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 Specification Template (PT-3)</w:t>
      </w:r>
      <w:r>
        <w:t xml:space="preserve"> </w:t>
      </w:r>
      <w:r>
        <w:t xml:space="preserve">— purpose-limitation framework with</w:t>
      </w:r>
      <w:r>
        <w:t xml:space="preserve"> </w:t>
      </w:r>
      <w:r>
        <w:t xml:space="preserve">Purview Data Map attribute mapping for automated enforcement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Consent Requirements Template (PT-4)</w:t>
      </w:r>
      <w:r>
        <w:t xml:space="preserve"> </w:t>
      </w:r>
      <w:r>
        <w:t xml:space="preserve">— consent mechanism matrix covering</w:t>
      </w:r>
      <w:r>
        <w:t xml:space="preserve"> </w:t>
      </w:r>
      <w:r>
        <w:t xml:space="preserve">web forms, automated collection, and inter-agency data sharing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Notice Template (PT-5)</w:t>
      </w:r>
      <w:r>
        <w:t xml:space="preserve"> </w:t>
      </w:r>
      <w:r>
        <w:t xml:space="preserve">— OMB M-03-22 compliant model notice with</w:t>
      </w:r>
      <w:r>
        <w:t xml:space="preserve"> </w:t>
      </w:r>
      <w:r>
        <w:t xml:space="preserve">machine-accessible URL requirement for FedRAMP 20x SSPs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Special Categories Framework (PT-7)</w:t>
      </w:r>
      <w:r>
        <w:t xml:space="preserve"> </w:t>
      </w:r>
      <w:r>
        <w:t xml:space="preserve">— heightened protection requirements</w:t>
      </w:r>
      <w:r>
        <w:t xml:space="preserve"> </w:t>
      </w:r>
      <w:r>
        <w:t xml:space="preserve">for SSN, PHI, biometrics, and other sensitive PII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PII Data Flow Map Template</w:t>
      </w:r>
      <w:r>
        <w:t xml:space="preserve"> </w:t>
      </w:r>
      <w:r>
        <w:t xml:space="preserve">— end-to-end flow documentation for citizen</w:t>
      </w:r>
      <w:r>
        <w:t xml:space="preserve"> </w:t>
      </w:r>
      <w:r>
        <w:t xml:space="preserve">portal, contact center, HR, and cross-agency sharing scenarios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FedRAMP 20x KSI Alignment</w:t>
      </w:r>
      <w:r>
        <w:t xml:space="preserve"> </w:t>
      </w:r>
      <w:r>
        <w:t xml:space="preserve">— compliance milestones and control closure</w:t>
      </w:r>
      <w:r>
        <w:t xml:space="preserve"> </w:t>
      </w:r>
      <w:r>
        <w:t xml:space="preserve">traceability across the PT family</w:t>
      </w:r>
    </w:p>
    <w:p>
      <w:pPr>
        <w:pStyle w:val="FirstParagraph"/>
      </w:pPr>
      <w:r>
        <w:t xml:space="preserve">Together these artifacts close six NIST SP 800-53 Rev 5 PT family controls</w:t>
      </w:r>
      <w:r>
        <w:t xml:space="preserve"> </w:t>
      </w:r>
      <w:r>
        <w:t xml:space="preserve">(PT-1, PT-2, PT-3, PT-4, PT-5, PT-7), satisfy Privacy Act 1974 and E-Gov Act</w:t>
      </w:r>
      <w:r>
        <w:t xml:space="preserve"> </w:t>
      </w:r>
      <w:r>
        <w:t xml:space="preserve">2002 documentation requirements, and provide the Privacy Impact Assessment (PIA)</w:t>
      </w:r>
      <w:r>
        <w:t xml:space="preserve"> </w:t>
      </w:r>
      <w:r>
        <w:t xml:space="preserve">scaffolding required at system boundary establishment for all SSA GCC Moderate</w:t>
      </w:r>
      <w:r>
        <w:t xml:space="preserve"> </w:t>
      </w:r>
      <w:r>
        <w:t xml:space="preserve">systems that process PII.</w:t>
      </w:r>
    </w:p>
    <w:p>
      <w:r>
        <w:pict>
          <v:rect style="width:0;height:1.5pt" o:hralign="center" o:hrstd="t" o:hr="t"/>
        </w:pict>
      </w:r>
    </w:p>
    <w:bookmarkEnd w:id="20"/>
    <w:bookmarkStart w:id="26" w:name="purpose-and-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 and Scope</w:t>
      </w:r>
    </w:p>
    <w:bookmarkStart w:id="24" w:name="document-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Document Purpose</w:t>
      </w:r>
    </w:p>
    <w:p>
      <w:pPr>
        <w:pStyle w:val="FirstParagraph"/>
      </w:pPr>
      <w:r>
        <w:t xml:space="preserve">This document closes the Privacy Transparency (PT) control family gap for</w:t>
      </w:r>
      <w:r>
        <w:t xml:space="preserve"> </w:t>
      </w:r>
      <w:r>
        <w:t xml:space="preserve">FedRAMP 20x GCC Moderate systems operated by or on behalf of the Social</w:t>
      </w:r>
      <w:r>
        <w:t xml:space="preserve"> </w:t>
      </w:r>
      <w:r>
        <w:t xml:space="preserve">Security Administration. The PT control family is the documentation layer that</w:t>
      </w:r>
      <w:r>
        <w:t xml:space="preserve"> </w:t>
      </w:r>
      <w:r>
        <w:t xml:space="preserve">converts statutory privacy obligations into auditable program artifacts.</w:t>
      </w:r>
    </w:p>
    <w:p>
      <w:pPr>
        <w:pStyle w:val="BodyText"/>
      </w:pPr>
      <w:r>
        <w:rPr>
          <w:bCs/>
          <w:b/>
        </w:rPr>
        <w:t xml:space="preserve">Relationship to Prior Parts in This Series: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9 (Purview + Key Vault)</w:t>
      </w:r>
      <w:r>
        <w:t xml:space="preserve"> </w:t>
      </w:r>
      <w:r>
        <w:t xml:space="preserve">— established the technical data</w:t>
      </w:r>
      <w:r>
        <w:t xml:space="preserve"> </w:t>
      </w:r>
      <w:r>
        <w:t xml:space="preserve">classification, sensitivity labeling, and encryption controls that enforce</w:t>
      </w:r>
      <w:r>
        <w:t xml:space="preserve"> </w:t>
      </w:r>
      <w:r>
        <w:t xml:space="preserve">the policies defined in this document. PT-3 purpose fields are mapped to</w:t>
      </w:r>
      <w:r>
        <w:t xml:space="preserve"> </w:t>
      </w:r>
      <w:r>
        <w:t xml:space="preserve">Purview Data Map custom attributes; PT-7 special categories are enforced</w:t>
      </w:r>
      <w:r>
        <w:t xml:space="preserve"> </w:t>
      </w:r>
      <w:r>
        <w:t xml:space="preserve">through auto-labeling rules defined in Part 9.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13 (Program Management Governance)</w:t>
      </w:r>
      <w:r>
        <w:t xml:space="preserve"> </w:t>
      </w:r>
      <w:r>
        <w:t xml:space="preserve">— established the organizational</w:t>
      </w:r>
      <w:r>
        <w:t xml:space="preserve"> </w:t>
      </w:r>
      <w:r>
        <w:t xml:space="preserve">governance structure within which this Privacy Program Plan operates. PT-1</w:t>
      </w:r>
      <w:r>
        <w:t xml:space="preserve"> </w:t>
      </w:r>
      <w:r>
        <w:t xml:space="preserve">is the privacy complement to the PM-1 Information Security Program Plan (ISPP);</w:t>
      </w:r>
      <w:r>
        <w:t xml:space="preserve"> </w:t>
      </w:r>
      <w:r>
        <w:t xml:space="preserve">they share the same SAOP/CISO leadership cadence and the same AO approval chain.</w:t>
      </w:r>
      <w:r>
        <w:t xml:space="preserve"> </w:t>
      </w:r>
      <w:r>
        <w:t xml:space="preserve">The RACI defined in Part 13 §3 assigns Privacy Officer accountability across</w:t>
      </w:r>
      <w:r>
        <w:t xml:space="preserve"> </w:t>
      </w:r>
      <w:r>
        <w:t xml:space="preserve">all PT controls.</w:t>
      </w:r>
    </w:p>
    <w:p>
      <w:pPr>
        <w:pStyle w:val="CaptionedFigure"/>
      </w:pPr>
      <w:r>
        <w:drawing>
          <wp:inline>
            <wp:extent cx="6858000" cy="3033346"/>
            <wp:effectExtent b="0" l="0" r="0" t="0"/>
            <wp:docPr descr="PII Processing Lifecycle — Privacy Controls and Authority Chain" title="" id="22" name="Picture"/>
            <a:graphic>
              <a:graphicData uri="http://schemas.openxmlformats.org/drawingml/2006/picture">
                <pic:pic>
                  <pic:nvPicPr>
                    <pic:cNvPr descr="figs/pii-fig-01-pii-lifecyc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3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PII Processing Lifecycle — Privacy Controls and Authority Chain</w:t>
      </w:r>
    </w:p>
    <w:bookmarkEnd w:id="24"/>
    <w:bookmarkStart w:id="25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Scope</w:t>
      </w:r>
    </w:p>
    <w:p>
      <w:pPr>
        <w:pStyle w:val="FirstParagraph"/>
      </w:pPr>
      <w:r>
        <w:t xml:space="preserve">This Part applies to any SSA GCC Moderate system that processes PII, including</w:t>
      </w:r>
      <w:r>
        <w:t xml:space="preserve"> </w:t>
      </w:r>
      <w:r>
        <w:t xml:space="preserve">but not limited to: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Citizen portals</w:t>
      </w:r>
      <w:r>
        <w:t xml:space="preserve"> </w:t>
      </w:r>
      <w:r>
        <w:t xml:space="preserve">— my Social Security, online benefit applications, appeals</w:t>
      </w:r>
      <w:r>
        <w:t xml:space="preserve"> </w:t>
      </w:r>
      <w:r>
        <w:t xml:space="preserve">submissions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Contact center platforms</w:t>
      </w:r>
      <w:r>
        <w:t xml:space="preserve"> </w:t>
      </w:r>
      <w:r>
        <w:t xml:space="preserve">— Amazon Connect deployments handling citizen</w:t>
      </w:r>
      <w:r>
        <w:t xml:space="preserve"> </w:t>
      </w:r>
      <w:r>
        <w:t xml:space="preserve">calls and case management (CRM integration)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HR and workforce systems</w:t>
      </w:r>
      <w:r>
        <w:t xml:space="preserve"> </w:t>
      </w:r>
      <w:r>
        <w:t xml:space="preserve">— employee records, payroll, benefits</w:t>
      </w:r>
      <w:r>
        <w:t xml:space="preserve"> </w:t>
      </w:r>
      <w:r>
        <w:t xml:space="preserve">administration within the SSA Azure GCC Moderate boundary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integrations</w:t>
      </w:r>
      <w:r>
        <w:t xml:space="preserve"> </w:t>
      </w:r>
      <w:r>
        <w:t xml:space="preserve">— cross-agency data sharing with HHS, CMS, IRS, and</w:t>
      </w:r>
      <w:r>
        <w:t xml:space="preserve"> </w:t>
      </w:r>
      <w:r>
        <w:t xml:space="preserve">state agencies under data-sharing agreements</w:t>
      </w:r>
    </w:p>
    <w:p>
      <w:pPr>
        <w:pStyle w:val="FirstParagraph"/>
      </w:pPr>
      <w:r>
        <w:t xml:space="preserve">Systems that do not process PII (infrastructure-only, analytics on de-identified</w:t>
      </w:r>
      <w:r>
        <w:t xml:space="preserve"> </w:t>
      </w:r>
      <w:r>
        <w:t xml:space="preserve">data) are out of scope for PT controls but remain subject to all other control</w:t>
      </w:r>
      <w:r>
        <w:t xml:space="preserve"> </w:t>
      </w:r>
      <w:r>
        <w:t xml:space="preserve">families.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ivacy-program-plan-pt-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Privacy Program Plan (PT-1)</w:t>
      </w:r>
    </w:p>
    <w:bookmarkStart w:id="27" w:name="control-requiremen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PT-1 requires the organization to develop, document, disseminate, and review a</w:t>
      </w:r>
      <w:r>
        <w:t xml:space="preserve"> </w:t>
      </w:r>
      <w:r>
        <w:t xml:space="preserve">privacy policy and procedures that address the purpose, scope, roles,</w:t>
      </w:r>
      <w:r>
        <w:t xml:space="preserve"> </w:t>
      </w:r>
      <w:r>
        <w:t xml:space="preserve">responsibilities, management commitment, coordination, and compliance for</w:t>
      </w:r>
      <w:r>
        <w:t xml:space="preserve"> </w:t>
      </w:r>
      <w:r>
        <w:t xml:space="preserve">the privacy program.</w:t>
      </w:r>
    </w:p>
    <w:p>
      <w:pPr>
        <w:pStyle w:val="BodyText"/>
      </w:pPr>
      <w:r>
        <w:rPr>
          <w:bCs/>
          <w:b/>
        </w:rPr>
        <w:t xml:space="preserve">Linkage:</w:t>
      </w:r>
      <w:r>
        <w:t xml:space="preserve"> </w:t>
      </w:r>
      <w:r>
        <w:t xml:space="preserve">PT-1 is the privacy parallel to PM-1 (ISPP, Part 13 §2). The</w:t>
      </w:r>
      <w:r>
        <w:t xml:space="preserve"> </w:t>
      </w:r>
      <w:r>
        <w:t xml:space="preserve">Privacy Program Plan must be co-signed by both the SAISO/CISO and the Senior</w:t>
      </w:r>
      <w:r>
        <w:t xml:space="preserve"> </w:t>
      </w:r>
      <w:r>
        <w:t xml:space="preserve">Agency Official for Privacy (SAOP), and reviewed on the same annual cadence</w:t>
      </w:r>
      <w:r>
        <w:t xml:space="preserve"> </w:t>
      </w:r>
      <w:r>
        <w:t xml:space="preserve">as the ISPP. Cross-reference Part 13 §3 RACI for the Privacy Officer role.</w:t>
      </w:r>
    </w:p>
    <w:bookmarkEnd w:id="27"/>
    <w:bookmarkStart w:id="28" w:name="privacy-program-plan-templat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Privacy Program Plan Template</w:t>
      </w:r>
    </w:p>
    <w:p>
      <w:pPr>
        <w:pStyle w:val="FirstParagraph"/>
      </w:pPr>
      <w:r>
        <w:rPr>
          <w:bCs/>
          <w:b/>
        </w:rPr>
        <w:t xml:space="preserve">Section 1 — Purpose and Scope</w:t>
      </w:r>
    </w:p>
    <w:p>
      <w:pPr>
        <w:pStyle w:val="BlockText"/>
      </w:pPr>
      <w:r>
        <w:t xml:space="preserve">[FILLABLE] This Privacy Program Plan (PPP) establishes the privacy governance</w:t>
      </w:r>
      <w:r>
        <w:t xml:space="preserve"> </w:t>
      </w:r>
      <w:r>
        <w:t xml:space="preserve">framework for [SYSTEM NAME], a GCC Moderate impact system operated by the</w:t>
      </w:r>
      <w:r>
        <w:t xml:space="preserve"> </w:t>
      </w:r>
      <w:r>
        <w:t xml:space="preserve">Social Security Administration under FedRAMP 20x Authorization. This plan</w:t>
      </w:r>
      <w:r>
        <w:t xml:space="preserve"> </w:t>
      </w:r>
      <w:r>
        <w:t xml:space="preserve">implements the privacy requirements of the Privacy Act of 1974 (5 U.S.C.</w:t>
      </w:r>
      <w:r>
        <w:t xml:space="preserve"> </w:t>
      </w:r>
      <w:r>
        <w:t xml:space="preserve">§552a), the E-Government Act of 2002 (44 U.S.C. §3501), OMB Circular A-130</w:t>
      </w:r>
      <w:r>
        <w:t xml:space="preserve"> </w:t>
      </w:r>
      <w:r>
        <w:t xml:space="preserve">(Appendix II), and OMB Memorandum M-03-22.</w:t>
      </w:r>
    </w:p>
    <w:p>
      <w:pPr>
        <w:pStyle w:val="BlockText"/>
      </w:pPr>
      <w:r>
        <w:rPr>
          <w:bCs/>
          <w:b/>
        </w:rPr>
        <w:t xml:space="preserve">Authorization Boundary:</w:t>
      </w:r>
      <w:r>
        <w:t xml:space="preserve"> </w:t>
      </w:r>
      <w:r>
        <w:t xml:space="preserve">[Reference boundary diagram. Must match the</w:t>
      </w:r>
      <w:r>
        <w:t xml:space="preserve"> </w:t>
      </w:r>
      <w:r>
        <w:t xml:space="preserve">data flow map in §8 and the SSP boundary description.]</w:t>
      </w:r>
    </w:p>
    <w:p>
      <w:pPr>
        <w:pStyle w:val="BlockText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Annual / After major system change</w:t>
      </w:r>
    </w:p>
    <w:p>
      <w:pPr>
        <w:pStyle w:val="BlockText"/>
      </w:pPr>
      <w:r>
        <w:rPr>
          <w:bCs/>
          <w:b/>
        </w:rPr>
        <w:t xml:space="preserve">Document Owner:</w:t>
      </w:r>
      <w:r>
        <w:t xml:space="preserve"> </w:t>
      </w:r>
      <w:r>
        <w:t xml:space="preserve">[NAME, TITLE] — Senior Agency Official for Privacy (SAOP)</w:t>
      </w:r>
    </w:p>
    <w:p>
      <w:pPr>
        <w:pStyle w:val="BlockText"/>
      </w:pPr>
      <w:r>
        <w:rPr>
          <w:bCs/>
          <w:b/>
        </w:rPr>
        <w:t xml:space="preserve">Co-Owner:</w:t>
      </w:r>
      <w:r>
        <w:t xml:space="preserve"> </w:t>
      </w:r>
      <w:r>
        <w:t xml:space="preserve">[NAME, TITLE] — SAISO/CISO</w:t>
      </w:r>
    </w:p>
    <w:p>
      <w:pPr>
        <w:pStyle w:val="BlockText"/>
      </w:pPr>
      <w:r>
        <w:rPr>
          <w:bCs/>
          <w:b/>
        </w:rPr>
        <w:t xml:space="preserve">Approver:</w:t>
      </w:r>
      <w:r>
        <w:t xml:space="preserve"> </w:t>
      </w:r>
      <w:r>
        <w:t xml:space="preserve">[NAME, TITLE] — Authorizing Official (AO)</w:t>
      </w:r>
    </w:p>
    <w:p>
      <w:pPr>
        <w:pStyle w:val="FirstParagraph"/>
      </w:pPr>
      <w:r>
        <w:rPr>
          <w:bCs/>
          <w:b/>
        </w:rPr>
        <w:t xml:space="preserve">Section 2 — Legal and Regulatory Authority</w:t>
      </w:r>
    </w:p>
    <w:p>
      <w:pPr>
        <w:numPr>
          <w:ilvl w:val="0"/>
          <w:numId w:val="1004"/>
        </w:numPr>
        <w:pStyle w:val="Compact"/>
      </w:pPr>
      <w:r>
        <w:t xml:space="preserve">Privacy Act of 1974, 5 U.S.C. §552a</w:t>
      </w:r>
    </w:p>
    <w:p>
      <w:pPr>
        <w:numPr>
          <w:ilvl w:val="0"/>
          <w:numId w:val="1004"/>
        </w:numPr>
        <w:pStyle w:val="Compact"/>
      </w:pPr>
      <w:r>
        <w:t xml:space="preserve">E-Government Act of 2002, 44 U.S.C. §3501, Title III (FISMA)</w:t>
      </w:r>
    </w:p>
    <w:p>
      <w:pPr>
        <w:numPr>
          <w:ilvl w:val="0"/>
          <w:numId w:val="1004"/>
        </w:numPr>
        <w:pStyle w:val="Compact"/>
      </w:pPr>
      <w:r>
        <w:t xml:space="preserve">OMB Memorandum M-03-22, OMB Guidance for Implementing the Privacy Provisions</w:t>
      </w:r>
      <w:r>
        <w:t xml:space="preserve"> </w:t>
      </w:r>
      <w:r>
        <w:t xml:space="preserve">of the E-Government Act of 2002</w:t>
      </w:r>
    </w:p>
    <w:p>
      <w:pPr>
        <w:numPr>
          <w:ilvl w:val="0"/>
          <w:numId w:val="1004"/>
        </w:numPr>
        <w:pStyle w:val="Compact"/>
      </w:pPr>
      <w:r>
        <w:t xml:space="preserve">OMB Circular A-130, Appendix II, Responsibilities for Managing PII</w:t>
      </w:r>
    </w:p>
    <w:p>
      <w:pPr>
        <w:numPr>
          <w:ilvl w:val="0"/>
          <w:numId w:val="1004"/>
        </w:numPr>
        <w:pStyle w:val="Compact"/>
      </w:pPr>
      <w:r>
        <w:t xml:space="preserve">OMB Memorandum M-17-12, Preparing for and Responding to a Breach of PII</w:t>
      </w:r>
    </w:p>
    <w:p>
      <w:pPr>
        <w:numPr>
          <w:ilvl w:val="0"/>
          <w:numId w:val="1004"/>
        </w:numPr>
        <w:pStyle w:val="Compact"/>
      </w:pPr>
      <w:r>
        <w:t xml:space="preserve">NIST SP 800-53 Rev 5, Privacy Control Family (PT)</w:t>
      </w:r>
    </w:p>
    <w:p>
      <w:pPr>
        <w:numPr>
          <w:ilvl w:val="0"/>
          <w:numId w:val="1004"/>
        </w:numPr>
        <w:pStyle w:val="Compact"/>
      </w:pPr>
      <w:r>
        <w:t xml:space="preserve">NIST SP 800-122, Guide to Protecting Confidentiality of PII</w:t>
      </w:r>
    </w:p>
    <w:p>
      <w:pPr>
        <w:numPr>
          <w:ilvl w:val="0"/>
          <w:numId w:val="1004"/>
        </w:numPr>
        <w:pStyle w:val="Compact"/>
      </w:pPr>
      <w:r>
        <w:t xml:space="preserve">FedRAMP 20x Authorization Framework (GSA, 2026)</w:t>
      </w:r>
    </w:p>
    <w:p>
      <w:pPr>
        <w:pStyle w:val="FirstParagraph"/>
      </w:pPr>
      <w:r>
        <w:rPr>
          <w:bCs/>
          <w:b/>
        </w:rPr>
        <w:t xml:space="preserve">Section 3 — Roles and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2762"/>
        <w:gridCol w:w="40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Control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Chairs Privacy Council; approves PIAs and SORNs; annual program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PT-1, PT-2, PT-5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Privacy Officer (SPO)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System-level privacy representative; maintains PT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PT-3, PT-4, PT-7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privacy controls into security assessment; POA&amp;M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PT-1, PT-7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SORN language; validates legal authority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DevSecOps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Purview labels; data flow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PT-3, PT-7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Communications /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 privacy notices; maintains notice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PT-5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4 — Program Oversight Cadence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232"/>
        <w:gridCol w:w="1584"/>
        <w:gridCol w:w="3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Program Plan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PPP with AO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Impact Assessment (PIA)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boundary establishment; after major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SORN review and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SAOP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 years or upon significant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SORN Amendment (Federal Register)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control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+ 3PAO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(aligned with security assessment)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Assessment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limitation review (PT-3)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PT-3 Checklist (§4)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response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 + 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 map update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+ 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each major data flow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data flow map</w:t>
            </w:r>
          </w:p>
        </w:tc>
      </w:tr>
    </w:tbl>
    <w:p>
      <w:pPr>
        <w:pStyle w:val="BlockText"/>
      </w:pPr>
      <w:r>
        <w:t xml:space="preserve">[FILLABLE] Confirm cadence dates align with the FedRAMP 20x Continuous</w:t>
      </w:r>
      <w:r>
        <w:t xml:space="preserve"> </w:t>
      </w:r>
      <w:r>
        <w:t xml:space="preserve">Monitoring plan. The annual privacy assessment must be completed within</w:t>
      </w:r>
      <w:r>
        <w:t xml:space="preserve"> </w:t>
      </w:r>
      <w:r>
        <w:t xml:space="preserve">365 days of the prior assessment. Document the next scheduled date for each</w:t>
      </w:r>
      <w:r>
        <w:t xml:space="preserve"> </w:t>
      </w:r>
      <w:r>
        <w:t xml:space="preserve">activity in the column above.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uthority-to-process-pii-pt-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Authority to Process PII (PT-2)</w:t>
      </w:r>
    </w:p>
    <w:bookmarkStart w:id="30" w:name="control-requirement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PT-2 requires the organization to identify the legal authority that permits the</w:t>
      </w:r>
      <w:r>
        <w:t xml:space="preserve"> </w:t>
      </w:r>
      <w:r>
        <w:t xml:space="preserve">collection, use, maintenance, and sharing of PII and restricts the collection</w:t>
      </w:r>
      <w:r>
        <w:t xml:space="preserve"> </w:t>
      </w:r>
      <w:r>
        <w:t xml:space="preserve">of PII to the minimum necessary for the identified purpose.</w:t>
      </w:r>
    </w:p>
    <w:bookmarkEnd w:id="30"/>
    <w:bookmarkStart w:id="31" w:name="legal-authority-matrix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Legal Authority Matrix</w:t>
      </w:r>
    </w:p>
    <w:p>
      <w:pPr>
        <w:pStyle w:val="BlockText"/>
      </w:pPr>
      <w:r>
        <w:t xml:space="preserve">[FILLABLE] Complete the following matrix for every PII category the system</w:t>
      </w:r>
      <w:r>
        <w:t xml:space="preserve"> </w:t>
      </w:r>
      <w:r>
        <w:t xml:space="preserve">collects. Each row requires a specific legal citation —</w:t>
      </w:r>
      <w:r>
        <w:t xml:space="preserve"> </w:t>
      </w:r>
      <w:r>
        <w:t xml:space="preserve">“</w:t>
      </w:r>
      <w:r>
        <w:t xml:space="preserve">general mission</w:t>
      </w:r>
      <w:r>
        <w:t xml:space="preserve"> </w:t>
      </w:r>
      <w:r>
        <w:t xml:space="preserve">authority</w:t>
      </w:r>
      <w:r>
        <w:t xml:space="preserve">”</w:t>
      </w:r>
      <w:r>
        <w:t xml:space="preserve"> </w:t>
      </w:r>
      <w:r>
        <w:t xml:space="preserve">is not sufficient. Consult SSA Legal Counsel for each entry.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9"/>
        <w:gridCol w:w="1119"/>
        <w:gridCol w:w="2754"/>
        <w:gridCol w:w="1463"/>
        <w:gridCol w:w="14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/ Regulatory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Security Number (SSN)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§205(c)(2)(C)(i), 42 U.S.C. §405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 years per records schedule]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and 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§202, 42 U.S.C. §402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 years per records schedule]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 payment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§1106, 42 U.S.C. §1306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post-case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/ disability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§223, 42 U.S.C. §423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post-determination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destruction +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information (address, phone,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/ Voluntary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§702, voluntary collection per E-Gov Act §208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case + [N years]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data (direct deposit)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Act §205(j), 42 U.S.C. §405(j)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[ADDITIONAL PII CATEGORY]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[BASIS]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[CITATION]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[RETENTION]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[DISPOSAL]</w:t>
            </w:r>
          </w:p>
        </w:tc>
      </w:tr>
    </w:tbl>
    <w:bookmarkEnd w:id="31"/>
    <w:bookmarkStart w:id="32" w:name="sorn-requirements-privacy-act-system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SORN Requirements (Privacy Act Systems)</w:t>
      </w:r>
    </w:p>
    <w:p>
      <w:pPr>
        <w:pStyle w:val="FirstParagraph"/>
      </w:pPr>
      <w:r>
        <w:t xml:space="preserve">Any system that retrieves PII by a personal identifier (name, SSN, case number)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system of records</w:t>
      </w:r>
      <w:r>
        <w:t xml:space="preserve"> </w:t>
      </w:r>
      <w:r>
        <w:t xml:space="preserve">under the Privacy Act and requires a published System</w:t>
      </w:r>
      <w:r>
        <w:t xml:space="preserve"> </w:t>
      </w:r>
      <w:r>
        <w:t xml:space="preserve">of Records Notice (SORN).</w:t>
      </w:r>
    </w:p>
    <w:p>
      <w:pPr>
        <w:pStyle w:val="BodyText"/>
      </w:pPr>
      <w:r>
        <w:rPr>
          <w:bCs/>
          <w:b/>
        </w:rPr>
        <w:t xml:space="preserve">SORN Publication Requirements:</w:t>
      </w:r>
    </w:p>
    <w:p>
      <w:pPr>
        <w:numPr>
          <w:ilvl w:val="0"/>
          <w:numId w:val="1005"/>
        </w:numPr>
        <w:pStyle w:val="Compact"/>
      </w:pPr>
      <w:r>
        <w:t xml:space="preserve">Draft SORN reviewed by SAOP and Legal Counsel</w:t>
      </w:r>
    </w:p>
    <w:p>
      <w:pPr>
        <w:numPr>
          <w:ilvl w:val="0"/>
          <w:numId w:val="1005"/>
        </w:numPr>
        <w:pStyle w:val="Compact"/>
      </w:pPr>
      <w:r>
        <w:t xml:space="preserve">SAOP submits to OMB and Congress for 40-day comment period (5 U.S.C. §552a(e)(4) and (11))</w:t>
      </w:r>
    </w:p>
    <w:p>
      <w:pPr>
        <w:numPr>
          <w:ilvl w:val="0"/>
          <w:numId w:val="1005"/>
        </w:numPr>
        <w:pStyle w:val="Compact"/>
      </w:pPr>
      <w:r>
        <w:t xml:space="preserve">Published in the Federal Register at least</w:t>
      </w:r>
      <w:r>
        <w:t xml:space="preserve"> </w:t>
      </w:r>
      <w:r>
        <w:rPr>
          <w:bCs/>
          <w:b/>
        </w:rPr>
        <w:t xml:space="preserve">30 days before</w:t>
      </w:r>
      <w:r>
        <w:t xml:space="preserve"> </w:t>
      </w:r>
      <w:r>
        <w:t xml:space="preserve">live PII collection begins</w:t>
      </w:r>
    </w:p>
    <w:p>
      <w:pPr>
        <w:numPr>
          <w:ilvl w:val="0"/>
          <w:numId w:val="1005"/>
        </w:numPr>
        <w:pStyle w:val="Compact"/>
      </w:pPr>
      <w:r>
        <w:t xml:space="preserve">SORN updated whenever the system’s purpose, categories of records, or routine</w:t>
      </w:r>
      <w:r>
        <w:t xml:space="preserve"> </w:t>
      </w:r>
      <w:r>
        <w:t xml:space="preserve">uses change materially</w:t>
      </w:r>
    </w:p>
    <w:p>
      <w:pPr>
        <w:pStyle w:val="BlockText"/>
      </w:pPr>
      <w:r>
        <w:t xml:space="preserve">[FILLABLE] Record the SORN reference number and Federal Register citation for</w:t>
      </w:r>
      <w:r>
        <w:t xml:space="preserve"> </w:t>
      </w:r>
      <w:r>
        <w:t xml:space="preserve">each system of records within the authorization boundary. Reference the SSA</w:t>
      </w:r>
      <w:r>
        <w:t xml:space="preserve"> </w:t>
      </w:r>
      <w:r>
        <w:t xml:space="preserve">SORN database at ssa.gov/privacy/sorns.html. If a SORN does not yet exist,</w:t>
      </w:r>
      <w:r>
        <w:t xml:space="preserve"> </w:t>
      </w:r>
      <w:r>
        <w:t xml:space="preserve">add a POA&amp;M item with a milestone date no later than 30 days before go-live.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277"/>
        <w:gridCol w:w="2214"/>
        <w:gridCol w:w="1277"/>
        <w:gridCol w:w="11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 of Records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Register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[SYSTEM 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SSA/[NUMBER]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[Vol. FR Page, 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pPr>
        <w:pStyle w:val="BodyText"/>
      </w:pPr>
      <w:r>
        <w:rPr>
          <w:bCs/>
          <w:b/>
        </w:rPr>
        <w:t xml:space="preserve">OMB Circular A-130 Cross-Reference:</w:t>
      </w:r>
      <w:r>
        <w:t xml:space="preserve"> </w:t>
      </w:r>
      <w:r>
        <w:t xml:space="preserve">Section 5 of A-130 requires agencies to</w:t>
      </w:r>
      <w:r>
        <w:t xml:space="preserve"> </w:t>
      </w:r>
      <w:r>
        <w:t xml:space="preserve">maintain an accurate accounting of disclosures and to ensure SORNs reflect all</w:t>
      </w:r>
      <w:r>
        <w:t xml:space="preserve"> </w:t>
      </w:r>
      <w:r>
        <w:t xml:space="preserve">routine uses. The SPO must review SORNs against actual data flows using the</w:t>
      </w:r>
      <w:r>
        <w:t xml:space="preserve"> </w:t>
      </w:r>
      <w:r>
        <w:t xml:space="preserve">data flow map in §8 at each annual privacy review.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urpose-specification-pt-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Purpose Specification (PT-3)</w:t>
      </w:r>
    </w:p>
    <w:bookmarkStart w:id="34" w:name="control-requirement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PT-3 requires the organization to identify and document the specific purpose(s)</w:t>
      </w:r>
      <w:r>
        <w:t xml:space="preserve"> </w:t>
      </w:r>
      <w:r>
        <w:t xml:space="preserve">for which PII is collected and used. Collection of PII must be limited to the</w:t>
      </w:r>
      <w:r>
        <w:t xml:space="preserve"> </w:t>
      </w:r>
      <w:r>
        <w:t xml:space="preserve">identified purpose(s), and any use of PII for secondary purposes must be</w:t>
      </w:r>
      <w:r>
        <w:t xml:space="preserve"> </w:t>
      </w:r>
      <w:r>
        <w:t xml:space="preserve">explicitly authorized.</w:t>
      </w:r>
    </w:p>
    <w:bookmarkEnd w:id="34"/>
    <w:bookmarkStart w:id="35" w:name="purpose-specification-matrix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Purpose Specification Matrix</w:t>
      </w:r>
    </w:p>
    <w:p>
      <w:pPr>
        <w:pStyle w:val="BlockText"/>
      </w:pPr>
      <w:r>
        <w:t xml:space="preserve">[FILLABLE] Complete the following table for each PII field collected by the</w:t>
      </w:r>
      <w:r>
        <w:t xml:space="preserve"> </w:t>
      </w:r>
      <w:r>
        <w:t xml:space="preserve">system.</w:t>
      </w:r>
      <w:r>
        <w:t xml:space="preserve"> </w:t>
      </w:r>
      <w:r>
        <w:t xml:space="preserve">“</w:t>
      </w:r>
      <w:r>
        <w:t xml:space="preserve">Secondary Use Permitted</w:t>
      </w:r>
      <w:r>
        <w:t xml:space="preserve">”</w:t>
      </w:r>
      <w:r>
        <w:t xml:space="preserve"> </w:t>
      </w:r>
      <w:r>
        <w:t xml:space="preserve">means a use beyond the original collection</w:t>
      </w:r>
      <w:r>
        <w:t xml:space="preserve"> </w:t>
      </w:r>
      <w:r>
        <w:t xml:space="preserve">purpose that is authorized by the legal authority in §3 or a Privacy Act</w:t>
      </w:r>
      <w:r>
        <w:t xml:space="preserve"> </w:t>
      </w:r>
      <w:r>
        <w:t xml:space="preserve">routine use. Uses not listed here require a new PIA and, for Privacy Act</w:t>
      </w:r>
      <w:r>
        <w:t xml:space="preserve"> </w:t>
      </w:r>
      <w:r>
        <w:t xml:space="preserve">systems, a SORN amendment.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7"/>
        <w:gridCol w:w="1446"/>
        <w:gridCol w:w="1903"/>
        <w:gridCol w:w="2132"/>
        <w:gridCol w:w="15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Use Permitted?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Use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Minimization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beneficiary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primary identifier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to last 4 digits in UI; full SSN stored encrypted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identification and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cross-agency 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Data-sharing agreement (DSA) with [AGENCY] per Privacy Act routine use 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 to first name in non-case contexts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eligibility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fraud detection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legal authority; de-identified for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expose in API responses unless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determination purpose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access to adjudicators; Purview PHI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notification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optional account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consent at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user withdrawal at any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(direct deposit)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payment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masked; never log in 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[PII FIELD]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[PURPOSE]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[AUTHORIZATION]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[ACTION]</w:t>
            </w:r>
          </w:p>
        </w:tc>
      </w:tr>
    </w:tbl>
    <w:bookmarkEnd w:id="35"/>
    <w:bookmarkStart w:id="36" w:name="purview-data-map-integratio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Purview Data Map Integration</w:t>
      </w:r>
    </w:p>
    <w:p>
      <w:pPr>
        <w:pStyle w:val="FirstParagraph"/>
      </w:pPr>
      <w:r>
        <w:t xml:space="preserve">PT-3 purpose fields map to Microsoft Purview Data Map custom attributes as</w:t>
      </w:r>
      <w:r>
        <w:t xml:space="preserve"> </w:t>
      </w:r>
      <w:r>
        <w:t xml:space="preserve">follows. This integration (established in Part 9) enables automated enforcement</w:t>
      </w:r>
      <w:r>
        <w:t xml:space="preserve"> </w:t>
      </w:r>
      <w:r>
        <w:t xml:space="preserve">of purpose limitations at the data asset level: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6"/>
        <w:gridCol w:w="3490"/>
        <w:gridCol w:w="29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PT-3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Custom 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pii_collection_purpose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asset tag; DLP policy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Use Permitted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pii_secondary_use_authorized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Boolean; triggers alert if data crosses boundary without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Minimization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pii_minimization_policy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Information Protection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pii_legal_authority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attribute; populated from §3 matrix</w:t>
            </w:r>
          </w:p>
        </w:tc>
      </w:tr>
    </w:tbl>
    <w:bookmarkEnd w:id="36"/>
    <w:bookmarkStart w:id="37" w:name="X0464c49075382f23843e331b3d401f0e11f349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Purpose Limitation Review Checklist (Annual — PT-3)</w:t>
      </w:r>
    </w:p>
    <w:p>
      <w:pPr>
        <w:pStyle w:val="BlockText"/>
      </w:pPr>
      <w:r>
        <w:t xml:space="preserve">[FILLABLE] Complete this checklist at each annual privacy review. SAOP sign-</w:t>
      </w:r>
      <w:r>
        <w:t xml:space="preserve"> </w:t>
      </w:r>
      <w:r>
        <w:t xml:space="preserve">off is required before the checklist is filed in the ATO package.</w:t>
      </w:r>
    </w:p>
    <w:p>
      <w:pPr>
        <w:numPr>
          <w:ilvl w:val="0"/>
          <w:numId w:val="1006"/>
        </w:numPr>
        <w:pStyle w:val="Compact"/>
      </w:pPr>
      <w:r>
        <w:t xml:space="preserve">☐ All PII fields in the system data dictionary appear in the PT-3 matrix above</w:t>
      </w:r>
    </w:p>
    <w:p>
      <w:pPr>
        <w:numPr>
          <w:ilvl w:val="0"/>
          <w:numId w:val="1006"/>
        </w:numPr>
        <w:pStyle w:val="Compact"/>
      </w:pPr>
      <w:r>
        <w:t xml:space="preserve">☐ No PII field is used for a purpose not listed in the matrix</w:t>
      </w:r>
    </w:p>
    <w:p>
      <w:pPr>
        <w:numPr>
          <w:ilvl w:val="0"/>
          <w:numId w:val="1006"/>
        </w:numPr>
        <w:pStyle w:val="Compact"/>
      </w:pPr>
      <w:r>
        <w:t xml:space="preserve">☐ Secondary use authorizations have been verified against current SORNs and DSAs</w:t>
      </w:r>
    </w:p>
    <w:p>
      <w:pPr>
        <w:numPr>
          <w:ilvl w:val="0"/>
          <w:numId w:val="1006"/>
        </w:numPr>
        <w:pStyle w:val="Compact"/>
      </w:pPr>
      <w:r>
        <w:t xml:space="preserve">☐ Purview custom attributes match the current PT-3 matrix (verified by DevSecOps)</w:t>
      </w:r>
    </w:p>
    <w:p>
      <w:pPr>
        <w:numPr>
          <w:ilvl w:val="0"/>
          <w:numId w:val="1006"/>
        </w:numPr>
        <w:pStyle w:val="Compact"/>
      </w:pPr>
      <w:r>
        <w:t xml:space="preserve">☐ Any new PII fields added since last review have been assessed for purpose and minimization</w:t>
      </w:r>
    </w:p>
    <w:p>
      <w:pPr>
        <w:numPr>
          <w:ilvl w:val="0"/>
          <w:numId w:val="1006"/>
        </w:numPr>
        <w:pStyle w:val="Compact"/>
      </w:pPr>
      <w:r>
        <w:t xml:space="preserve">☐ Data flow map (§8) reviewed for undocumented flows that would constitute unauthorized secondary use</w:t>
      </w:r>
    </w:p>
    <w:p>
      <w:pPr>
        <w:numPr>
          <w:ilvl w:val="0"/>
          <w:numId w:val="1006"/>
        </w:numPr>
        <w:pStyle w:val="Compact"/>
      </w:pPr>
      <w:r>
        <w:t xml:space="preserve">☐ SAOP has reviewed and signed this checklist: [NAME] / [DATE]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onsent-requirements-pt-4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Consent Requirements (PT-4)</w:t>
      </w:r>
    </w:p>
    <w:bookmarkStart w:id="39" w:name="control-requirement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PT-4 requires the organization to implement consent mechanisms that provide</w:t>
      </w:r>
      <w:r>
        <w:t xml:space="preserve"> </w:t>
      </w:r>
      <w:r>
        <w:t xml:space="preserve">individuals with the opportunity to consent to the collection and use of their</w:t>
      </w:r>
      <w:r>
        <w:t xml:space="preserve"> </w:t>
      </w:r>
      <w:r>
        <w:t xml:space="preserve">PII. For federal systems, many collections are authorized by statute rather</w:t>
      </w:r>
      <w:r>
        <w:t xml:space="preserve"> </w:t>
      </w:r>
      <w:r>
        <w:t xml:space="preserve">than consent; PT-4 requires the agency to explicitly distinguish the two cases.</w:t>
      </w:r>
    </w:p>
    <w:bookmarkEnd w:id="39"/>
    <w:bookmarkStart w:id="40" w:name="federal-consent-vs.-statutory-authority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Federal Consent vs. Statutory Authority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Federal agencies generally do not rely on consent as the</w:t>
      </w:r>
      <w:r>
        <w:t xml:space="preserve"> </w:t>
      </w:r>
      <w:r>
        <w:t xml:space="preserve">legal basis for PII collection. When a statute authorizes collection, consent</w:t>
      </w:r>
      <w:r>
        <w:t xml:space="preserve"> </w:t>
      </w:r>
      <w:r>
        <w:t xml:space="preserve">is not required — but notice is still required (PT-5). Consent applies when:</w:t>
      </w:r>
    </w:p>
    <w:p>
      <w:pPr>
        <w:numPr>
          <w:ilvl w:val="0"/>
          <w:numId w:val="1007"/>
        </w:numPr>
        <w:pStyle w:val="Compact"/>
      </w:pPr>
      <w:r>
        <w:t xml:space="preserve">Collection is</w:t>
      </w:r>
      <w:r>
        <w:t xml:space="preserve"> </w:t>
      </w:r>
      <w:r>
        <w:rPr>
          <w:iCs/>
          <w:i/>
        </w:rPr>
        <w:t xml:space="preserve">voluntary</w:t>
      </w:r>
      <w:r>
        <w:t xml:space="preserve"> </w:t>
      </w:r>
      <w:r>
        <w:t xml:space="preserve">(e.g., email address for optional notifications)</w:t>
      </w:r>
    </w:p>
    <w:p>
      <w:pPr>
        <w:numPr>
          <w:ilvl w:val="0"/>
          <w:numId w:val="1007"/>
        </w:numPr>
        <w:pStyle w:val="Compact"/>
      </w:pPr>
      <w:r>
        <w:t xml:space="preserve">A secondary use requires individual authorization beyond the original statutory basis</w:t>
      </w:r>
    </w:p>
    <w:p>
      <w:pPr>
        <w:numPr>
          <w:ilvl w:val="0"/>
          <w:numId w:val="1007"/>
        </w:numPr>
        <w:pStyle w:val="Compact"/>
      </w:pPr>
      <w:r>
        <w:t xml:space="preserve">A web feature involves tracking technologies (cookies, analytics) subject to</w:t>
      </w:r>
      <w:r>
        <w:t xml:space="preserve"> </w:t>
      </w:r>
      <w:r>
        <w:t xml:space="preserve">OMB M-10-22 and the E-Gov Act</w:t>
      </w:r>
    </w:p>
    <w:bookmarkEnd w:id="40"/>
    <w:bookmarkStart w:id="41" w:name="consent-mechanism-matrix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Consent Mechanism Matrix</w:t>
      </w:r>
    </w:p>
    <w:p>
      <w:pPr>
        <w:pStyle w:val="BlockText"/>
      </w:pPr>
      <w:r>
        <w:t xml:space="preserve">[FILLABLE] For each data source and interaction type, document whether consent</w:t>
      </w:r>
      <w:r>
        <w:t xml:space="preserve"> </w:t>
      </w:r>
      <w:r>
        <w:t xml:space="preserve">is required, the mechanism used, and the withdrawal process. Column</w:t>
      </w:r>
      <w:r>
        <w:t xml:space="preserve"> </w:t>
      </w:r>
      <w:r>
        <w:t xml:space="preserve">“</w:t>
      </w:r>
      <w:r>
        <w:t xml:space="preserve">Purview</w:t>
      </w:r>
      <w:r>
        <w:t xml:space="preserve"> </w:t>
      </w:r>
      <w:r>
        <w:t xml:space="preserve">Label</w:t>
      </w:r>
      <w:r>
        <w:t xml:space="preserve">”</w:t>
      </w:r>
      <w:r>
        <w:t xml:space="preserve"> </w:t>
      </w:r>
      <w:r>
        <w:t xml:space="preserve">references the sensitivity label applied in Part 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5"/>
        <w:gridCol w:w="1112"/>
        <w:gridCol w:w="1374"/>
        <w:gridCol w:w="1178"/>
        <w:gridCol w:w="1243"/>
        <w:gridCol w:w="1243"/>
        <w:gridCol w:w="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Authority?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portal — online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PII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Social Security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notice only (PT-5)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 displayed at form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portal — 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(application); No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voluntary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checkbox at account creation; plain-language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 settings; immediate 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center (Amazon Connect) — call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continuation of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consent required for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voice notice at call start; caller may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disconnects; no further recording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cookies on citizen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statutory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OMB M-10-22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consent banner on first visit; DoNotTrack respected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preference center; opt-out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Cross-agency data sharing (API inbound)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received from [AGENCY]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DSA + Privacy Act routine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DSA governs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Data-sharing agreement on file; individuals notified via sending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governed by originating SORN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system — employee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5 U.S.C. §552a, OPM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SF-2809/2810 enrollment forms include Privacy Act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statutory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[DATA SOURCE]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[INTERACTION]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[MECHANISM]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[PROCESS]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[LABEL]</w:t>
            </w:r>
          </w:p>
        </w:tc>
      </w:tr>
    </w:tbl>
    <w:bookmarkEnd w:id="41"/>
    <w:bookmarkStart w:id="42" w:name="consent-pattern-note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Consent Pattern Notes</w:t>
      </w:r>
    </w:p>
    <w:p>
      <w:pPr>
        <w:pStyle w:val="FirstParagraph"/>
      </w:pPr>
      <w:r>
        <w:rPr>
          <w:bCs/>
          <w:b/>
        </w:rPr>
        <w:t xml:space="preserve">Web Form Pattern (Explicit Checkbox):</w:t>
      </w:r>
      <w:r>
        <w:t xml:space="preserve"> </w:t>
      </w:r>
      <w:r>
        <w:t xml:space="preserve">For voluntary collection on web forms,</w:t>
      </w:r>
      <w:r>
        <w:t xml:space="preserve"> </w:t>
      </w:r>
      <w:r>
        <w:t xml:space="preserve">use an unchecked opt-in checkbox. Pre-checked boxes do not constitute valid</w:t>
      </w:r>
      <w:r>
        <w:t xml:space="preserve"> </w:t>
      </w:r>
      <w:r>
        <w:t xml:space="preserve">consent. The checkbox label must identify: (1) what data is collected, (2) how</w:t>
      </w:r>
      <w:r>
        <w:t xml:space="preserve"> </w:t>
      </w:r>
      <w:r>
        <w:t xml:space="preserve">it will be used, and (3) that participation is voluntary with no penalty for</w:t>
      </w:r>
      <w:r>
        <w:t xml:space="preserve"> </w:t>
      </w:r>
      <w:r>
        <w:t xml:space="preserve">refusal.</w:t>
      </w:r>
    </w:p>
    <w:p>
      <w:pPr>
        <w:pStyle w:val="BodyText"/>
      </w:pPr>
      <w:r>
        <w:rPr>
          <w:bCs/>
          <w:b/>
        </w:rPr>
        <w:t xml:space="preserve">Automated Collection Pattern (Notice at Point of Collection):</w:t>
      </w:r>
      <w:r>
        <w:t xml:space="preserve"> </w:t>
      </w:r>
      <w:r>
        <w:t xml:space="preserve">Where consent</w:t>
      </w:r>
      <w:r>
        <w:t xml:space="preserve"> </w:t>
      </w:r>
      <w:r>
        <w:t xml:space="preserve">is not required but notice is (e.g., call recording under statutory authority),</w:t>
      </w:r>
      <w:r>
        <w:t xml:space="preserve"> </w:t>
      </w:r>
      <w:r>
        <w:t xml:space="preserve">provide a clear notice before collection begins. Document the notice text in the</w:t>
      </w:r>
      <w:r>
        <w:t xml:space="preserve"> </w:t>
      </w:r>
      <w:r>
        <w:t xml:space="preserve">PT-5 template (§6).</w:t>
      </w:r>
    </w:p>
    <w:p>
      <w:pPr>
        <w:pStyle w:val="BodyText"/>
      </w:pPr>
      <w:r>
        <w:rPr>
          <w:bCs/>
          <w:b/>
        </w:rPr>
        <w:t xml:space="preserve">Inter-Agency Sharing Pattern (Data Sharing Agreement):</w:t>
      </w:r>
      <w:r>
        <w:t xml:space="preserve"> </w:t>
      </w:r>
      <w:r>
        <w:t xml:space="preserve">When PII is received</w:t>
      </w:r>
      <w:r>
        <w:t xml:space="preserve"> </w:t>
      </w:r>
      <w:r>
        <w:t xml:space="preserve">from another federal agency, the DSA serves as the legal instrument. Individuals</w:t>
      </w:r>
      <w:r>
        <w:t xml:space="preserve"> </w:t>
      </w:r>
      <w:r>
        <w:t xml:space="preserve">are deemed notified through the originating agency’s SORN. Verify the sending</w:t>
      </w:r>
      <w:r>
        <w:t xml:space="preserve"> </w:t>
      </w:r>
      <w:r>
        <w:t xml:space="preserve">agency’s SORN includes a routine use that covers the receiving use case.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rivacy-notice-pt-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Privacy Notice (PT-5)</w:t>
      </w:r>
    </w:p>
    <w:bookmarkStart w:id="44" w:name="control-requirement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PT-5 requires the organization to provide notice to individuals regarding the</w:t>
      </w:r>
      <w:r>
        <w:t xml:space="preserve"> </w:t>
      </w:r>
      <w:r>
        <w:t xml:space="preserve">collection, use, maintenance, and dissemination of PII. Notice must be provided</w:t>
      </w:r>
      <w:r>
        <w:t xml:space="preserve"> </w:t>
      </w:r>
      <w:r>
        <w:t xml:space="preserve">at or before the time of collection. For web-based systems, OMB M-03-22 and</w:t>
      </w:r>
      <w:r>
        <w:t xml:space="preserve"> </w:t>
      </w:r>
      <w:r>
        <w:t xml:space="preserve">the E-Gov Act §208 specify required notice elements.</w:t>
      </w:r>
    </w:p>
    <w:bookmarkEnd w:id="44"/>
    <w:bookmarkStart w:id="45" w:name="required-notice-elements-omb-m-03-22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Required Notice Elements (OMB M-03-22)</w:t>
      </w:r>
    </w:p>
    <w:p>
      <w:pPr>
        <w:pStyle w:val="FirstParagraph"/>
      </w:pPr>
      <w:r>
        <w:t xml:space="preserve">Every privacy notice for a federal web-based system must include: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identity</w:t>
      </w:r>
      <w:r>
        <w:t xml:space="preserve"> </w:t>
      </w:r>
      <w:r>
        <w:t xml:space="preserve">of the agency collecting the information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legal authority</w:t>
      </w:r>
      <w:r>
        <w:t xml:space="preserve"> </w:t>
      </w:r>
      <w:r>
        <w:t xml:space="preserve">for the collection (statute or executive order)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principal purpose(s)</w:t>
      </w:r>
      <w:r>
        <w:t xml:space="preserve"> </w:t>
      </w:r>
      <w:r>
        <w:t xml:space="preserve">for which the information will be used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routine uses</w:t>
      </w:r>
      <w:r>
        <w:t xml:space="preserve"> </w:t>
      </w:r>
      <w:r>
        <w:t xml:space="preserve">— disclosures permitted outside the originating system</w:t>
      </w:r>
    </w:p>
    <w:p>
      <w:pPr>
        <w:numPr>
          <w:ilvl w:val="0"/>
          <w:numId w:val="1008"/>
        </w:numPr>
        <w:pStyle w:val="Compact"/>
      </w:pPr>
      <w:r>
        <w:t xml:space="preserve">Whether providing the information is</w:t>
      </w:r>
      <w:r>
        <w:t xml:space="preserve"> </w:t>
      </w:r>
      <w:r>
        <w:rPr>
          <w:bCs/>
          <w:b/>
        </w:rPr>
        <w:t xml:space="preserve">mandatory or voluntary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effects of non-disclosure</w:t>
      </w:r>
      <w:r>
        <w:t xml:space="preserve"> </w:t>
      </w:r>
      <w:r>
        <w:t xml:space="preserve">— what happens if the individual does not provide the information</w:t>
      </w:r>
    </w:p>
    <w:bookmarkEnd w:id="45"/>
    <w:bookmarkStart w:id="46" w:name="model-privacy-notice-ssa-citizen-portal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Model Privacy Notice — SSA Citizen Portal</w:t>
      </w:r>
    </w:p>
    <w:p>
      <w:pPr>
        <w:pStyle w:val="BlockText"/>
      </w:pPr>
      <w:r>
        <w:t xml:space="preserve">[FILLABLE] The following model notice may be adapted for any SSA citizen-</w:t>
      </w:r>
      <w:r>
        <w:t xml:space="preserve"> </w:t>
      </w:r>
      <w:r>
        <w:t xml:space="preserve">facing system. Replace all [PLACEHOLDER] values with system-specific content.</w:t>
      </w:r>
      <w:r>
        <w:t xml:space="preserve"> </w:t>
      </w:r>
      <w:r>
        <w:t xml:space="preserve">Legal Counsel and SAOP must review the final text before publication.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PRIVACY ACT STATEMENT</w:t>
      </w:r>
    </w:p>
    <w:p>
      <w:pPr>
        <w:pStyle w:val="BodyText"/>
      </w:pPr>
      <w:r>
        <w:rPr>
          <w:iCs/>
          <w:i/>
        </w:rPr>
        <w:t xml:space="preserve">[SYSTEM NAME] — [AGENCY PROGRAM NAME]</w:t>
      </w:r>
    </w:p>
    <w:p>
      <w:pPr>
        <w:pStyle w:val="BodyText"/>
      </w:pPr>
      <w:r>
        <w:rPr>
          <w:bCs/>
          <w:b/>
        </w:rPr>
        <w:t xml:space="preserve">Collecting Agency:</w:t>
      </w:r>
      <w:r>
        <w:t xml:space="preserve"> </w:t>
      </w:r>
      <w:r>
        <w:t xml:space="preserve">Social Security Administration (SSA), [PROGRAM OFFICE]</w:t>
      </w:r>
    </w:p>
    <w:p>
      <w:pPr>
        <w:pStyle w:val="BodyText"/>
      </w:pPr>
      <w:r>
        <w:rPr>
          <w:bCs/>
          <w:b/>
        </w:rPr>
        <w:t xml:space="preserve">Legal Authority:</w:t>
      </w:r>
      <w:r>
        <w:t xml:space="preserve"> </w:t>
      </w:r>
      <w:r>
        <w:t xml:space="preserve">[CITATION — e.g.,</w:t>
      </w:r>
      <w:r>
        <w:t xml:space="preserve"> </w:t>
      </w:r>
      <w:r>
        <w:t xml:space="preserve">“</w:t>
      </w:r>
      <w:r>
        <w:t xml:space="preserve">Section 205(c) of the Social Security</w:t>
      </w:r>
      <w:r>
        <w:t xml:space="preserve"> </w:t>
      </w:r>
      <w:r>
        <w:t xml:space="preserve">Act (42 U.S.C. §405(c)) authorizes SSA to collect this information.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SSA collects this information to [PRIMARY PURPOSE — e.g.,</w:t>
      </w:r>
      <w:r>
        <w:t xml:space="preserve"> </w:t>
      </w:r>
      <w:r>
        <w:t xml:space="preserve">“</w:t>
      </w:r>
      <w:r>
        <w:t xml:space="preserve">process your application for retirement, disability, or survivor benefits and</w:t>
      </w:r>
      <w:r>
        <w:t xml:space="preserve"> </w:t>
      </w:r>
      <w:r>
        <w:t xml:space="preserve">to verify your eligibility</w:t>
      </w:r>
      <w:r>
        <w:t xml:space="preserve">”</w:t>
      </w:r>
      <w:r>
        <w:t xml:space="preserve">]. Your information may also be used to [SECONDARY</w:t>
      </w:r>
      <w:r>
        <w:t xml:space="preserve"> </w:t>
      </w:r>
      <w:r>
        <w:t xml:space="preserve">PURPOSE IF ANY — e.g.,</w:t>
      </w:r>
      <w:r>
        <w:t xml:space="preserve"> </w:t>
      </w:r>
      <w:r>
        <w:t xml:space="preserve">“</w:t>
      </w:r>
      <w:r>
        <w:t xml:space="preserve">detect and prevent fraud in connection with SSA</w:t>
      </w:r>
      <w:r>
        <w:t xml:space="preserve"> </w:t>
      </w:r>
      <w:r>
        <w:t xml:space="preserve">programs</w:t>
      </w:r>
      <w:r>
        <w:t xml:space="preserve">”</w:t>
      </w:r>
      <w:r>
        <w:t xml:space="preserve">].</w:t>
      </w:r>
    </w:p>
    <w:p>
      <w:pPr>
        <w:pStyle w:val="BodyText"/>
      </w:pPr>
      <w:r>
        <w:rPr>
          <w:bCs/>
          <w:b/>
        </w:rPr>
        <w:t xml:space="preserve">Routine Uses:</w:t>
      </w:r>
      <w:r>
        <w:t xml:space="preserve"> </w:t>
      </w:r>
      <w:r>
        <w:t xml:space="preserve">SSA may disclose information from this system as permitted</w:t>
      </w:r>
      <w:r>
        <w:t xml:space="preserve"> </w:t>
      </w:r>
      <w:r>
        <w:t xml:space="preserve">by the Privacy Act, including to: [LIST KEY ROUTINE USES FROM SORN —</w:t>
      </w:r>
      <w:r>
        <w:t xml:space="preserve"> </w:t>
      </w:r>
      <w:r>
        <w:t xml:space="preserve">e.g.,</w:t>
      </w:r>
      <w:r>
        <w:t xml:space="preserve"> </w:t>
      </w:r>
      <w:r>
        <w:t xml:space="preserve">“</w:t>
      </w:r>
      <w:r>
        <w:t xml:space="preserve">the Department of Justice for litigation support; state agencies for</w:t>
      </w:r>
      <w:r>
        <w:t xml:space="preserve"> </w:t>
      </w:r>
      <w:r>
        <w:t xml:space="preserve">Medicaid coordination; the Internal Revenue Service for tax record matching</w:t>
      </w:r>
      <w:r>
        <w:t xml:space="preserve"> </w:t>
      </w:r>
      <w:r>
        <w:t xml:space="preserve">under the Social Security Act §1106</w:t>
      </w:r>
      <w:r>
        <w:t xml:space="preserve">”</w:t>
      </w:r>
      <w:r>
        <w:t xml:space="preserve">]. A complete list of routine uses appears</w:t>
      </w:r>
      <w:r>
        <w:t xml:space="preserve"> </w:t>
      </w:r>
      <w:r>
        <w:t xml:space="preserve">in the System of Records Notice [SORN REFERENCE], published in the Federal</w:t>
      </w:r>
      <w:r>
        <w:t xml:space="preserve"> </w:t>
      </w:r>
      <w:r>
        <w:t xml:space="preserve">Register at [FR CITATION].</w:t>
      </w:r>
    </w:p>
    <w:p>
      <w:pPr>
        <w:pStyle w:val="BodyText"/>
      </w:pPr>
      <w:r>
        <w:rPr>
          <w:bCs/>
          <w:b/>
        </w:rPr>
        <w:t xml:space="preserve">Disclosure:</w:t>
      </w:r>
      <w:r>
        <w:t xml:space="preserve"> </w:t>
      </w:r>
      <w:r>
        <w:t xml:space="preserve">Providing this information is [MANDATORY / VOLUNTARY].</w:t>
      </w:r>
    </w:p>
    <w:p>
      <w:pPr>
        <w:pStyle w:val="BlockText"/>
      </w:pPr>
      <w:r>
        <w:t xml:space="preserve">[FILLABLE — MANDATORY CASE:] Providing your [SPECIFIC FIELD, e.g., Social</w:t>
      </w:r>
      <w:r>
        <w:t xml:space="preserve"> </w:t>
      </w:r>
      <w:r>
        <w:t xml:space="preserve">Security Number] is mandatory under [LEGAL CITATION]. Failure to provide</w:t>
      </w:r>
      <w:r>
        <w:t xml:space="preserve"> </w:t>
      </w:r>
      <w:r>
        <w:t xml:space="preserve">this information will result in [CONSEQUENCE — e.g.,</w:t>
      </w:r>
      <w:r>
        <w:t xml:space="preserve"> </w:t>
      </w:r>
      <w:r>
        <w:t xml:space="preserve">“</w:t>
      </w:r>
      <w:r>
        <w:t xml:space="preserve">delay or denial of</w:t>
      </w:r>
      <w:r>
        <w:t xml:space="preserve"> </w:t>
      </w:r>
      <w:r>
        <w:t xml:space="preserve">your benefit application</w:t>
      </w:r>
      <w:r>
        <w:t xml:space="preserve">”</w:t>
      </w:r>
      <w:r>
        <w:t xml:space="preserve">].</w:t>
      </w:r>
    </w:p>
    <w:p>
      <w:pPr>
        <w:pStyle w:val="BlockText"/>
      </w:pPr>
      <w:r>
        <w:t xml:space="preserve">[FILLABLE — VOLUNTARY CASE:] Providing your [SPECIFIC FIELD, e.g., email</w:t>
      </w:r>
      <w:r>
        <w:t xml:space="preserve"> </w:t>
      </w:r>
      <w:r>
        <w:t xml:space="preserve">address for notifications] is voluntary. There is no penalty for choosing</w:t>
      </w:r>
      <w:r>
        <w:t xml:space="preserve"> </w:t>
      </w:r>
      <w:r>
        <w:t xml:space="preserve">not to provide this information.</w:t>
      </w:r>
    </w:p>
    <w:p>
      <w:r>
        <w:pict>
          <v:rect style="width:0;height:1.5pt" o:hralign="center" o:hrstd="t" o:hr="t"/>
        </w:pict>
      </w:r>
    </w:p>
    <w:bookmarkEnd w:id="46"/>
    <w:bookmarkStart w:id="47" w:name="web-notice-placement-requirement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Web Notice Placement Requirements</w:t>
      </w:r>
    </w:p>
    <w:p>
      <w:pPr>
        <w:pStyle w:val="FirstParagraph"/>
      </w:pPr>
      <w:r>
        <w:t xml:space="preserve">Privacy notices must appear at the following touchpoints on SSA web systems: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112"/>
        <w:gridCol w:w="38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/ E-Gov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privacy policy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notice; linked from every page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E-Gov Act §208(b)(1)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forms (before submission)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 Statement or link to full notice above each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M-03-22 §III.A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/ tracking notice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of tracking technologies on first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M-10-22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apps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privacy notice at first launch; link to full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M-03-22 §III.B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confirmation of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full privacy notice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best practice</w:t>
            </w:r>
          </w:p>
        </w:tc>
      </w:tr>
    </w:tbl>
    <w:bookmarkEnd w:id="47"/>
    <w:bookmarkStart w:id="48" w:name="Xd58b74081421a3ac1e2e14d9953333a6d9858f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FedRAMP 20x Machine-Accessible Notice Requirement</w:t>
      </w:r>
    </w:p>
    <w:p>
      <w:pPr>
        <w:pStyle w:val="FirstParagraph"/>
      </w:pPr>
      <w:r>
        <w:t xml:space="preserve">FedRAMP 20x requires that the privacy notice be machine-accessible — a stable,</w:t>
      </w:r>
      <w:r>
        <w:t xml:space="preserve"> </w:t>
      </w:r>
      <w:r>
        <w:t xml:space="preserve">publicly reachable URL that 3PAOs and FedRAMP PMO reviewers can validate</w:t>
      </w:r>
      <w:r>
        <w:t xml:space="preserve"> </w:t>
      </w:r>
      <w:r>
        <w:t xml:space="preserve">without manual intervention. The SSP must include:</w:t>
      </w:r>
    </w:p>
    <w:p>
      <w:pPr>
        <w:pStyle w:val="BlockText"/>
      </w:pPr>
      <w:r>
        <w:t xml:space="preserve">[FILLABLE]</w:t>
      </w:r>
      <w:r>
        <w:t xml:space="preserve"> </w:t>
      </w:r>
      <w:r>
        <w:rPr>
          <w:bCs/>
          <w:b/>
        </w:rPr>
        <w:t xml:space="preserve">Privacy Notice URL:</w:t>
      </w:r>
      <w:r>
        <w:t xml:space="preserve"> </w:t>
      </w:r>
      <w:r>
        <w:rPr>
          <w:rStyle w:val="VerbatimChar"/>
        </w:rPr>
        <w:t xml:space="preserve">https://[AGENCY-DOMAIN]/[SYSTEM-PATH]/privacy</w:t>
      </w:r>
    </w:p>
    <w:p>
      <w:pPr>
        <w:pStyle w:val="BlockText"/>
      </w:pPr>
      <w:r>
        <w:t xml:space="preserve">This URL must return a valid HTTP 200 response and contain the OMB-required</w:t>
      </w:r>
      <w:r>
        <w:t xml:space="preserve"> </w:t>
      </w:r>
      <w:r>
        <w:t xml:space="preserve">notice elements. The URL must be recorded in the SSP System Description</w:t>
      </w:r>
      <w:r>
        <w:t xml:space="preserve"> </w:t>
      </w:r>
      <w:r>
        <w:t xml:space="preserve">section under</w:t>
      </w:r>
      <w:r>
        <w:t xml:space="preserve"> </w:t>
      </w:r>
      <w:r>
        <w:t xml:space="preserve">“</w:t>
      </w:r>
      <w:r>
        <w:t xml:space="preserve">Privacy Posture.</w:t>
      </w:r>
      <w:r>
        <w:t xml:space="preserve">”</w:t>
      </w:r>
      <w:r>
        <w:t xml:space="preserve"> </w:t>
      </w:r>
      <w:r>
        <w:t xml:space="preserve">Verify URL availability as part of each</w:t>
      </w:r>
      <w:r>
        <w:t xml:space="preserve"> </w:t>
      </w:r>
      <w:r>
        <w:t xml:space="preserve">annual privacy assessment.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special-categories-of-pii-pt-7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Special Categories of PII (PT-7)</w:t>
      </w:r>
    </w:p>
    <w:bookmarkStart w:id="50" w:name="control-requirement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Control Requirement</w:t>
      </w:r>
    </w:p>
    <w:p>
      <w:pPr>
        <w:pStyle w:val="FirstParagraph"/>
      </w:pPr>
      <w:r>
        <w:t xml:space="preserve">PT-7 requires the organization to apply heightened privacy protections to</w:t>
      </w:r>
      <w:r>
        <w:t xml:space="preserve"> </w:t>
      </w:r>
      <w:r>
        <w:t xml:space="preserve">special categories of PII in accordance with applicable laws, Executive Orders,</w:t>
      </w:r>
      <w:r>
        <w:t xml:space="preserve"> </w:t>
      </w:r>
      <w:r>
        <w:t xml:space="preserve">directives, regulations, policies, standards, and guidelines. Special categories</w:t>
      </w:r>
      <w:r>
        <w:t xml:space="preserve"> </w:t>
      </w:r>
      <w:r>
        <w:t xml:space="preserve">require controls beyond those applied to general PII.</w:t>
      </w:r>
    </w:p>
    <w:bookmarkEnd w:id="50"/>
    <w:bookmarkStart w:id="51" w:name="Xd2de8f023c153d1cabf6cd5f0c42392b4ec4fad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Special Categories Applicable to SSA Systems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2"/>
        <w:gridCol w:w="2180"/>
        <w:gridCol w:w="42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for Heightened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Security Number (SSN)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M-17-12; OMB M-07-16; SSN limitation laws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Gramm-Leach-Bliley Act; OMB M-17-12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/ health records (PHI)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 Rule (45 C.F.R. §164); SSA Act §1106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M-22-10; agency biometric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Geolocation data (precise)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 M-14-06; Fourth Amendment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Citizenship / immigration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§274B; OMB guidance; heightened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 health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HIPAA; 42 C.F.R. Part 2 (substance use 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Genetic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GINA (29 U.S.C. §1182); HIPAA</w:t>
            </w:r>
          </w:p>
        </w:tc>
      </w:tr>
    </w:tbl>
    <w:bookmarkEnd w:id="51"/>
    <w:bookmarkStart w:id="52" w:name="special-category-control-matrix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Special Category Control Matrix</w:t>
      </w:r>
    </w:p>
    <w:p>
      <w:pPr>
        <w:pStyle w:val="BlockText"/>
      </w:pPr>
      <w:r>
        <w:t xml:space="preserve">[FILLABLE] For each special category processed by the system, document the</w:t>
      </w:r>
      <w:r>
        <w:t xml:space="preserve"> </w:t>
      </w:r>
      <w:r>
        <w:t xml:space="preserve">Purview sensitivity label (from Part 9), encryption requirement, access</w:t>
      </w:r>
      <w:r>
        <w:t xml:space="preserve"> </w:t>
      </w:r>
      <w:r>
        <w:t xml:space="preserve">control tier, and audit logging posture.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9"/>
        <w:gridCol w:w="2238"/>
        <w:gridCol w:w="1893"/>
        <w:gridCol w:w="1377"/>
        <w:gridCol w:w="12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Sensitivity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 (full)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TLS 1.3 in transit; CMK-managed (Part 9 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Role-based; least privilege; MFA required; no service account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reads and writes logged to Sentinel; 7-year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 (masked — last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GCC Moderate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role-based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CMK-managed; never logged in 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roles only; dual-approval for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logged; anomaly alert threshold: [N] accesses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/ PHI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CMK-managed; column-level encryption for PHI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review roles only; adjudicators scoped to assigned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PHI access logged; HIPAA-compliant audit trail; 6-year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at-rest encryption separate from application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system service account only; no human read access to raw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logged; alert on any human read of raw biometric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Geolocation (if collected)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Confidential-PII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GCC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fraud analytics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reads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Citizenship / immigration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CMK-managed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Need-to-know; no bulk export; legal review for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logged; alert on bulk export</w:t>
            </w:r>
          </w:p>
        </w:tc>
      </w:tr>
    </w:tbl>
    <w:bookmarkEnd w:id="52"/>
    <w:bookmarkStart w:id="53" w:name="phi-subset-hipaa-applicability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PHI Subset — HIPAA Applicability</w:t>
      </w:r>
    </w:p>
    <w:p>
      <w:pPr>
        <w:pStyle w:val="FirstParagraph"/>
      </w:pPr>
      <w:r>
        <w:t xml:space="preserve">SSA systems that process health information in connection with Medicare Part B</w:t>
      </w:r>
      <w:r>
        <w:t xml:space="preserve"> </w:t>
      </w:r>
      <w:r>
        <w:t xml:space="preserve">coordination (CMS data exchanges), disability determination (medical records),</w:t>
      </w:r>
      <w:r>
        <w:t xml:space="preserve"> </w:t>
      </w:r>
      <w:r>
        <w:t xml:space="preserve">or employee health programs are subject to HIPAA where SSA acts as a covered</w:t>
      </w:r>
      <w:r>
        <w:t xml:space="preserve"> </w:t>
      </w:r>
      <w:r>
        <w:t xml:space="preserve">entity or business associate.</w:t>
      </w:r>
    </w:p>
    <w:p>
      <w:pPr>
        <w:pStyle w:val="BodyText"/>
      </w:pPr>
      <w:r>
        <w:rPr>
          <w:bCs/>
          <w:b/>
        </w:rPr>
        <w:t xml:space="preserve">HIPAA Applicability Determination:</w:t>
      </w:r>
    </w:p>
    <w:p>
      <w:pPr>
        <w:pStyle w:val="BlockText"/>
      </w:pPr>
      <w:r>
        <w:t xml:space="preserve">[FILLABLE] Complete a HIPAA applicability determination for each data flow</w:t>
      </w:r>
      <w:r>
        <w:t xml:space="preserve"> </w:t>
      </w:r>
      <w:r>
        <w:t xml:space="preserve">involving health information. Document in the data flow map (§8) whether</w:t>
      </w:r>
      <w:r>
        <w:t xml:space="preserve"> </w:t>
      </w:r>
      <w:r>
        <w:t xml:space="preserve">SSA is acting as a covered entity, business associate, or neither for each</w:t>
      </w:r>
      <w:r>
        <w:t xml:space="preserve"> </w:t>
      </w:r>
      <w:r>
        <w:t xml:space="preserve">flow. If HIPAA applies, the Business Associate Agreement (BAA) with [CSP /</w:t>
      </w:r>
      <w:r>
        <w:t xml:space="preserve"> </w:t>
      </w:r>
      <w:r>
        <w:t xml:space="preserve">AZURE] must be on file. Reference Part 9 §5 for the Azure BAA status under</w:t>
      </w:r>
      <w:r>
        <w:t xml:space="preserve"> </w:t>
      </w:r>
      <w:r>
        <w:t xml:space="preserve">the GCC Moderate agreement.</w:t>
      </w:r>
    </w:p>
    <w:bookmarkEnd w:id="53"/>
    <w:bookmarkStart w:id="54" w:name="ssn-handling-omb-m-17-12-requirement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SSN Handling — OMB M-17-12 Requirements</w:t>
      </w:r>
    </w:p>
    <w:p>
      <w:pPr>
        <w:pStyle w:val="FirstParagraph"/>
      </w:pPr>
      <w:r>
        <w:t xml:space="preserve">OMB Memorandum M-17-12 imposes specific requirements on SSN use and exposure: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SSN as Identifier:</w:t>
      </w:r>
      <w:r>
        <w:t xml:space="preserve"> </w:t>
      </w:r>
      <w:r>
        <w:t xml:space="preserve">Agencies must eliminate unnecessary use of SSN as a</w:t>
      </w:r>
      <w:r>
        <w:t xml:space="preserve"> </w:t>
      </w:r>
      <w:r>
        <w:t xml:space="preserve">system identifier where an alternative identifier is available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Truncation Policy:</w:t>
      </w:r>
      <w:r>
        <w:t xml:space="preserve"> </w:t>
      </w:r>
      <w:r>
        <w:t xml:space="preserve">When SSNs must be displayed, display only the last</w:t>
      </w:r>
      <w:r>
        <w:t xml:space="preserve"> </w:t>
      </w:r>
      <w:r>
        <w:t xml:space="preserve">four digits (XXX-XX-1234) except where full SSN is operationally required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Collection Minimization:</w:t>
      </w:r>
      <w:r>
        <w:t xml:space="preserve"> </w:t>
      </w:r>
      <w:r>
        <w:t xml:space="preserve">Do not collect SSN if the statutory authority</w:t>
      </w:r>
      <w:r>
        <w:t xml:space="preserve"> </w:t>
      </w:r>
      <w:r>
        <w:t xml:space="preserve">does not require it; document in PT-2 the specific authority for each</w:t>
      </w:r>
      <w:r>
        <w:t xml:space="preserve"> </w:t>
      </w:r>
      <w:r>
        <w:t xml:space="preserve">collection point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Breach Response:</w:t>
      </w:r>
      <w:r>
        <w:t xml:space="preserve"> </w:t>
      </w:r>
      <w:r>
        <w:t xml:space="preserve">SSN exposure triggers OMB M-17-12 breach notification</w:t>
      </w:r>
      <w:r>
        <w:t xml:space="preserve"> </w:t>
      </w:r>
      <w:r>
        <w:t xml:space="preserve">procedures; see the Breach Response SOP (reference Part 13 §5 for incident</w:t>
      </w:r>
      <w:r>
        <w:t xml:space="preserve"> </w:t>
      </w:r>
      <w:r>
        <w:t xml:space="preserve">management framework)</w:t>
      </w:r>
    </w:p>
    <w:p>
      <w:pPr>
        <w:pStyle w:val="FirstParagraph"/>
      </w:pPr>
      <w:r>
        <w:rPr>
          <w:bCs/>
          <w:b/>
        </w:rPr>
        <w:t xml:space="preserve">SSN Masking Policy for [SYSTEM NAME]:</w:t>
      </w:r>
    </w:p>
    <w:p>
      <w:pPr>
        <w:pStyle w:val="BlockText"/>
      </w:pPr>
      <w:r>
        <w:t xml:space="preserve">[FILLABLE] Document where in the system SSNs are displayed and confirm</w:t>
      </w:r>
      <w:r>
        <w:t xml:space="preserve"> </w:t>
      </w:r>
      <w:r>
        <w:t xml:space="preserve">that each display point uses masked format. Example: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0"/>
        <w:gridCol w:w="1560"/>
        <w:gridCol w:w="252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SSN Accessible?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portal account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4 digits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confirmation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worker UI — case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4 digits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association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worker UI — identity verification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role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identity match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all API schemas</w:t>
            </w:r>
          </w:p>
        </w:tc>
      </w:tr>
    </w:tbl>
    <w:bookmarkEnd w:id="54"/>
    <w:bookmarkStart w:id="55" w:name="X10bded3312b5d585e9f5ca8ea25b7ead3a4079b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Purview Auto-Labeling for Special Categories</w:t>
      </w:r>
    </w:p>
    <w:p>
      <w:pPr>
        <w:pStyle w:val="FirstParagraph"/>
      </w:pPr>
      <w:r>
        <w:t xml:space="preserve">Part 9 §6 established auto-labeling rules in Microsoft Purview. The following</w:t>
      </w:r>
      <w:r>
        <w:t xml:space="preserve"> </w:t>
      </w:r>
      <w:r>
        <w:t xml:space="preserve">rules apply to special categories under PT-7: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3"/>
        <w:gridCol w:w="2149"/>
        <w:gridCol w:w="2149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Auto-Label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Built-in: U.S. SSN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sharing; require justification for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Credit/debit card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Built-in: Credit Card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sharing; DLP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terms + patient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Trainable classifier: PHI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sharing; require HIPAA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/ visa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Built-in: U.S. Passport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external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[CUSTOM CATEGORY]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[CLASSIFIER]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[ACTION]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pii-data-flow-map-templat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PII Data Flow Map Template</w:t>
      </w:r>
    </w:p>
    <w:bookmarkStart w:id="57" w:name="template-purpos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Template Purpose</w:t>
      </w:r>
    </w:p>
    <w:p>
      <w:pPr>
        <w:pStyle w:val="FirstParagraph"/>
      </w:pPr>
      <w:r>
        <w:t xml:space="preserve">PT-2 through PT-7 collectively require the agency to</w:t>
      </w:r>
      <w:r>
        <w:t xml:space="preserve"> </w:t>
      </w:r>
      <w:r>
        <w:rPr>
          <w:iCs/>
          <w:i/>
        </w:rPr>
        <w:t xml:space="preserve">know where its PII is</w:t>
      </w:r>
      <w:r>
        <w:t xml:space="preserve">.</w:t>
      </w:r>
      <w:r>
        <w:t xml:space="preserve"> </w:t>
      </w:r>
      <w:r>
        <w:t xml:space="preserve">The data flow map is the single artifact that makes that knowledge auditable.</w:t>
      </w:r>
      <w:r>
        <w:t xml:space="preserve"> </w:t>
      </w:r>
      <w:r>
        <w:t xml:space="preserve">It must be maintained current and reviewed at each annual privacy assessment.</w:t>
      </w:r>
      <w:r>
        <w:t xml:space="preserve"> </w:t>
      </w:r>
      <w:r>
        <w:t xml:space="preserve">Microsoft Purview Data Map lineage (Part 9 §3) provides automated discovery of</w:t>
      </w:r>
      <w:r>
        <w:t xml:space="preserve"> </w:t>
      </w:r>
      <w:r>
        <w:t xml:space="preserve">data flows; this template captures the authoritative human-reviewed record.</w:t>
      </w:r>
    </w:p>
    <w:bookmarkEnd w:id="57"/>
    <w:bookmarkStart w:id="58" w:name="pii-data-flow-registry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PII Data Flow Registry</w:t>
      </w:r>
    </w:p>
    <w:p>
      <w:pPr>
        <w:pStyle w:val="BlockText"/>
      </w:pPr>
      <w:r>
        <w:t xml:space="preserve">[FILLABLE] Assign a unique Flow ID to each PII data flow in the system.</w:t>
      </w:r>
      <w:r>
        <w:t xml:space="preserve"> </w:t>
      </w:r>
      <w:r>
        <w:t xml:space="preserve">Every row represents one discrete flow of PII from source to destination.</w:t>
      </w:r>
      <w:r>
        <w:t xml:space="preserve"> </w:t>
      </w:r>
      <w:r>
        <w:t xml:space="preserve">Review against Purview lineage scan results to identify undocumented flows.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2"/>
        <w:gridCol w:w="688"/>
        <w:gridCol w:w="737"/>
        <w:gridCol w:w="934"/>
        <w:gridCol w:w="639"/>
        <w:gridCol w:w="787"/>
        <w:gridCol w:w="1082"/>
        <w:gridCol w:w="934"/>
        <w:gridCol w:w="836"/>
        <w:gridCol w:w="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Cross-Boundary?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portal (intake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DOB, SSN, address, contact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application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case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 years]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case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SSN, medical records, benefit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[CASE ADJUDICATION SYSTEM]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post-determination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destruction +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center (Amazon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SSN (last 4), case number, call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service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([SYSTEM NAME])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(Connect to CRM)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case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SSN, benefit amount, 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tax statement (1099)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(FEDS Pay or direct filing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external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— Medicare Part B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PHI, SSN, Medicare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Centers for Medicare &amp; Medicaid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external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+ payload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CMS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CMS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PII, payroll, health benefit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OPM retirement system; FEHB 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external federal /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OPM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[DFL-NNN]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[SOURCE]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[PII CATEGORIES]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[PURPOSE]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[DESTINATION]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[PROTOCOL]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[STANDARD]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[PERIOD]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[METHOD]</w:t>
            </w:r>
          </w:p>
        </w:tc>
      </w:tr>
    </w:tbl>
    <w:bookmarkEnd w:id="58"/>
    <w:bookmarkStart w:id="59" w:name="required-data-flow-scenario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Required Data Flow Scenarios</w:t>
      </w:r>
    </w:p>
    <w:p>
      <w:pPr>
        <w:pStyle w:val="FirstParagraph"/>
      </w:pPr>
      <w:r>
        <w:t xml:space="preserve">The following four scenarios must be documented in the registry above before</w:t>
      </w:r>
      <w:r>
        <w:t xml:space="preserve"> </w:t>
      </w:r>
      <w:r>
        <w:t xml:space="preserve">the system can achieve FedRAMP 20x authorization:</w:t>
      </w:r>
    </w:p>
    <w:p>
      <w:pPr>
        <w:pStyle w:val="BodyText"/>
      </w:pPr>
      <w:r>
        <w:rPr>
          <w:bCs/>
          <w:b/>
        </w:rPr>
        <w:t xml:space="preserve">Scenario 1 — Citizen Portal Intake</w:t>
      </w:r>
    </w:p>
    <w:p>
      <w:pPr>
        <w:pStyle w:val="BodyText"/>
      </w:pPr>
      <w:r>
        <w:t xml:space="preserve">Document all flows from initial web form submission through case creation.</w:t>
      </w:r>
      <w:r>
        <w:t xml:space="preserve"> </w:t>
      </w:r>
      <w:r>
        <w:t xml:space="preserve">Confirm PT-5 notice is displayed before any PII is collected. Confirm SSN</w:t>
      </w:r>
      <w:r>
        <w:t xml:space="preserve"> </w:t>
      </w:r>
      <w:r>
        <w:t xml:space="preserve">auto-labeling triggers on intake (Part 9 §6).</w:t>
      </w:r>
    </w:p>
    <w:p>
      <w:pPr>
        <w:pStyle w:val="BodyText"/>
      </w:pPr>
      <w:r>
        <w:rPr>
          <w:bCs/>
          <w:b/>
        </w:rPr>
        <w:t xml:space="preserve">Scenario 2 — Contact Center (Amazon Connect)</w:t>
      </w:r>
    </w:p>
    <w:p>
      <w:pPr>
        <w:pStyle w:val="BodyText"/>
      </w:pPr>
      <w:r>
        <w:t xml:space="preserve">Document call routing, call recording storage, CRM write, and any screen-pop</w:t>
      </w:r>
      <w:r>
        <w:t xml:space="preserve"> </w:t>
      </w:r>
      <w:r>
        <w:t xml:space="preserve">of PII from case management. Confirm call recording consent notice (PT-4 §5).</w:t>
      </w:r>
      <w:r>
        <w:t xml:space="preserve"> </w:t>
      </w:r>
      <w:r>
        <w:t xml:space="preserve">Confirm recording retention aligns with PT-2 matrix (§3).</w:t>
      </w:r>
    </w:p>
    <w:p>
      <w:pPr>
        <w:pStyle w:val="BodyText"/>
      </w:pPr>
      <w:r>
        <w:rPr>
          <w:bCs/>
          <w:b/>
        </w:rPr>
        <w:t xml:space="preserve">Scenario 3 — HR / Workforce</w:t>
      </w:r>
    </w:p>
    <w:p>
      <w:pPr>
        <w:pStyle w:val="BodyText"/>
      </w:pPr>
      <w:r>
        <w:t xml:space="preserve">Document all HR PII flows including payroll, benefits, and disciplinary records.</w:t>
      </w:r>
      <w:r>
        <w:t xml:space="preserve"> </w:t>
      </w:r>
      <w:r>
        <w:t xml:space="preserve">Confirm OPM SORN coverage. Confirm FEHB carrier data sharing is covered by</w:t>
      </w:r>
      <w:r>
        <w:t xml:space="preserve"> </w:t>
      </w:r>
      <w:r>
        <w:t xml:space="preserve">DSA and SORN routine use.</w:t>
      </w:r>
    </w:p>
    <w:p>
      <w:pPr>
        <w:pStyle w:val="BodyText"/>
      </w:pPr>
      <w:r>
        <w:rPr>
          <w:bCs/>
          <w:b/>
        </w:rPr>
        <w:t xml:space="preserve">Scenario 4 — Cross-Agency Sharing via API</w:t>
      </w:r>
    </w:p>
    <w:p>
      <w:pPr>
        <w:pStyle w:val="BodyText"/>
      </w:pPr>
      <w:r>
        <w:t xml:space="preserve">Document each external API that sends or receives PII. For each: (a) confirm</w:t>
      </w:r>
      <w:r>
        <w:t xml:space="preserve"> </w:t>
      </w:r>
      <w:r>
        <w:t xml:space="preserve">a signed DSA is on file, (b) confirm the sending agency’s SORN covers the</w:t>
      </w:r>
      <w:r>
        <w:t xml:space="preserve"> </w:t>
      </w:r>
      <w:r>
        <w:t xml:space="preserve">receiving use, (c) confirm encryption and authentication standards meet GCC</w:t>
      </w:r>
      <w:r>
        <w:t xml:space="preserve"> </w:t>
      </w:r>
      <w:r>
        <w:t xml:space="preserve">Moderate requirements (TLS 1.3 minimum; mutual TLS preferred for cross-agency</w:t>
      </w:r>
      <w:r>
        <w:t xml:space="preserve"> </w:t>
      </w:r>
      <w:r>
        <w:t xml:space="preserve">API calls).</w:t>
      </w:r>
    </w:p>
    <w:bookmarkEnd w:id="59"/>
    <w:bookmarkStart w:id="60" w:name="azure-purview-lineage-integration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Azure Purview Lineage Integration</w:t>
      </w:r>
    </w:p>
    <w:p>
      <w:pPr>
        <w:pStyle w:val="FirstParagraph"/>
      </w:pPr>
      <w:r>
        <w:t xml:space="preserve">Microsoft Purview Data Map scans registered data sources and builds an automated</w:t>
      </w:r>
      <w:r>
        <w:t xml:space="preserve"> </w:t>
      </w:r>
      <w:r>
        <w:t xml:space="preserve">lineage graph showing data asset relationships. This scan does not replace manual</w:t>
      </w:r>
      <w:r>
        <w:t xml:space="preserve"> </w:t>
      </w:r>
      <w:r>
        <w:t xml:space="preserve">documentation but identifies gaps:</w:t>
      </w:r>
    </w:p>
    <w:p>
      <w:pPr>
        <w:numPr>
          <w:ilvl w:val="0"/>
          <w:numId w:val="1010"/>
        </w:numPr>
        <w:pStyle w:val="Compact"/>
      </w:pPr>
      <w:r>
        <w:t xml:space="preserve">Register all data sources in Purview (databases, storage accounts, data</w:t>
      </w:r>
      <w:r>
        <w:t xml:space="preserve"> </w:t>
      </w:r>
      <w:r>
        <w:t xml:space="preserve">factories) per Part 9 §3</w:t>
      </w:r>
    </w:p>
    <w:p>
      <w:pPr>
        <w:numPr>
          <w:ilvl w:val="0"/>
          <w:numId w:val="1010"/>
        </w:numPr>
        <w:pStyle w:val="Compact"/>
      </w:pPr>
      <w:r>
        <w:t xml:space="preserve">Run a lineage scan quarterly; export the lineage report</w:t>
      </w:r>
    </w:p>
    <w:p>
      <w:pPr>
        <w:numPr>
          <w:ilvl w:val="0"/>
          <w:numId w:val="1010"/>
        </w:numPr>
        <w:pStyle w:val="Compact"/>
      </w:pPr>
      <w:r>
        <w:t xml:space="preserve">Compare automated lineage report against this manual registry</w:t>
      </w:r>
    </w:p>
    <w:p>
      <w:pPr>
        <w:numPr>
          <w:ilvl w:val="0"/>
          <w:numId w:val="1010"/>
        </w:numPr>
        <w:pStyle w:val="Compact"/>
      </w:pPr>
      <w:r>
        <w:t xml:space="preserve">Any flow appearing in Purview lineage but not in this registry must be</w:t>
      </w:r>
      <w:r>
        <w:t xml:space="preserve"> </w:t>
      </w:r>
      <w:r>
        <w:t xml:space="preserve">investigated, documented, or remediated before the next annual privacy review</w:t>
      </w:r>
    </w:p>
    <w:p>
      <w:pPr>
        <w:pStyle w:val="BlockText"/>
      </w:pPr>
      <w:r>
        <w:t xml:space="preserve">[FILLABLE] Record the date of the most recent Purview lineage scan and the</w:t>
      </w:r>
      <w:r>
        <w:t xml:space="preserve"> </w:t>
      </w:r>
      <w:r>
        <w:t xml:space="preserve">name of the person who reviewed the comparison output:</w:t>
      </w:r>
    </w:p>
    <w:p>
      <w:pPr>
        <w:pStyle w:val="BlockText"/>
      </w:pPr>
      <w:r>
        <w:t xml:space="preserve">Last Purview lineage scan date: [DATE]</w:t>
      </w:r>
      <w:r>
        <w:t xml:space="preserve"> </w:t>
      </w:r>
      <w:r>
        <w:t xml:space="preserve">Reviewed by: [NAME, TITLE]</w:t>
      </w:r>
      <w:r>
        <w:t xml:space="preserve"> </w:t>
      </w:r>
      <w:r>
        <w:t xml:space="preserve">Findings: [NUMBER] undocumented flows identified / [NUMBER] remediated /</w:t>
      </w:r>
      <w:r>
        <w:t xml:space="preserve"> </w:t>
      </w:r>
      <w:r>
        <w:t xml:space="preserve">[NUMBER] accepted with documented justification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fedramp-20x-ksi-alignmen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FedRAMP 20x KSI Alignment</w:t>
      </w:r>
    </w:p>
    <w:bookmarkStart w:id="62" w:name="pt-control-closure-summary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PT Control Closure Summary</w:t>
      </w:r>
    </w:p>
    <w:p>
      <w:pPr>
        <w:pStyle w:val="FirstParagraph"/>
      </w:pPr>
      <w:r>
        <w:t xml:space="preserve">The templates in this document, when completed, close the following NIST SP</w:t>
      </w:r>
      <w:r>
        <w:t xml:space="preserve"> </w:t>
      </w:r>
      <w:r>
        <w:t xml:space="preserve">800-53 Rev 5 Privacy controls for a GCC Moderate authorization: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1108"/>
        <w:gridCol w:w="2692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Program Plan (PPP)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to Process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Authority Matrix + SORN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Specification Matrix + Purview Attribute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Mechanism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Privacy Notice + Placement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Categories of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 Control Matrix + SSN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62"/>
    <w:bookmarkStart w:id="63" w:name="ksi-indirect-coverag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KSI Indirect Coverage</w:t>
      </w:r>
    </w:p>
    <w:p>
      <w:pPr>
        <w:pStyle w:val="FirstParagraph"/>
      </w:pPr>
      <w:r>
        <w:t xml:space="preserve">PT controls do not yet have direct mappings to the FedRAMP 20x CR26 Key</w:t>
      </w:r>
      <w:r>
        <w:t xml:space="preserve"> </w:t>
      </w:r>
      <w:r>
        <w:t xml:space="preserve">Security Indicator rules. However, PT controls underpin the</w:t>
      </w:r>
      <w:r>
        <w:t xml:space="preserve"> </w:t>
      </w:r>
      <w:r>
        <w:rPr>
          <w:bCs/>
          <w:b/>
        </w:rPr>
        <w:t xml:space="preserve">KSI-PIY (Privacy</w:t>
      </w:r>
      <w:r>
        <w:rPr>
          <w:bCs/>
          <w:b/>
        </w:rPr>
        <w:t xml:space="preserve"> </w:t>
      </w:r>
      <w:r>
        <w:rPr>
          <w:bCs/>
          <w:b/>
        </w:rPr>
        <w:t xml:space="preserve">Inventory)</w:t>
      </w:r>
      <w:r>
        <w:t xml:space="preserve"> </w:t>
      </w:r>
      <w:r>
        <w:t xml:space="preserve">theme, which assesses whether the agency has a current, accurate</w:t>
      </w:r>
      <w:r>
        <w:t xml:space="preserve"> </w:t>
      </w:r>
      <w:r>
        <w:t xml:space="preserve">understanding of its PII holdings. The following indirect connections apply: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9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KSI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PT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KSI-PIY (Privacy Inventory)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PT-2, PT-3, PT-7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data inventory populated through PT-3 purpose mapping and PT-7 special category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KSI-DAT (Data Protection)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 encryption and access control requirements feed into data protection KSI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KSI-IDM (Identity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records linked to identity; withdrawal workflows touch IAM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KSI-CMT (Continuous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oversight cadence integrates with the ConMon plan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for FedRAMP Package Reviewers:</w:t>
      </w:r>
      <w:r>
        <w:t xml:space="preserve"> </w:t>
      </w:r>
      <w:r>
        <w:t xml:space="preserve">Until FedRAMP PMO publishes explicit</w:t>
      </w:r>
      <w:r>
        <w:t xml:space="preserve"> </w:t>
      </w:r>
      <w:r>
        <w:t xml:space="preserve">PT → KSI mappings, document PT control evidence in the SSP privacy section</w:t>
      </w:r>
      <w:r>
        <w:t xml:space="preserve"> </w:t>
      </w:r>
      <w:r>
        <w:t xml:space="preserve">and reference this document’s section numbers. The 3PAO privacy assessment</w:t>
      </w:r>
      <w:r>
        <w:t xml:space="preserve"> </w:t>
      </w:r>
      <w:r>
        <w:t xml:space="preserve">report should include PT-1 through PT-7 findings as a distinct section,</w:t>
      </w:r>
      <w:r>
        <w:t xml:space="preserve"> </w:t>
      </w:r>
      <w:r>
        <w:t xml:space="preserve">cross-referenced to the security assessment report.</w:t>
      </w:r>
    </w:p>
    <w:bookmarkEnd w:id="63"/>
    <w:bookmarkStart w:id="65" w:name="compliance-milestone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Compliance Milestones</w:t>
      </w:r>
    </w:p>
    <w:p>
      <w:pPr>
        <w:pStyle w:val="FirstParagraph"/>
      </w:pPr>
      <w:r>
        <w:t xml:space="preserve">The following milestones are required before a PII-processing system may go live</w:t>
      </w:r>
      <w:r>
        <w:t xml:space="preserve"> </w:t>
      </w:r>
      <w:r>
        <w:t xml:space="preserve">in the SSA GCC Moderate boundary: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501"/>
        <w:gridCol w:w="1667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Threshold Analysis (PTA)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whether system is a system of records; whether a PIA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system concept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Impact Assessment (PIA)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PIA if PTA indicates privacy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system design is finalized; updated before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 + SPO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SORN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all Privacy Act systems of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in Federal Register at least</w:t>
            </w:r>
            <w:r>
              <w:t xml:space="preserve"> </w:t>
            </w:r>
            <w:r>
              <w:rPr>
                <w:bCs/>
                <w:b/>
              </w:rPr>
              <w:t xml:space="preserve">30 days before</w:t>
            </w:r>
            <w:r>
              <w:t xml:space="preserve"> </w:t>
            </w:r>
            <w:r>
              <w:t xml:space="preserve">live PII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SAOP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PT-1 Privacy Program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by SAOP and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PT-2 Legal Authority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for all PII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 +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PT-3 Purpose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and Purview attributes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 + DevSecOps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PT-5 Privacy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at stable URL; URL recorded in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go-live; at least 30 days before live PII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team + SAOP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 Map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required scenarios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+ SPO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Annual Privacy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review of all PT artifacts; 3PAO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365 days of ATO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SAOP + 3PAO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Part 14 — PII Processing and Transparency</w:t>
      </w:r>
    </w:p>
    <w:p>
      <w:pPr>
        <w:pStyle w:val="BodyText"/>
      </w:pPr>
      <w:r>
        <w:rPr>
          <w:iCs/>
          <w:i/>
        </w:rPr>
        <w:t xml:space="preserve">Previous:</w:t>
      </w:r>
      <w:r>
        <w:rPr>
          <w:iCs/>
          <w:i/>
        </w:rPr>
        <w:t xml:space="preserve"> </w:t>
      </w:r>
      <w:hyperlink r:id="rId64">
        <w:r>
          <w:rPr>
            <w:rStyle w:val="Hyperlink"/>
            <w:iCs/>
            <w:i/>
          </w:rPr>
          <w:t xml:space="preserve">Part 13 — Program Management Governance</w:t>
        </w:r>
      </w:hyperlink>
    </w:p>
    <w:p>
      <w:pPr>
        <w:pStyle w:val="BodyText"/>
      </w:pPr>
      <w:r>
        <w:rPr>
          <w:iCs/>
          <w:i/>
        </w:rPr>
        <w:t xml:space="preserve">Series: Federal Application-Aware Networking for SSA GCC Moderate FedRAMP 20x</w:t>
      </w:r>
    </w:p>
    <w:bookmarkEnd w:id="65"/>
    <w:bookmarkEnd w:id="66"/>
    <w:sectPr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64" Target="Book_13_Federal_Application_Aware_Networking_Program_Management_Govern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Book_13_Federal_Application_Aware_Networking_Program_Management_Govern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14 — Federal Application-Aware Networking — Part 14</dc:title>
  <dc:creator>SSA Cloud Services Team</dc:creator>
  <cp:keywords/>
  <dcterms:created xsi:type="dcterms:W3CDTF">2026-07-04T15:18:55Z</dcterms:created>
  <dcterms:modified xsi:type="dcterms:W3CDTF">2026-07-04T15:18:55Z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3, 2026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PII Processing and Transparency: Privacy Program Templates for FedRAMP 20x GCC Moderate Authorization</vt:lpwstr>
  </property>
</Properties>
</file>