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25c54cb3cc7483a94492ed2c32810e66191b358"/>
    <w:p>
      <w:pPr>
        <w:pStyle w:val="Heading1"/>
      </w:pPr>
      <w:r>
        <w:t xml:space="preserve">Federal AAN / ConMon Compliance Gap Roadmap</w:t>
      </w:r>
    </w:p>
    <w:p>
      <w:pPr>
        <w:pStyle w:val="FirstParagraph"/>
      </w:pPr>
      <w:r>
        <w:rPr>
          <w:bCs/>
          <w:b/>
        </w:rPr>
        <w:t xml:space="preserve">As of July 1, 2026 — Internal UIAO Working Document</w:t>
      </w:r>
    </w:p>
    <w:p>
      <w:r>
        <w:pict>
          <v:rect style="width:0;height:1.5pt" o:hralign="center" o:hrstd="t" o:hr="t"/>
        </w:pict>
      </w:r>
    </w:p>
    <w:bookmarkStart w:id="20" w:name="executive-finding"/>
    <w:p>
      <w:pPr>
        <w:pStyle w:val="Heading2"/>
      </w:pPr>
      <w:r>
        <w:t xml:space="preserve">Executive Finding</w:t>
      </w:r>
    </w:p>
    <w:p>
      <w:pPr>
        <w:pStyle w:val="FirstParagraph"/>
      </w:pPr>
      <w:r>
        <w:t xml:space="preserve">The Federal Application-Aware Networking (AAN) series (Parts 1–6, and Parts 7–11</w:t>
      </w:r>
      <w:r>
        <w:t xml:space="preserve"> </w:t>
      </w:r>
      <w:r>
        <w:t xml:space="preserve">in production) provides the</w:t>
      </w:r>
      <w:r>
        <w:t xml:space="preserve"> </w:t>
      </w:r>
      <w:r>
        <w:rPr>
          <w:bCs/>
          <w:b/>
        </w:rPr>
        <w:t xml:space="preserve">evidence generation layer</w:t>
      </w:r>
      <w:r>
        <w:t xml:space="preserve"> </w:t>
      </w:r>
      <w:r>
        <w:t xml:space="preserve">for FedRAMP 20x</w:t>
      </w:r>
      <w:r>
        <w:t xml:space="preserve"> </w:t>
      </w:r>
      <w:r>
        <w:t xml:space="preserve">continuous monitoring. It does not close every required NIST SP 800-53 control</w:t>
      </w:r>
      <w:r>
        <w:t xml:space="preserve"> </w:t>
      </w:r>
      <w:r>
        <w:t xml:space="preserve">family. Three families are structurally absent:</w:t>
      </w:r>
      <w:r>
        <w:t xml:space="preserve"> </w:t>
      </w:r>
      <w:r>
        <w:rPr>
          <w:bCs/>
          <w:b/>
        </w:rPr>
        <w:t xml:space="preserve">PM</w:t>
      </w:r>
      <w:r>
        <w:t xml:space="preserve"> </w:t>
      </w:r>
      <w:r>
        <w:t xml:space="preserve">(Program Management),</w:t>
      </w:r>
      <w:r>
        <w:t xml:space="preserve"> </w:t>
      </w:r>
      <w:r>
        <w:rPr>
          <w:bCs/>
          <w:b/>
        </w:rPr>
        <w:t xml:space="preserve">PT</w:t>
      </w:r>
      <w:r>
        <w:t xml:space="preserve"> </w:t>
      </w:r>
      <w:r>
        <w:t xml:space="preserve">(Personally Identifiable Information Processing and Transparency), and</w:t>
      </w:r>
      <w:r>
        <w:t xml:space="preserve"> </w:t>
      </w:r>
      <w:r>
        <w:rPr>
          <w:bCs/>
          <w:b/>
        </w:rPr>
        <w:t xml:space="preserve">SR</w:t>
      </w:r>
      <w:r>
        <w:t xml:space="preserve"> </w:t>
      </w:r>
      <w:r>
        <w:t xml:space="preserve">(Supply Chain Risk Management). SR is the most urgent due to the</w:t>
      </w:r>
      <w:r>
        <w:t xml:space="preserve"> </w:t>
      </w:r>
      <w:r>
        <w:t xml:space="preserve">BOD 26-04 VDR/VER deadline of</w:t>
      </w:r>
      <w:r>
        <w:t xml:space="preserve"> </w:t>
      </w:r>
      <w:r>
        <w:rPr>
          <w:bCs/>
          <w:b/>
        </w:rPr>
        <w:t xml:space="preserve">December 7, 2026</w:t>
      </w:r>
      <w:r>
        <w:t xml:space="preserve">.</w:t>
      </w:r>
    </w:p>
    <w:p>
      <w:pPr>
        <w:pStyle w:val="BodyText"/>
      </w:pPr>
      <w:r>
        <w:t xml:space="preserve">The Conformance Adapter / OSCAL Emitter framework provides the</w:t>
      </w:r>
      <w:r>
        <w:t xml:space="preserve"> </w:t>
      </w:r>
      <w:r>
        <w:rPr>
          <w:bCs/>
          <w:b/>
        </w:rPr>
        <w:t xml:space="preserve">evidence governance layer</w:t>
      </w:r>
      <w:r>
        <w:t xml:space="preserve"> </w:t>
      </w:r>
      <w:r>
        <w:t xml:space="preserve">— tracking which evidence closes which control,</w:t>
      </w:r>
      <w:r>
        <w:t xml:space="preserve"> </w:t>
      </w:r>
      <w:r>
        <w:t xml:space="preserve">generating machine-readable KSI packages, and feeding the automated ConMon gate.</w:t>
      </w:r>
      <w:r>
        <w:t xml:space="preserve"> </w:t>
      </w:r>
      <w:r>
        <w:t xml:space="preserve">Without it, the AAN evidence exists but cannot be transmitted in the format</w:t>
      </w:r>
      <w:r>
        <w:t xml:space="preserve"> </w:t>
      </w:r>
      <w:r>
        <w:t xml:space="preserve">FedRAMP 20x evaluators ingest.</w:t>
      </w:r>
    </w:p>
    <w:p>
      <w:r>
        <w:pict>
          <v:rect style="width:0;height:1.5pt" o:hralign="center" o:hrstd="t" o:hr="t"/>
        </w:pict>
      </w:r>
    </w:p>
    <w:bookmarkEnd w:id="20"/>
    <w:bookmarkStart w:id="21" w:name="hard-deadlines"/>
    <w:p>
      <w:pPr>
        <w:pStyle w:val="Heading2"/>
      </w:pPr>
      <w:r>
        <w:t xml:space="preserve">Hard Deadlines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2880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Aug 3,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20x Class A opens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submission window for new authorizations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Aug 31,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B + C opens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Moderate systems can begin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 7,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 26-04 VDR/VER 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+ vendor disclosure required; KSI-011–014 become evaluable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Jan 1,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20x mandatory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new authorizations must use 20x; legacy Rev 5 path closes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Jun 11,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Rev 5 certs cease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new legacy authorizations after this date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aan-series-control-closure-parts-111"/>
    <w:p>
      <w:pPr>
        <w:pStyle w:val="Heading2"/>
      </w:pPr>
      <w:r>
        <w:t xml:space="preserve">AAN Series Control Closure (Parts 1–11)</w:t>
      </w:r>
    </w:p>
    <w:bookmarkStart w:id="22" w:name="parts-16-production-34-controls"/>
    <w:p>
      <w:pPr>
        <w:pStyle w:val="Heading3"/>
      </w:pPr>
      <w:r>
        <w:t xml:space="preserve">Parts 1–6 (Production, 34 Controls)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848"/>
        <w:gridCol w:w="44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DDI (IPAM/DNS/DHCP/PKI)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SD-WAN, SASE, UC (Teams Phone, Amazon Connect)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ID, ZTNA, Active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 Authentication Modernization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(depth on IA family)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 Implementation Runbook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(procedural evidence)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Architecture / Network Physics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(depth on SC/SI families)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34 distinct controls</w:t>
            </w:r>
          </w:p>
        </w:tc>
      </w:tr>
    </w:tbl>
    <w:bookmarkEnd w:id="22"/>
    <w:bookmarkStart w:id="23" w:name="X8f1bd56bdbd94121e35cbb984916d6900e02342"/>
    <w:p>
      <w:pPr>
        <w:pStyle w:val="Heading3"/>
      </w:pPr>
      <w:r>
        <w:t xml:space="preserve">Parts 7–11 (In Production, ~55 Additional Controls)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848"/>
        <w:gridCol w:w="44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(Entra PIM + PAW)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AC-5, AC-6(×7), AC-11/12, IA-11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Vulnerability Management (Defender VM + KEV)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RA-5(×3), SI-2(×2), SI-5, CM-7(×2)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Protection (Purview + Key Vault CMK)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MP-2–5, SC-12/13/17/28, AU-10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XDR / Detection Engineering (Sentinel)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AU-6(×3), AU-7/8/11, SI-4(×4), IR-4/6/8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Continuity / Contingency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CP-2(×3), CP-3/4(×2), CP-6/7(×3), CP-8(×2)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9825393d2f07b2c6383b61b13d27f5d82a8304f"/>
    <w:p>
      <w:pPr>
        <w:pStyle w:val="Heading2"/>
      </w:pPr>
      <w:r>
        <w:t xml:space="preserve">Identified Gaps — Control Families Not Yet Covered</w:t>
      </w:r>
    </w:p>
    <w:bookmarkStart w:id="25" w:name="Xb95602976db97f50c9b0bbcedb8c383d3267ace"/>
    <w:p>
      <w:pPr>
        <w:pStyle w:val="Heading3"/>
      </w:pPr>
      <w:r>
        <w:t xml:space="preserve">Priority 1: SR — Supply Chain Risk Management (BOD 26-04 Gate)</w:t>
      </w:r>
    </w:p>
    <w:p>
      <w:pPr>
        <w:pStyle w:val="FirstParagraph"/>
      </w:pPr>
      <w:r>
        <w:t xml:space="preserve">The BOD 26-04 VDR/VER requirement activates on</w:t>
      </w:r>
      <w:r>
        <w:t xml:space="preserve"> </w:t>
      </w:r>
      <w:r>
        <w:rPr>
          <w:bCs/>
          <w:b/>
        </w:rPr>
        <w:t xml:space="preserve">December 7, 2026</w:t>
      </w:r>
      <w:r>
        <w:t xml:space="preserve">.</w:t>
      </w:r>
      <w:r>
        <w:t xml:space="preserve"> </w:t>
      </w:r>
      <w:r>
        <w:t xml:space="preserve">KSI-011 through KSI-014 are currently</w:t>
      </w:r>
      <w:r>
        <w:t xml:space="preserve"> </w:t>
      </w:r>
      <w:r>
        <w:rPr>
          <w:rStyle w:val="VerbatimChar"/>
        </w:rPr>
        <w:t xml:space="preserve">Status: scaffold</w:t>
      </w:r>
      <w:r>
        <w:t xml:space="preserve"> </w:t>
      </w:r>
      <w:r>
        <w:t xml:space="preserve">— non-evaluable</w:t>
      </w:r>
      <w:r>
        <w:t xml:space="preserve"> </w:t>
      </w:r>
      <w:r>
        <w:t xml:space="preserve">because the required SBOM + vendor disclosure evidence contract does not yet</w:t>
      </w:r>
      <w:r>
        <w:t xml:space="preserve"> </w:t>
      </w:r>
      <w:r>
        <w:t xml:space="preserve">exist. These controls cannot be closed by network architecture documents alone;</w:t>
      </w:r>
      <w:r>
        <w:t xml:space="preserve"> </w:t>
      </w:r>
      <w:r>
        <w:t xml:space="preserve">they require an SBOM generation pipeline and a VDR/VER submission process.</w:t>
      </w:r>
    </w:p>
    <w:p>
      <w:pPr>
        <w:pStyle w:val="BodyText"/>
      </w:pPr>
      <w:r>
        <w:rPr>
          <w:bCs/>
          <w:b/>
        </w:rPr>
        <w:t xml:space="preserve">Gap controls:</w:t>
      </w:r>
      <w:r>
        <w:t xml:space="preserve"> </w:t>
      </w:r>
      <w:r>
        <w:t xml:space="preserve">SR-1, SR-2, SR-3, SR-5, SR-6, SR-8, SR-10, SR-11</w:t>
      </w:r>
    </w:p>
    <w:p>
      <w:pPr>
        <w:pStyle w:val="BodyText"/>
      </w:pPr>
      <w:r>
        <w:rPr>
          <w:bCs/>
          <w:b/>
        </w:rPr>
        <w:t xml:space="preserve">Recommended approach:</w:t>
      </w:r>
      <w:r>
        <w:t xml:space="preserve"> </w:t>
      </w:r>
      <w:r>
        <w:t xml:space="preserve">- Part 12: Supply Chain Risk Management — SBOM generation (Syft/Trivy),</w:t>
      </w:r>
      <w:r>
        <w:t xml:space="preserve"> </w:t>
      </w:r>
      <w:r>
        <w:t xml:space="preserve">VDR format (CycloneDX or SPDX), VER submission process, vendor disclosure</w:t>
      </w:r>
      <w:r>
        <w:t xml:space="preserve"> </w:t>
      </w:r>
      <w:r>
        <w:t xml:space="preserve">matrix. Must produce machine-readable artifacts the Conformance Adapter can</w:t>
      </w:r>
      <w:r>
        <w:t xml:space="preserve"> </w:t>
      </w:r>
      <w:r>
        <w:t xml:space="preserve">reference before December 7, 2026.</w:t>
      </w:r>
    </w:p>
    <w:bookmarkEnd w:id="25"/>
    <w:bookmarkStart w:id="26" w:name="priority-2-pm-program-management"/>
    <w:p>
      <w:pPr>
        <w:pStyle w:val="Heading3"/>
      </w:pPr>
      <w:r>
        <w:t xml:space="preserve">Priority 2: PM — Program Management</w:t>
      </w:r>
    </w:p>
    <w:p>
      <w:pPr>
        <w:pStyle w:val="FirstParagraph"/>
      </w:pPr>
      <w:r>
        <w:t xml:space="preserve">PM controls require organizational artifacts (security program plan, POA&amp;M</w:t>
      </w:r>
      <w:r>
        <w:t xml:space="preserve"> </w:t>
      </w:r>
      <w:r>
        <w:t xml:space="preserve">process, authorization boundary documentation, metrics reporting). These are</w:t>
      </w:r>
      <w:r>
        <w:t xml:space="preserve"> </w:t>
      </w:r>
      <w:r>
        <w:t xml:space="preserve">governance documents, not technical implementations. They are a pre-condition</w:t>
      </w:r>
      <w:r>
        <w:t xml:space="preserve"> </w:t>
      </w:r>
      <w:r>
        <w:t xml:space="preserve">for the Authorization Package.</w:t>
      </w:r>
    </w:p>
    <w:p>
      <w:pPr>
        <w:pStyle w:val="BodyText"/>
      </w:pPr>
      <w:r>
        <w:rPr>
          <w:bCs/>
          <w:b/>
        </w:rPr>
        <w:t xml:space="preserve">Gap controls:</w:t>
      </w:r>
      <w:r>
        <w:t xml:space="preserve"> </w:t>
      </w:r>
      <w:r>
        <w:t xml:space="preserve">PM-1, PM-2, PM-5, PM-7, PM-9, PM-11, PM-14, PM-15, PM-30</w:t>
      </w:r>
    </w:p>
    <w:p>
      <w:pPr>
        <w:pStyle w:val="BodyText"/>
      </w:pPr>
      <w:r>
        <w:rPr>
          <w:bCs/>
          <w:b/>
        </w:rPr>
        <w:t xml:space="preserve">Recommended approach:</w:t>
      </w:r>
      <w:r>
        <w:t xml:space="preserve"> </w:t>
      </w:r>
      <w:r>
        <w:t xml:space="preserve">- Part 13: Program Management Artifacts — boundary document template, security</w:t>
      </w:r>
      <w:r>
        <w:t xml:space="preserve"> </w:t>
      </w:r>
      <w:r>
        <w:t xml:space="preserve">program plan outline, POA&amp;M tracker template, metrics dashboard structure.</w:t>
      </w:r>
      <w:r>
        <w:t xml:space="preserve"> </w:t>
      </w:r>
      <w:r>
        <w:t xml:space="preserve">Format as fillable DOCX templates since these are org-specific.</w:t>
      </w:r>
    </w:p>
    <w:bookmarkEnd w:id="26"/>
    <w:bookmarkStart w:id="27" w:name="Xd6fdadf46f1769f8d12c55b555a8202336eb209"/>
    <w:p>
      <w:pPr>
        <w:pStyle w:val="Heading3"/>
      </w:pPr>
      <w:r>
        <w:t xml:space="preserve">Priority 3: PT — PII Processing and Transparency</w:t>
      </w:r>
    </w:p>
    <w:p>
      <w:pPr>
        <w:pStyle w:val="FirstParagraph"/>
      </w:pPr>
      <w:r>
        <w:t xml:space="preserve">PT controls are required for any system that processes PII. In the federal</w:t>
      </w:r>
      <w:r>
        <w:t xml:space="preserve"> </w:t>
      </w:r>
      <w:r>
        <w:t xml:space="preserve">GCC Moderate context this includes citizen-facing portals (N8NN, contact center)</w:t>
      </w:r>
      <w:r>
        <w:t xml:space="preserve"> </w:t>
      </w:r>
      <w:r>
        <w:t xml:space="preserve">and any HR/workforce system.</w:t>
      </w:r>
    </w:p>
    <w:p>
      <w:pPr>
        <w:pStyle w:val="BodyText"/>
      </w:pPr>
      <w:r>
        <w:rPr>
          <w:bCs/>
          <w:b/>
        </w:rPr>
        <w:t xml:space="preserve">Gap controls:</w:t>
      </w:r>
      <w:r>
        <w:t xml:space="preserve"> </w:t>
      </w:r>
      <w:r>
        <w:t xml:space="preserve">PT-1, PT-2, PT-3, PT-4, PT-5, PT-7</w:t>
      </w:r>
    </w:p>
    <w:p>
      <w:pPr>
        <w:pStyle w:val="BodyText"/>
      </w:pPr>
      <w:r>
        <w:rPr>
          <w:bCs/>
          <w:b/>
        </w:rPr>
        <w:t xml:space="preserve">Recommended approach:</w:t>
      </w:r>
      <w:r>
        <w:t xml:space="preserve"> </w:t>
      </w:r>
      <w:r>
        <w:t xml:space="preserve">- Part 14: PII Processing and Transparency — privacy threshold analysis template,</w:t>
      </w:r>
      <w:r>
        <w:t xml:space="preserve"> </w:t>
      </w:r>
      <w:r>
        <w:t xml:space="preserve">consent notice patterns, PII data flow mapping integrated with Purview</w:t>
      </w:r>
      <w:r>
        <w:t xml:space="preserve"> </w:t>
      </w:r>
      <w:r>
        <w:t xml:space="preserve">sensitivity labels from Part 9.</w:t>
      </w:r>
    </w:p>
    <w:bookmarkEnd w:id="27"/>
    <w:bookmarkStart w:id="28" w:name="X00a58e558a7be9374abc006f73ace9a41b87bbc"/>
    <w:p>
      <w:pPr>
        <w:pStyle w:val="Heading3"/>
      </w:pPr>
      <w:r>
        <w:t xml:space="preserve">Priority 4: CR26 Breadth Gaps (FedRAMP 20x KSI Rules)</w:t>
      </w:r>
    </w:p>
    <w:p>
      <w:pPr>
        <w:pStyle w:val="FirstParagraph"/>
      </w:pPr>
      <w:r>
        <w:t xml:space="preserve">CR26 currently has rules for 21 of 46 controls (46%). Five themes have zero</w:t>
      </w:r>
      <w:r>
        <w:t xml:space="preserve"> </w:t>
      </w:r>
      <w:r>
        <w:t xml:space="preserve">rules: CED, INR, RPL, SCR, PIY. These map to the same PM/PT/SR gap areas.</w:t>
      </w:r>
    </w:p>
    <w:p>
      <w:pPr>
        <w:pStyle w:val="BodyText"/>
      </w:pPr>
      <w:r>
        <w:rPr>
          <w:bCs/>
          <w:b/>
        </w:rPr>
        <w:t xml:space="preserve">Recommended approach:</w:t>
      </w:r>
      <w:r>
        <w:t xml:space="preserve"> </w:t>
      </w:r>
      <w:r>
        <w:t xml:space="preserve">- CR26 rules for CED/INR/RPL/SCR/PIY should be drafted as ADR-0xx (placeholder)</w:t>
      </w:r>
      <w:r>
        <w:t xml:space="preserve"> </w:t>
      </w:r>
      <w:r>
        <w:t xml:space="preserve">after SR and PM artifacts are completed, so the rules reference real evidence.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nformance-adapter-oscal-emitter-gap"/>
    <w:p>
      <w:pPr>
        <w:pStyle w:val="Heading2"/>
      </w:pPr>
      <w:r>
        <w:t xml:space="preserve">Conformance Adapter / OSCAL Emitter Gap</w:t>
      </w:r>
    </w:p>
    <w:p>
      <w:pPr>
        <w:pStyle w:val="FirstParagraph"/>
      </w:pPr>
      <w:r>
        <w:t xml:space="preserve">The AAN series generates evidence. The Conformance Adapter framework is the</w:t>
      </w:r>
      <w:r>
        <w:t xml:space="preserve"> </w:t>
      </w:r>
      <w:r>
        <w:t xml:space="preserve">governance layer that maps evidence → control → KSI and produces the OSCAL</w:t>
      </w:r>
      <w:r>
        <w:t xml:space="preserve"> </w:t>
      </w:r>
      <w:r>
        <w:t xml:space="preserve">AP/AR/POAM artifact bundle FedRAMP 20x evaluators ingest.</w:t>
      </w:r>
    </w:p>
    <w:p>
      <w:pPr>
        <w:pStyle w:val="BodyText"/>
      </w:pPr>
      <w:r>
        <w:rPr>
          <w:bCs/>
          <w:b/>
        </w:rPr>
        <w:t xml:space="preserve">Current state:</w:t>
      </w:r>
      <w:r>
        <w:t xml:space="preserve"> </w:t>
      </w:r>
      <w:r>
        <w:t xml:space="preserve">- Conformance Adapter: schema defined, 4 of 6 surface slots in progress</w:t>
      </w:r>
      <w:r>
        <w:t xml:space="preserve"> </w:t>
      </w:r>
      <w:r>
        <w:t xml:space="preserve">- OSCAL Emitter:</w:t>
      </w:r>
      <w:r>
        <w:t xml:space="preserve"> </w:t>
      </w:r>
      <w:r>
        <w:rPr>
          <w:rStyle w:val="VerbatimChar"/>
        </w:rPr>
        <w:t xml:space="preserve">Status: scaffold</w:t>
      </w:r>
      <w:r>
        <w:t xml:space="preserve"> </w:t>
      </w:r>
      <w:r>
        <w:t xml:space="preserve">— produces partial AP, no AR or POAM yet</w:t>
      </w:r>
      <w:r>
        <w:t xml:space="preserve"> </w:t>
      </w:r>
      <w:r>
        <w:t xml:space="preserve">- Evidence-to-KSI mapping table: partially authored in</w:t>
      </w:r>
      <w:r>
        <w:t xml:space="preserve"> </w:t>
      </w:r>
      <w:r>
        <w:rPr>
          <w:rStyle w:val="VerbatimChar"/>
        </w:rPr>
        <w:t xml:space="preserve">KSI-*.qmd</w:t>
      </w:r>
      <w:r>
        <w:t xml:space="preserve"> </w:t>
      </w:r>
      <w:r>
        <w:t xml:space="preserve">files</w:t>
      </w:r>
    </w:p>
    <w:p>
      <w:pPr>
        <w:pStyle w:val="BodyText"/>
      </w:pPr>
      <w:r>
        <w:rPr>
          <w:bCs/>
          <w:b/>
        </w:rPr>
        <w:t xml:space="preserve">Blockers before OSCAL output is evaluable:</w:t>
      </w:r>
      <w:r>
        <w:t xml:space="preserve"> </w:t>
      </w:r>
      <w:r>
        <w:t xml:space="preserve">1. All 6 surface slots must have at least one bound rule per KSI they contribute to</w:t>
      </w:r>
      <w:r>
        <w:t xml:space="preserve"> </w:t>
      </w:r>
      <w:r>
        <w:t xml:space="preserve">2. KSI-011–014 require SR artifacts (VDR/VER) before they can have bound rules</w:t>
      </w:r>
      <w:r>
        <w:t xml:space="preserve"> </w:t>
      </w:r>
      <w:r>
        <w:t xml:space="preserve">3. The OSCAL Emitter must be extended to produce AR (Assessment Results) with</w:t>
      </w:r>
      <w:r>
        <w:t xml:space="preserve"> </w:t>
      </w:r>
      <w:r>
        <w:rPr>
          <w:rStyle w:val="VerbatimChar"/>
        </w:rPr>
        <w:t xml:space="preserve">satisfied</w:t>
      </w:r>
      <w:r>
        <w:t xml:space="preserve">/</w:t>
      </w:r>
      <w:r>
        <w:rPr>
          <w:rStyle w:val="VerbatimChar"/>
        </w:rPr>
        <w:t xml:space="preserve">not-satisfied</w:t>
      </w:r>
      <w:r>
        <w:t xml:space="preserve"> </w:t>
      </w:r>
      <w:r>
        <w:t xml:space="preserve">status per KSI, not just AP (Plan)</w:t>
      </w:r>
    </w:p>
    <w:p>
      <w:r>
        <w:pict>
          <v:rect style="width:0;height:1.5pt" o:hralign="center" o:hrstd="t" o:hr="t"/>
        </w:pict>
      </w:r>
    </w:p>
    <w:bookmarkEnd w:id="30"/>
    <w:bookmarkStart w:id="36" w:name="sequenced-implementation-plan"/>
    <w:p>
      <w:pPr>
        <w:pStyle w:val="Heading2"/>
      </w:pPr>
      <w:r>
        <w:t xml:space="preserve">Sequenced Implementation Plan</w:t>
      </w:r>
    </w:p>
    <w:bookmarkStart w:id="31" w:name="phase-0-immediate-july-2026"/>
    <w:p>
      <w:pPr>
        <w:pStyle w:val="Heading3"/>
      </w:pPr>
      <w:r>
        <w:t xml:space="preserve">Phase 0 — Immediate (July 2026)</w:t>
      </w:r>
    </w:p>
    <w:p>
      <w:pPr>
        <w:numPr>
          <w:ilvl w:val="0"/>
          <w:numId w:val="1001"/>
        </w:numPr>
        <w:pStyle w:val="Compact"/>
      </w:pPr>
      <w:r>
        <w:t xml:space="preserve">☒ Parts 1–6 delivered (34 controls)</w:t>
      </w:r>
    </w:p>
    <w:p>
      <w:pPr>
        <w:numPr>
          <w:ilvl w:val="0"/>
          <w:numId w:val="1001"/>
        </w:numPr>
        <w:pStyle w:val="Compact"/>
      </w:pPr>
      <w:r>
        <w:t xml:space="preserve">☐ Parts 7–11 delivered (est. July 2026, ~55 controls)</w:t>
      </w:r>
    </w:p>
    <w:p>
      <w:pPr>
        <w:numPr>
          <w:ilvl w:val="0"/>
          <w:numId w:val="1001"/>
        </w:numPr>
        <w:pStyle w:val="Compact"/>
      </w:pPr>
      <w:r>
        <w:t xml:space="preserve">☐ Conformance Adapter surface slots 1–4 bound to AAN evidence</w:t>
      </w:r>
    </w:p>
    <w:bookmarkEnd w:id="31"/>
    <w:bookmarkStart w:id="32" w:name="phase-1-august-2026-class-a-bc-opens"/>
    <w:p>
      <w:pPr>
        <w:pStyle w:val="Heading3"/>
      </w:pPr>
      <w:r>
        <w:t xml:space="preserve">Phase 1 — August 2026 (Class A / B+C opens)</w:t>
      </w:r>
    </w:p>
    <w:p>
      <w:pPr>
        <w:numPr>
          <w:ilvl w:val="0"/>
          <w:numId w:val="1002"/>
        </w:numPr>
        <w:pStyle w:val="Compact"/>
      </w:pPr>
      <w:r>
        <w:t xml:space="preserve">☐ Part 12: SR / SBOM / VDR framework</w:t>
      </w:r>
    </w:p>
    <w:p>
      <w:pPr>
        <w:numPr>
          <w:ilvl w:val="0"/>
          <w:numId w:val="1002"/>
        </w:numPr>
        <w:pStyle w:val="Compact"/>
      </w:pPr>
      <w:r>
        <w:t xml:space="preserve">☐ Conformance Adapter SR slot bound to Part 12 artifacts</w:t>
      </w:r>
    </w:p>
    <w:p>
      <w:pPr>
        <w:numPr>
          <w:ilvl w:val="0"/>
          <w:numId w:val="1002"/>
        </w:numPr>
        <w:pStyle w:val="Compact"/>
      </w:pPr>
      <w:r>
        <w:t xml:space="preserve">☐ KSI-011–014 status upgraded from scaffold to active</w:t>
      </w:r>
    </w:p>
    <w:bookmarkEnd w:id="32"/>
    <w:bookmarkStart w:id="33" w:name="phase-2-septemberoctober-2026"/>
    <w:p>
      <w:pPr>
        <w:pStyle w:val="Heading3"/>
      </w:pPr>
      <w:r>
        <w:t xml:space="preserve">Phase 2 — September–October 2026</w:t>
      </w:r>
    </w:p>
    <w:p>
      <w:pPr>
        <w:numPr>
          <w:ilvl w:val="0"/>
          <w:numId w:val="1003"/>
        </w:numPr>
        <w:pStyle w:val="Compact"/>
      </w:pPr>
      <w:r>
        <w:t xml:space="preserve">☐ OSCAL Emitter extended to produce AR with KSI verdicts</w:t>
      </w:r>
    </w:p>
    <w:p>
      <w:pPr>
        <w:numPr>
          <w:ilvl w:val="0"/>
          <w:numId w:val="1003"/>
        </w:numPr>
        <w:pStyle w:val="Compact"/>
      </w:pPr>
      <w:r>
        <w:t xml:space="preserve">☐ Part 13: PM governance artifact templates</w:t>
      </w:r>
    </w:p>
    <w:p>
      <w:pPr>
        <w:numPr>
          <w:ilvl w:val="0"/>
          <w:numId w:val="1003"/>
        </w:numPr>
        <w:pStyle w:val="Compact"/>
      </w:pPr>
      <w:r>
        <w:t xml:space="preserve">☐ CR26 rules for SR/PM families</w:t>
      </w:r>
    </w:p>
    <w:bookmarkEnd w:id="33"/>
    <w:bookmarkStart w:id="34" w:name="phase-3-november-2026-bod-26-04-runway"/>
    <w:p>
      <w:pPr>
        <w:pStyle w:val="Heading3"/>
      </w:pPr>
      <w:r>
        <w:t xml:space="preserve">Phase 3 — November 2026 (BOD 26-04 runway)</w:t>
      </w:r>
    </w:p>
    <w:p>
      <w:pPr>
        <w:numPr>
          <w:ilvl w:val="0"/>
          <w:numId w:val="1004"/>
        </w:numPr>
        <w:pStyle w:val="Compact"/>
      </w:pPr>
      <w:r>
        <w:t xml:space="preserve">☐ Part 14: PT / PII processing templates</w:t>
      </w:r>
    </w:p>
    <w:p>
      <w:pPr>
        <w:numPr>
          <w:ilvl w:val="0"/>
          <w:numId w:val="1004"/>
        </w:numPr>
        <w:pStyle w:val="Compact"/>
      </w:pPr>
      <w:r>
        <w:t xml:space="preserve">☐ First complete OSCAL AP+AR+POAM bundle generated</w:t>
      </w:r>
    </w:p>
    <w:p>
      <w:pPr>
        <w:numPr>
          <w:ilvl w:val="0"/>
          <w:numId w:val="1004"/>
        </w:numPr>
        <w:pStyle w:val="Compact"/>
      </w:pPr>
      <w:r>
        <w:t xml:space="preserve">☐ Pre-submission package review against FedRAMP 20x KSI checklist</w:t>
      </w:r>
    </w:p>
    <w:bookmarkEnd w:id="34"/>
    <w:bookmarkStart w:id="35" w:name="phase-4-december-2026-pre-mandatory"/>
    <w:p>
      <w:pPr>
        <w:pStyle w:val="Heading3"/>
      </w:pPr>
      <w:r>
        <w:t xml:space="preserve">Phase 4 — December 2026 (pre-mandatory)</w:t>
      </w:r>
    </w:p>
    <w:p>
      <w:pPr>
        <w:numPr>
          <w:ilvl w:val="0"/>
          <w:numId w:val="1005"/>
        </w:numPr>
        <w:pStyle w:val="Compact"/>
      </w:pPr>
      <w:r>
        <w:t xml:space="preserve">☐ BOD 26-04 VDR/VER submission (Dec 7)</w:t>
      </w:r>
    </w:p>
    <w:p>
      <w:pPr>
        <w:numPr>
          <w:ilvl w:val="0"/>
          <w:numId w:val="1005"/>
        </w:numPr>
        <w:pStyle w:val="Compact"/>
      </w:pPr>
      <w:r>
        <w:t xml:space="preserve">☐ Authorization package submitted (Class B+C window)</w:t>
      </w:r>
    </w:p>
    <w:p>
      <w:pPr>
        <w:numPr>
          <w:ilvl w:val="0"/>
          <w:numId w:val="1005"/>
        </w:numPr>
        <w:pStyle w:val="Compact"/>
      </w:pPr>
      <w:r>
        <w:t xml:space="preserve">☐ CR26 breadth gaps (CED/INR/RPL/SCR/PIY) filled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technology-recommendations-by-gap"/>
    <w:p>
      <w:pPr>
        <w:pStyle w:val="Heading2"/>
      </w:pPr>
      <w:r>
        <w:t xml:space="preserve">Technology Recommendations by Gap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00"/>
        <w:gridCol w:w="6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Technology /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Syft (Anchore) or Trivy — integrated into CI/CD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VDR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CycloneDX 1.6 (XML or JSON) — CISA-preferred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CISA VEX Portal or email per BOD 26-04 guidance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AP/AR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trestle</w:t>
            </w:r>
            <w:r>
              <w:t xml:space="preserve"> </w:t>
            </w:r>
            <w:r>
              <w:t xml:space="preserve">(IBM) or custom Python emitter against OSCAL 1.1 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PII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Purview Data Map + sensitivity label lineage (extends Part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workbook for AU/CA/PM KPI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an internal UIAO working artifact. It does not constitute an</w:t>
      </w:r>
      <w:r>
        <w:rPr>
          <w:iCs/>
          <w:i/>
        </w:rPr>
        <w:t xml:space="preserve"> </w:t>
      </w:r>
      <w:r>
        <w:rPr>
          <w:iCs/>
          <w:i/>
        </w:rPr>
        <w:t xml:space="preserve">authorization package or official assessment. All control closure claims are</w:t>
      </w:r>
      <w:r>
        <w:rPr>
          <w:iCs/>
          <w:i/>
        </w:rPr>
        <w:t xml:space="preserve"> </w:t>
      </w:r>
      <w:r>
        <w:rPr>
          <w:iCs/>
          <w:i/>
        </w:rPr>
        <w:t xml:space="preserve">advisory pending formal ATO review.</w:t>
      </w:r>
    </w:p>
    <w:bookmarkEnd w:id="37"/>
    <w:bookmarkEnd w:id="38"/>
    <w:sectPr w:rsidR="00826EF2">
      <w:footnotePr>
        <w:numRestart w:val="eachSect"/>
      </w:footnotePr>
      <w:pgSz w:h="15840" w:w="12240"/>
      <w:pgMar w:top="720" w:right="720" w:bottom="720" w:left="72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49E8A8B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013CA894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6F1E64B2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29076193" w:numId="1">
    <w:abstractNumId w:val="0"/>
  </w:num>
  <w:num w16cid:durableId="418984667"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080908453"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262181477" w:numId="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80"/>
  <w:embedSystemFonts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styleId="TOC2" w:type="paragraph">
    <w:name w:val="toc 2"/>
    <w:basedOn w:val="Normal"/>
    <w:next w:val="Normal"/>
    <w:autoRedefine/>
    <w:uiPriority w:val="39"/>
    <w:rsid w:val="00B26937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rsid w:val="00B2693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7149</Words>
  <Characters>40755</Characters>
  <Application>Microsoft Office Word</Application>
  <DocSecurity>0</DocSecurity>
  <Lines>339</Lines>
  <Paragraphs>95</Paragraphs>
  <ScaleCrop>false</ScaleCrop>
  <Company/>
  <LinksUpToDate>false</LinksUpToDate>
  <CharactersWithSpaces>47809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2026-07-03T09:13:51Z</dcterms:created>
  <dcterms:modified xsi:type="dcterms:W3CDTF">2026-07-03T09:13:51Z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