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43"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Start w:id="20" w:name="architectural-overview"/>
    <w:p>
      <w:pPr>
        <w:pStyle w:val="Heading2"/>
      </w:pPr>
      <w:r>
        <w:t xml:space="preserve">1. 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pPr>
        <w:pStyle w:val="BodyText"/>
      </w:pPr>
      <w:r>
        <w:t xml:space="preserve">The Unified Identity-Addressing-Overlay (UIAO) architecture integrates four control planes into a single cohesive framework. Each plane governs a distinct operational domain while sharing telemetry, policy signals, and configuration data with the others through well-defined integration points.</w:t>
      </w:r>
    </w:p>
    <w:p>
      <w:r>
        <w:pict>
          <v:rect style="width:0;height:1.5pt" o:hralign="center" o:hrstd="t" o:hr="t"/>
        </w:pict>
      </w:r>
    </w:p>
    <w:bookmarkEnd w:id="20"/>
    <w:bookmarkStart w:id="21" w:name="four-plane-architecture-diagram"/>
    <w:p>
      <w:pPr>
        <w:pStyle w:val="Heading2"/>
      </w:pPr>
      <w:r>
        <w:t xml:space="preserve">2. Four-Plane Architecture Diagram</w:t>
      </w:r>
    </w:p>
    <w:p>
      <w:pPr>
        <w:pStyle w:val="FirstParagraph"/>
      </w:pPr>
      <w:r>
        <w:t xml:space="preserve">The following diagram illustrates the complete UIAO architecture, showing how the Identity, Addressing, Overlay, and Telemetry control planes interconnect through the central Policy Engine.</w:t>
      </w:r>
    </w:p>
    <w:p>
      <w:pPr>
        <w:pStyle w:val="BodyText"/>
      </w:pPr>
    </w:p>
    <w:p>
      <w:r>
        <w:pict>
          <v:rect style="width:0;height:1.5pt" o:hralign="center" o:hrstd="t" o:hr="t"/>
        </w:pict>
      </w:r>
    </w:p>
    <w:bookmarkEnd w:id="21"/>
    <w:bookmarkStart w:id="27" w:name="the-control-planes"/>
    <w:p>
      <w:pPr>
        <w:pStyle w:val="Heading2"/>
      </w:pPr>
      <w:r>
        <w:t xml:space="preserve">3. The Control Planes</w:t>
      </w:r>
    </w:p>
    <w:bookmarkStart w:id="22" w:name="identity-control-plane"/>
    <w:p>
      <w:pPr>
        <w:pStyle w:val="Heading3"/>
      </w:pPr>
      <w:r>
        <w:t xml:space="preserve">3.1.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3.2.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3.4.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3.5.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28" w:name="multi-plane-integration"/>
    <w:p>
      <w:pPr>
        <w:pStyle w:val="Heading2"/>
      </w:pPr>
      <w:r>
        <w:t xml:space="preserve">4. Multi-Plane Integration</w:t>
      </w:r>
    </w:p>
    <w:p>
      <w:pPr>
        <w:pStyle w:val="FirstParagraph"/>
      </w:pPr>
      <w:r>
        <w:t xml:space="preserve">The UIAO architecture achieves its power through deep integration between control planes. The telemetry plane provides closed-loop feedback to all other planes, enabling real-time policy adjustment and continuous compliance validation.</w:t>
      </w:r>
    </w:p>
    <w:p>
      <w:pPr>
        <w:pStyle w:val="BodyText"/>
      </w:pPr>
    </w:p>
    <w:p>
      <w:r>
        <w:pict>
          <v:rect style="width:0;height:1.5pt" o:hralign="center" o:hrstd="t" o:hr="t"/>
        </w:pict>
      </w:r>
    </w:p>
    <w:bookmarkEnd w:id="28"/>
    <w:bookmarkStart w:id="29" w:name="core-stack-integration"/>
    <w:p>
      <w:pPr>
        <w:pStyle w:val="Heading2"/>
      </w:pPr>
      <w:r>
        <w:t xml:space="preserve">5. Core Stack Integration</w:t>
      </w:r>
    </w:p>
    <w:p>
      <w:pPr>
        <w:pStyle w:val="FirstParagraph"/>
      </w:pPr>
      <w:r>
        <w:t xml:space="preserve">The following diagram illustrates how the three pillars of the UIAO framework interconnect. Each node is derived from the program data layer.</w:t>
      </w:r>
    </w:p>
    <w:p>
      <w:pPr>
        <w:pStyle w:val="BodyText"/>
      </w:pPr>
    </w:p>
    <w:p>
      <w:r>
        <w:pict>
          <v:rect style="width:0;height:1.5pt" o:hralign="center" o:hrstd="t" o:hr="t"/>
        </w:pict>
      </w:r>
    </w:p>
    <w:bookmarkEnd w:id="29"/>
    <w:bookmarkStart w:id="30" w:name="legacy-vs.-modernized-state"/>
    <w:p>
      <w:pPr>
        <w:pStyle w:val="Heading2"/>
      </w:pPr>
      <w:r>
        <w:t xml:space="preserve">6. Legacy vs. Modernized State</w:t>
      </w:r>
    </w:p>
    <w:p>
      <w:pPr>
        <w:pStyle w:val="FirstParagraph"/>
      </w:pPr>
      <w:r>
        <w:t xml:space="preserve">The following diagram compares the fragmented legacy state with the unified modernized architecture that UIAO delivers.</w:t>
      </w:r>
    </w:p>
    <w:p>
      <w:pPr>
        <w:pStyle w:val="BodyText"/>
      </w:pPr>
    </w:p>
    <w:p>
      <w:r>
        <w:pict>
          <v:rect style="width:0;height:1.5pt" o:hralign="center" o:hrstd="t" o:hr="t"/>
        </w:pict>
      </w:r>
    </w:p>
    <w:bookmarkEnd w:id="30"/>
    <w:bookmarkStart w:id="31" w:name="mission-to-technology-mapping"/>
    <w:p>
      <w:pPr>
        <w:pStyle w:val="Heading2"/>
      </w:pPr>
      <w:r>
        <w:t xml:space="preserve">7. Mission-to-Technology Mapping</w:t>
      </w:r>
    </w:p>
    <w:p>
      <w:pPr>
        <w:pStyle w:val="FirstParagraph"/>
      </w:pPr>
      <w:r>
        <w:t xml:space="preserve">The following diagram demonstrates how each technical control plane maps to strategic mission outcomes, providing executive visibility into the return on modernization investment.</w:t>
      </w:r>
    </w:p>
    <w:p>
      <w:pPr>
        <w:pStyle w:val="BodyText"/>
      </w:pPr>
    </w:p>
    <w:p>
      <w:r>
        <w:pict>
          <v:rect style="width:0;height:1.5pt" o:hralign="center" o:hrstd="t" o:hr="t"/>
        </w:pict>
      </w:r>
    </w:p>
    <w:bookmarkEnd w:id="31"/>
    <w:bookmarkStart w:id="40" w:name="eight-core-concepts"/>
    <w:p>
      <w:pPr>
        <w:pStyle w:val="Heading2"/>
      </w:pPr>
      <w:r>
        <w:t xml:space="preserve">8. Eight Core Concepts</w:t>
      </w:r>
    </w:p>
    <w:bookmarkStart w:id="32" w:name="single-source-of-truth-ssot"/>
    <w:p>
      <w:pPr>
        <w:pStyle w:val="Heading3"/>
      </w:pPr>
      <w:r>
        <w:t xml:space="preserve">8.1.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32"/>
    <w:bookmarkStart w:id="33" w:name="conversation-as-the-atomic-unit"/>
    <w:p>
      <w:pPr>
        <w:pStyle w:val="Heading3"/>
      </w:pPr>
      <w:r>
        <w:t xml:space="preserve">8.2. Conversation as the Atomic Unit</w:t>
      </w:r>
    </w:p>
    <w:p>
      <w:pPr>
        <w:pStyle w:val="FirstParagraph"/>
      </w:pPr>
      <w:r>
        <w:t xml:space="preserve">Every interaction—identity, certificate, addressing, path, QoS, and telemetry—is treated as a single, correlated conversation rather than isolated events.</w:t>
      </w:r>
    </w:p>
    <w:bookmarkEnd w:id="33"/>
    <w:bookmarkStart w:id="34" w:name="identity-as-the-root-namespace"/>
    <w:p>
      <w:pPr>
        <w:pStyle w:val="Heading3"/>
      </w:pPr>
      <w:r>
        <w:t xml:space="preserve">8.3.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4"/>
    <w:bookmarkStart w:id="35" w:name="deterministic-addressing"/>
    <w:p>
      <w:pPr>
        <w:pStyle w:val="Heading3"/>
      </w:pPr>
      <w:r>
        <w:t xml:space="preserve">8.4.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5"/>
    <w:bookmarkStart w:id="36" w:name="certificate-anchored-overlay"/>
    <w:p>
      <w:pPr>
        <w:pStyle w:val="Heading3"/>
      </w:pPr>
      <w:r>
        <w:t xml:space="preserve">8.5. Certificate-Anchored Overlay</w:t>
      </w:r>
    </w:p>
    <w:p>
      <w:pPr>
        <w:pStyle w:val="FirstParagraph"/>
      </w:pPr>
      <w:r>
        <w:t xml:space="preserve">Certificates and mutual TLS anchor tunnels, services, and trust relationships across the enterprise.</w:t>
      </w:r>
    </w:p>
    <w:bookmarkEnd w:id="36"/>
    <w:bookmarkStart w:id="37" w:name="telemetry-as-control"/>
    <w:p>
      <w:pPr>
        <w:pStyle w:val="Heading3"/>
      </w:pPr>
      <w:r>
        <w:t xml:space="preserve">8.6. Telemetry as Control</w:t>
      </w:r>
    </w:p>
    <w:p>
      <w:pPr>
        <w:pStyle w:val="FirstParagraph"/>
      </w:pPr>
      <w:r>
        <w:t xml:space="preserve">Telemetry becomes an active control input for routing, security, and compliance decisions rather than a passive reporting mechanism.</w:t>
      </w:r>
    </w:p>
    <w:bookmarkEnd w:id="37"/>
    <w:bookmarkStart w:id="38" w:name="embedded-governance-automation"/>
    <w:p>
      <w:pPr>
        <w:pStyle w:val="Heading3"/>
      </w:pPr>
      <w:r>
        <w:t xml:space="preserve">8.7. Embedded Governance &amp; Automation</w:t>
      </w:r>
    </w:p>
    <w:p>
      <w:pPr>
        <w:pStyle w:val="FirstParagraph"/>
      </w:pPr>
      <w:r>
        <w:t xml:space="preserve">Governance is executed through orchestrated workflows that enforce policy consistently and reduce operational burden.</w:t>
      </w:r>
    </w:p>
    <w:bookmarkEnd w:id="38"/>
    <w:bookmarkStart w:id="39" w:name="public-service-first"/>
    <w:p>
      <w:pPr>
        <w:pStyle w:val="Heading3"/>
      </w:pPr>
      <w:r>
        <w:t xml:space="preserve">8.8. Public Service First</w:t>
      </w:r>
    </w:p>
    <w:p>
      <w:pPr>
        <w:pStyle w:val="FirstParagraph"/>
      </w:pPr>
      <w:r>
        <w:t xml:space="preserve">Citizen experience, accessibility, and privacy remain top-level design constraints.</w:t>
      </w:r>
    </w:p>
    <w:p>
      <w:r>
        <w:pict>
          <v:rect style="width:0;height:1.5pt" o:hralign="center" o:hrstd="t" o:hr="t"/>
        </w:pict>
      </w:r>
    </w:p>
    <w:bookmarkEnd w:id="39"/>
    <w:bookmarkEnd w:id="40"/>
    <w:bookmarkStart w:id="41" w:name="jinja2-normalization-pipeline"/>
    <w:p>
      <w:pPr>
        <w:pStyle w:val="Heading2"/>
      </w:pPr>
      <w:r>
        <w:t xml:space="preserve">9. Jinja2 Normalization Pipeline</w:t>
      </w:r>
    </w:p>
    <w:p>
      <w:pPr>
        <w:pStyle w:val="FirstParagraph"/>
      </w:pPr>
      <w:r>
        <w:t xml:space="preserve">All UIAO configuration data flows through a normalization pipeline that ensures consistency between YAML data sources and Jinja2 templates.</w:t>
      </w:r>
    </w:p>
    <w:p>
      <w:pPr>
        <w:pStyle w:val="BodyText"/>
      </w:pPr>
    </w:p>
    <w:p>
      <w:r>
        <w:pict>
          <v:rect style="width:0;height:1.5pt" o:hralign="center" o:hrstd="t" o:hr="t"/>
        </w:pict>
      </w:r>
    </w:p>
    <w:bookmarkEnd w:id="41"/>
    <w:bookmarkStart w:id="42" w:name="executive-dashboard-status"/>
    <w:p>
      <w:pPr>
        <w:pStyle w:val="Heading2"/>
      </w:pPr>
      <w:r>
        <w:t xml:space="preserve">10. Executive Dashboard Status</w:t>
      </w:r>
    </w:p>
    <w:p>
      <w:pPr>
        <w:pStyle w:val="FirstParagraph"/>
      </w:pPr>
      <w:r>
        <w:t xml:space="preserve">The following diagram provides a real-time view of deployment readiness across all UIAO components.</w:t>
      </w:r>
    </w:p>
    <w:p>
      <w:pPr>
        <w:pStyle w:val="BodyText"/>
      </w:pPr>
    </w:p>
    <w:p>
      <w:r>
        <w:pict>
          <v:rect style="width:0;height:1.5pt" o:hralign="center" o:hrstd="t" o:hr="t"/>
        </w:pict>
      </w:r>
    </w:p>
    <w:p>
      <w:pPr>
        <w:pStyle w:val="FirstParagraph"/>
      </w:pPr>
      <w:r>
        <w:rPr>
          <w:iCs/>
          <w:i/>
        </w:rPr>
        <w:t xml:space="preserve">Generated from UIAO data layer — Unified Architecture v1.0</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2026-04-05T21:37:00Z</dcterms:created>
  <dcterms:modified xsi:type="dcterms:W3CDTF">2026-04-05T21:37:00Z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