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+ 3PAO</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that the privacy notice be machine-accessible — a stable,</w:t>
      </w:r>
      <w:r>
        <w:t xml:space="preserve"> </w:t>
      </w:r>
      <w:r>
        <w:t xml:space="preserve">publicly reachable URL that 3PAOs and FedRAMP PMO reviewers can validate</w:t>
      </w:r>
      <w:r>
        <w:t xml:space="preserve"> </w:t>
      </w:r>
      <w:r>
        <w:t xml:space="preserve">without 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FedRAMP Package Reviewers:</w:t>
      </w:r>
      <w:r>
        <w:t xml:space="preserve"> </w:t>
      </w:r>
      <w:r>
        <w:t xml:space="preserve">Until FedRAMP PMO publishes explicit</w:t>
      </w:r>
      <w:r>
        <w:t xml:space="preserve"> </w:t>
      </w:r>
      <w:r>
        <w:t xml:space="preserve">PT → KSI mappings, document PT control evidence in the SSP privacy section</w:t>
      </w:r>
      <w:r>
        <w:t xml:space="preserve"> </w:t>
      </w:r>
      <w:r>
        <w:t xml:space="preserve">and reference this document’s section numbers. The 3PAO privacy assessment</w:t>
      </w:r>
      <w:r>
        <w:t xml:space="preserve"> </w:t>
      </w:r>
      <w:r>
        <w:t xml:space="preserve">report 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ATO submission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3PAO assessment</w:t>
            </w:r>
          </w:p>
        </w:tc>
        <w:tc>
          <w:tcPr/>
          <w:p>
            <w:pPr>
              <w:pStyle w:val="Compact"/>
            </w:pPr>
            <w:r>
              <w:t xml:space="preserve">Within 365 days of ATO grant</w:t>
            </w:r>
          </w:p>
        </w:tc>
        <w:tc>
          <w:tcPr/>
          <w:p>
            <w:pPr>
              <w:pStyle w:val="Compact"/>
            </w:pPr>
            <w:r>
              <w:t xml:space="preserve">SAOP + 3PAO</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2026-07-06T13:15:07Z</dcterms:created>
  <dcterms:modified xsi:type="dcterms:W3CDTF">2026-07-06T13:15:07Z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