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CE50" w14:textId="77777777" w:rsidR="003E4E83" w:rsidRPr="003E4E83" w:rsidRDefault="003E4E83" w:rsidP="003E4E83">
      <w:pPr>
        <w:spacing w:before="100" w:beforeAutospacing="1" w:after="100" w:afterAutospacing="1" w:line="240" w:lineRule="auto"/>
        <w:outlineLvl w:val="2"/>
        <w:rPr>
          <w:rFonts w:eastAsia="Times New Roman" w:cs="Times New Roman"/>
          <w:b/>
          <w:bCs/>
          <w:kern w:val="0"/>
          <w:sz w:val="27"/>
          <w:szCs w:val="27"/>
          <w14:ligatures w14:val="none"/>
        </w:rPr>
      </w:pPr>
      <w:r w:rsidRPr="003E4E83">
        <w:rPr>
          <w:rFonts w:eastAsia="Times New Roman" w:cs="Times New Roman"/>
          <w:b/>
          <w:bCs/>
          <w:kern w:val="0"/>
          <w:sz w:val="27"/>
          <w:szCs w:val="27"/>
          <w14:ligatures w14:val="none"/>
        </w:rPr>
        <w:t>Appendix B — Glossary and Acronym Table</w:t>
      </w:r>
    </w:p>
    <w:p w14:paraId="6C30AE9F"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pict w14:anchorId="46535B4D">
          <v:rect id="_x0000_i1025" style="width:0;height:1.5pt" o:hralign="center" o:hrstd="t" o:hr="t" fillcolor="#a0a0a0" stroked="f"/>
        </w:pict>
      </w:r>
    </w:p>
    <w:p w14:paraId="22A8089E" w14:textId="77777777" w:rsidR="003E4E83" w:rsidRPr="003E4E83" w:rsidRDefault="003E4E83" w:rsidP="003E4E83">
      <w:pPr>
        <w:spacing w:before="100" w:beforeAutospacing="1" w:after="100" w:afterAutospacing="1" w:line="240" w:lineRule="auto"/>
        <w:outlineLvl w:val="1"/>
        <w:rPr>
          <w:rFonts w:eastAsia="Times New Roman" w:cs="Times New Roman"/>
          <w:b/>
          <w:bCs/>
          <w:kern w:val="0"/>
          <w:sz w:val="36"/>
          <w:szCs w:val="36"/>
          <w14:ligatures w14:val="none"/>
        </w:rPr>
      </w:pPr>
      <w:r w:rsidRPr="003E4E83">
        <w:rPr>
          <w:rFonts w:eastAsia="Times New Roman" w:cs="Times New Roman"/>
          <w:b/>
          <w:bCs/>
          <w:kern w:val="0"/>
          <w:sz w:val="36"/>
          <w:szCs w:val="36"/>
          <w14:ligatures w14:val="none"/>
        </w:rPr>
        <w:t>B.1 Purpose and Scope</w:t>
      </w:r>
    </w:p>
    <w:p w14:paraId="235F5CCF"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Purpose:</w:t>
      </w:r>
      <w:r w:rsidRPr="003E4E83">
        <w:rPr>
          <w:rFonts w:eastAsia="Times New Roman" w:cs="Times New Roman"/>
          <w:kern w:val="0"/>
          <w14:ligatures w14:val="none"/>
        </w:rPr>
        <w:t xml:space="preserve"> Provide a single, authoritative glossary and acronym table for the Unified Identity</w:t>
      </w:r>
      <w:r w:rsidRPr="003E4E83">
        <w:rPr>
          <w:rFonts w:eastAsia="Times New Roman" w:cs="Times New Roman"/>
          <w:kern w:val="0"/>
          <w14:ligatures w14:val="none"/>
        </w:rPr>
        <w:noBreakHyphen/>
        <w:t>Addressing</w:t>
      </w:r>
      <w:r w:rsidRPr="003E4E83">
        <w:rPr>
          <w:rFonts w:eastAsia="Times New Roman" w:cs="Times New Roman"/>
          <w:kern w:val="0"/>
          <w14:ligatures w14:val="none"/>
        </w:rPr>
        <w:noBreakHyphen/>
        <w:t>Overlay Architecture so every reader has unambiguous definitions for technical terms, protocols, and program names used throughout the document.</w:t>
      </w:r>
    </w:p>
    <w:p w14:paraId="1C7828A6"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Scope:</w:t>
      </w:r>
      <w:r w:rsidRPr="003E4E83">
        <w:rPr>
          <w:rFonts w:eastAsia="Times New Roman" w:cs="Times New Roman"/>
          <w:kern w:val="0"/>
          <w14:ligatures w14:val="none"/>
        </w:rPr>
        <w:t xml:space="preserve"> Includes protocol names, vendor and program names, architectural primitives, security constructs, operational terms, and federal program references used in this white paper.</w:t>
      </w:r>
    </w:p>
    <w:p w14:paraId="48BC2BAA"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pict w14:anchorId="06E27A75">
          <v:rect id="_x0000_i1026" style="width:0;height:1.5pt" o:hralign="center" o:hrstd="t" o:hr="t" fillcolor="#a0a0a0" stroked="f"/>
        </w:pict>
      </w:r>
    </w:p>
    <w:p w14:paraId="75E3FDE8" w14:textId="77777777" w:rsidR="003E4E83" w:rsidRPr="003E4E83" w:rsidRDefault="003E4E83" w:rsidP="003E4E83">
      <w:pPr>
        <w:spacing w:before="100" w:beforeAutospacing="1" w:after="100" w:afterAutospacing="1" w:line="240" w:lineRule="auto"/>
        <w:outlineLvl w:val="1"/>
        <w:rPr>
          <w:rFonts w:eastAsia="Times New Roman" w:cs="Times New Roman"/>
          <w:b/>
          <w:bCs/>
          <w:kern w:val="0"/>
          <w:sz w:val="36"/>
          <w:szCs w:val="36"/>
          <w14:ligatures w14:val="none"/>
        </w:rPr>
      </w:pPr>
      <w:r w:rsidRPr="003E4E83">
        <w:rPr>
          <w:rFonts w:eastAsia="Times New Roman" w:cs="Times New Roman"/>
          <w:b/>
          <w:bCs/>
          <w:kern w:val="0"/>
          <w:sz w:val="36"/>
          <w:szCs w:val="36"/>
          <w14:ligatures w14:val="none"/>
        </w:rPr>
        <w:t>B.2 Glossary of Terms</w:t>
      </w:r>
    </w:p>
    <w:p w14:paraId="4690B5BA"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Application Identity</w:t>
      </w:r>
      <w:r w:rsidRPr="003E4E83">
        <w:rPr>
          <w:rFonts w:eastAsia="Times New Roman" w:cs="Times New Roman"/>
          <w:kern w:val="0"/>
          <w14:ligatures w14:val="none"/>
        </w:rPr>
        <w:br/>
        <w:t>A deterministic, authoritative object that unifies a canonical DNS name, IPAM</w:t>
      </w:r>
      <w:r w:rsidRPr="003E4E83">
        <w:rPr>
          <w:rFonts w:eastAsia="Times New Roman" w:cs="Times New Roman"/>
          <w:kern w:val="0"/>
          <w14:ligatures w14:val="none"/>
        </w:rPr>
        <w:noBreakHyphen/>
        <w:t>managed address space, IAM workload identity, certificate or token trust anchor, overlay segmentation label, and logical location attributes.</w:t>
      </w:r>
    </w:p>
    <w:p w14:paraId="38987192"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Authority Plane</w:t>
      </w:r>
      <w:r w:rsidRPr="003E4E83">
        <w:rPr>
          <w:rFonts w:eastAsia="Times New Roman" w:cs="Times New Roman"/>
          <w:kern w:val="0"/>
          <w14:ligatures w14:val="none"/>
        </w:rPr>
        <w:br/>
        <w:t>The set of authoritative services (IP Address Management, Identity and Access Management, Certificate/Token Services, Policy Engine) that define naming, addressing, identity, trust, and intent for the control plane.</w:t>
      </w:r>
    </w:p>
    <w:p w14:paraId="4B49AF14"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Control Plane</w:t>
      </w:r>
      <w:r w:rsidRPr="003E4E83">
        <w:rPr>
          <w:rFonts w:eastAsia="Times New Roman" w:cs="Times New Roman"/>
          <w:kern w:val="0"/>
          <w14:ligatures w14:val="none"/>
        </w:rPr>
        <w:br/>
        <w:t>The orchestration layer that translates high</w:t>
      </w:r>
      <w:r w:rsidRPr="003E4E83">
        <w:rPr>
          <w:rFonts w:eastAsia="Times New Roman" w:cs="Times New Roman"/>
          <w:kern w:val="0"/>
          <w14:ligatures w14:val="none"/>
        </w:rPr>
        <w:noBreakHyphen/>
        <w:t>level intent into routing, segmentation, QoS, and enforcement rules for the overlay and underlay.</w:t>
      </w:r>
    </w:p>
    <w:p w14:paraId="64CE5F37"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Overlay Fabric</w:t>
      </w:r>
      <w:r w:rsidRPr="003E4E83">
        <w:rPr>
          <w:rFonts w:eastAsia="Times New Roman" w:cs="Times New Roman"/>
          <w:kern w:val="0"/>
          <w14:ligatures w14:val="none"/>
        </w:rPr>
        <w:br/>
        <w:t>The logical forwarding plane (SDN in data centers, SD</w:t>
      </w:r>
      <w:r w:rsidRPr="003E4E83">
        <w:rPr>
          <w:rFonts w:eastAsia="Times New Roman" w:cs="Times New Roman"/>
          <w:kern w:val="0"/>
          <w14:ligatures w14:val="none"/>
        </w:rPr>
        <w:noBreakHyphen/>
        <w:t>WAN across WAN/edge) that enforces segmentation, identity</w:t>
      </w:r>
      <w:r w:rsidRPr="003E4E83">
        <w:rPr>
          <w:rFonts w:eastAsia="Times New Roman" w:cs="Times New Roman"/>
          <w:kern w:val="0"/>
          <w14:ligatures w14:val="none"/>
        </w:rPr>
        <w:noBreakHyphen/>
        <w:t>based policy, and application</w:t>
      </w:r>
      <w:r w:rsidRPr="003E4E83">
        <w:rPr>
          <w:rFonts w:eastAsia="Times New Roman" w:cs="Times New Roman"/>
          <w:kern w:val="0"/>
          <w14:ligatures w14:val="none"/>
        </w:rPr>
        <w:noBreakHyphen/>
        <w:t>aware routing independent of physical topology.</w:t>
      </w:r>
    </w:p>
    <w:p w14:paraId="5C27AFB9"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Underlay</w:t>
      </w:r>
      <w:r w:rsidRPr="003E4E83">
        <w:rPr>
          <w:rFonts w:eastAsia="Times New Roman" w:cs="Times New Roman"/>
          <w:kern w:val="0"/>
          <w14:ligatures w14:val="none"/>
        </w:rPr>
        <w:br/>
        <w:t>Physical transport infrastructure (MPLS, Dedicated Internet Access, LTE/5G, fiber) that provides connectivity and QoS primitives consumed by the overlay.</w:t>
      </w:r>
    </w:p>
    <w:p w14:paraId="798D37E0"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Policy Engine</w:t>
      </w:r>
      <w:r w:rsidRPr="003E4E83">
        <w:rPr>
          <w:rFonts w:eastAsia="Times New Roman" w:cs="Times New Roman"/>
          <w:kern w:val="0"/>
          <w14:ligatures w14:val="none"/>
        </w:rPr>
        <w:br/>
        <w:t>The system that expresses business and security intent (segmentation, SLA, routing preferences) and exposes that intent to the control plane for translation and enforcement.</w:t>
      </w:r>
    </w:p>
    <w:p w14:paraId="39A58D41"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Deterministic Pathing</w:t>
      </w:r>
      <w:r w:rsidRPr="003E4E83">
        <w:rPr>
          <w:rFonts w:eastAsia="Times New Roman" w:cs="Times New Roman"/>
          <w:kern w:val="0"/>
          <w14:ligatures w14:val="none"/>
        </w:rPr>
        <w:br/>
        <w:t>Routing behavior where paths are explicitly computed and provisioned (for example using Segment Routing Traffic Engineering or MPLS Traffic Engineering) to meet SLA constraints rather than relying on reactive hop</w:t>
      </w:r>
      <w:r w:rsidRPr="003E4E83">
        <w:rPr>
          <w:rFonts w:eastAsia="Times New Roman" w:cs="Times New Roman"/>
          <w:kern w:val="0"/>
          <w14:ligatures w14:val="none"/>
        </w:rPr>
        <w:noBreakHyphen/>
        <w:t>by</w:t>
      </w:r>
      <w:r w:rsidRPr="003E4E83">
        <w:rPr>
          <w:rFonts w:eastAsia="Times New Roman" w:cs="Times New Roman"/>
          <w:kern w:val="0"/>
          <w14:ligatures w14:val="none"/>
        </w:rPr>
        <w:noBreakHyphen/>
        <w:t>hop convergence.</w:t>
      </w:r>
    </w:p>
    <w:p w14:paraId="1F28BA47"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Microsegmentation</w:t>
      </w:r>
      <w:r w:rsidRPr="003E4E83">
        <w:rPr>
          <w:rFonts w:eastAsia="Times New Roman" w:cs="Times New Roman"/>
          <w:kern w:val="0"/>
          <w14:ligatures w14:val="none"/>
        </w:rPr>
        <w:br/>
        <w:t>Fine</w:t>
      </w:r>
      <w:r w:rsidRPr="003E4E83">
        <w:rPr>
          <w:rFonts w:eastAsia="Times New Roman" w:cs="Times New Roman"/>
          <w:kern w:val="0"/>
          <w14:ligatures w14:val="none"/>
        </w:rPr>
        <w:noBreakHyphen/>
        <w:t>grained segmentation enforced at workload or application level based on identity and policy rather than coarse VLAN or subnet boundaries.</w:t>
      </w:r>
    </w:p>
    <w:p w14:paraId="787EEA17"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Closed</w:t>
      </w:r>
      <w:r w:rsidRPr="003E4E83">
        <w:rPr>
          <w:rFonts w:eastAsia="Times New Roman" w:cs="Times New Roman"/>
          <w:b/>
          <w:bCs/>
          <w:kern w:val="0"/>
          <w14:ligatures w14:val="none"/>
        </w:rPr>
        <w:noBreakHyphen/>
        <w:t>Loop Automation</w:t>
      </w:r>
      <w:r w:rsidRPr="003E4E83">
        <w:rPr>
          <w:rFonts w:eastAsia="Times New Roman" w:cs="Times New Roman"/>
          <w:kern w:val="0"/>
          <w14:ligatures w14:val="none"/>
        </w:rPr>
        <w:br/>
        <w:t>Automated feedback loop where telemetry drives analytics, analytics drive intent adjustments, and the control plane applies changes automatically while validating policy convergence.</w:t>
      </w:r>
    </w:p>
    <w:p w14:paraId="37E76C51"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Digital Twin</w:t>
      </w:r>
      <w:r w:rsidRPr="003E4E83">
        <w:rPr>
          <w:rFonts w:eastAsia="Times New Roman" w:cs="Times New Roman"/>
          <w:kern w:val="0"/>
          <w14:ligatures w14:val="none"/>
        </w:rPr>
        <w:br/>
        <w:t>A simulated model of the network and control plane used to validate changes (routing, segmentation, QoS, identity policy) before production deployment.</w:t>
      </w:r>
    </w:p>
    <w:p w14:paraId="443331EC"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Drift</w:t>
      </w:r>
      <w:r w:rsidRPr="003E4E83">
        <w:rPr>
          <w:rFonts w:eastAsia="Times New Roman" w:cs="Times New Roman"/>
          <w:kern w:val="0"/>
          <w14:ligatures w14:val="none"/>
        </w:rPr>
        <w:br/>
        <w:t>Any divergence between intended state (policy, configuration, identity bindings) and actual state observed in the network or control plane.</w:t>
      </w:r>
    </w:p>
    <w:p w14:paraId="7B0F040C"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Blast Radius</w:t>
      </w:r>
      <w:r w:rsidRPr="003E4E83">
        <w:rPr>
          <w:rFonts w:eastAsia="Times New Roman" w:cs="Times New Roman"/>
          <w:kern w:val="0"/>
          <w14:ligatures w14:val="none"/>
        </w:rPr>
        <w:br/>
        <w:t>The scope of impact from a failure or compromise; architecture design aims to minimize blast radius through identity</w:t>
      </w:r>
      <w:r w:rsidRPr="003E4E83">
        <w:rPr>
          <w:rFonts w:eastAsia="Times New Roman" w:cs="Times New Roman"/>
          <w:kern w:val="0"/>
          <w14:ligatures w14:val="none"/>
        </w:rPr>
        <w:noBreakHyphen/>
        <w:t>based segmentation and failure domain isolation.</w:t>
      </w:r>
    </w:p>
    <w:p w14:paraId="0A1B2DFC"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Telemetry</w:t>
      </w:r>
      <w:r w:rsidRPr="003E4E83">
        <w:rPr>
          <w:rFonts w:eastAsia="Times New Roman" w:cs="Times New Roman"/>
          <w:kern w:val="0"/>
          <w14:ligatures w14:val="none"/>
        </w:rPr>
        <w:br/>
        <w:t>Structured, time</w:t>
      </w:r>
      <w:r w:rsidRPr="003E4E83">
        <w:rPr>
          <w:rFonts w:eastAsia="Times New Roman" w:cs="Times New Roman"/>
          <w:kern w:val="0"/>
          <w14:ligatures w14:val="none"/>
        </w:rPr>
        <w:noBreakHyphen/>
        <w:t>series and event data collected from underlay devices, overlay nodes, identity systems, DNS/IPAM, and applications used for observability and automation.</w:t>
      </w:r>
    </w:p>
    <w:p w14:paraId="4FBFC622"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Observability</w:t>
      </w:r>
      <w:r w:rsidRPr="003E4E83">
        <w:rPr>
          <w:rFonts w:eastAsia="Times New Roman" w:cs="Times New Roman"/>
          <w:kern w:val="0"/>
          <w14:ligatures w14:val="none"/>
        </w:rPr>
        <w:br/>
        <w:t>The ability to infer system state and root cause from telemetry, logs, traces, and identity events; includes identity</w:t>
      </w:r>
      <w:r w:rsidRPr="003E4E83">
        <w:rPr>
          <w:rFonts w:eastAsia="Times New Roman" w:cs="Times New Roman"/>
          <w:kern w:val="0"/>
          <w14:ligatures w14:val="none"/>
        </w:rPr>
        <w:noBreakHyphen/>
        <w:t>aware flow visibility.</w:t>
      </w:r>
    </w:p>
    <w:p w14:paraId="0B20D8ED"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Application</w:t>
      </w:r>
      <w:r w:rsidRPr="003E4E83">
        <w:rPr>
          <w:rFonts w:eastAsia="Times New Roman" w:cs="Times New Roman"/>
          <w:b/>
          <w:bCs/>
          <w:kern w:val="0"/>
          <w14:ligatures w14:val="none"/>
        </w:rPr>
        <w:noBreakHyphen/>
        <w:t>Aware Firewall</w:t>
      </w:r>
      <w:r w:rsidRPr="003E4E83">
        <w:rPr>
          <w:rFonts w:eastAsia="Times New Roman" w:cs="Times New Roman"/>
          <w:kern w:val="0"/>
          <w14:ligatures w14:val="none"/>
        </w:rPr>
        <w:br/>
        <w:t>A firewall that enforces policy based on application identity and metadata rather than only IP/port tuples.</w:t>
      </w:r>
    </w:p>
    <w:p w14:paraId="062EB605"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Network Access Control (NAC)</w:t>
      </w:r>
      <w:r w:rsidRPr="003E4E83">
        <w:rPr>
          <w:rFonts w:eastAsia="Times New Roman" w:cs="Times New Roman"/>
          <w:kern w:val="0"/>
          <w14:ligatures w14:val="none"/>
        </w:rPr>
        <w:br/>
        <w:t>A system that enforces endpoint admission policies based on device identity, posture, and compliance before granting network access.</w:t>
      </w:r>
    </w:p>
    <w:p w14:paraId="4909A0F4"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Endpoint Management</w:t>
      </w:r>
      <w:r w:rsidRPr="003E4E83">
        <w:rPr>
          <w:rFonts w:eastAsia="Times New Roman" w:cs="Times New Roman"/>
          <w:kern w:val="0"/>
          <w14:ligatures w14:val="none"/>
        </w:rPr>
        <w:br/>
        <w:t>Device posture and configuration control (for example Microsoft Intune) used to enforce device compliance and integrate with NAC and IAM for conditional access.</w:t>
      </w:r>
    </w:p>
    <w:p w14:paraId="117080E4"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Non</w:t>
      </w:r>
      <w:r w:rsidRPr="003E4E83">
        <w:rPr>
          <w:rFonts w:eastAsia="Times New Roman" w:cs="Times New Roman"/>
          <w:b/>
          <w:bCs/>
          <w:kern w:val="0"/>
          <w14:ligatures w14:val="none"/>
        </w:rPr>
        <w:noBreakHyphen/>
        <w:t>Person Entity (NPE)</w:t>
      </w:r>
      <w:r w:rsidRPr="003E4E83">
        <w:rPr>
          <w:rFonts w:eastAsia="Times New Roman" w:cs="Times New Roman"/>
          <w:kern w:val="0"/>
          <w14:ligatures w14:val="none"/>
        </w:rPr>
        <w:br/>
        <w:t xml:space="preserve">A machine or service identity (for example service principals, managed identities) that requires authentication and authorization </w:t>
      </w:r>
      <w:proofErr w:type="gramStart"/>
      <w:r w:rsidRPr="003E4E83">
        <w:rPr>
          <w:rFonts w:eastAsia="Times New Roman" w:cs="Times New Roman"/>
          <w:kern w:val="0"/>
          <w14:ligatures w14:val="none"/>
        </w:rPr>
        <w:t>similar to</w:t>
      </w:r>
      <w:proofErr w:type="gramEnd"/>
      <w:r w:rsidRPr="003E4E83">
        <w:rPr>
          <w:rFonts w:eastAsia="Times New Roman" w:cs="Times New Roman"/>
          <w:kern w:val="0"/>
          <w14:ligatures w14:val="none"/>
        </w:rPr>
        <w:t xml:space="preserve"> human users.</w:t>
      </w:r>
    </w:p>
    <w:p w14:paraId="240D72E9"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Authority to Operate (ATO)</w:t>
      </w:r>
      <w:r w:rsidRPr="003E4E83">
        <w:rPr>
          <w:rFonts w:eastAsia="Times New Roman" w:cs="Times New Roman"/>
          <w:kern w:val="0"/>
          <w14:ligatures w14:val="none"/>
        </w:rPr>
        <w:br/>
        <w:t>A formal authorization granted to a system or service indicating it meets required security controls and may operate in a federal environment.</w:t>
      </w:r>
    </w:p>
    <w:p w14:paraId="32FE2472"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Trusted Internet Connections 3.0 Cloud Case (TIC 3.0 Cloud Case)</w:t>
      </w:r>
      <w:r w:rsidRPr="003E4E83">
        <w:rPr>
          <w:rFonts w:eastAsia="Times New Roman" w:cs="Times New Roman"/>
          <w:kern w:val="0"/>
          <w14:ligatures w14:val="none"/>
        </w:rPr>
        <w:br/>
        <w:t>A federal guidance construct that defines secure cloud connectivity patterns and trusted access models for agencies; SD</w:t>
      </w:r>
      <w:r w:rsidRPr="003E4E83">
        <w:rPr>
          <w:rFonts w:eastAsia="Times New Roman" w:cs="Times New Roman"/>
          <w:kern w:val="0"/>
          <w14:ligatures w14:val="none"/>
        </w:rPr>
        <w:noBreakHyphen/>
        <w:t>WAN and SASE solutions can be evaluated under this case for cloud on</w:t>
      </w:r>
      <w:r w:rsidRPr="003E4E83">
        <w:rPr>
          <w:rFonts w:eastAsia="Times New Roman" w:cs="Times New Roman"/>
          <w:kern w:val="0"/>
          <w14:ligatures w14:val="none"/>
        </w:rPr>
        <w:noBreakHyphen/>
        <w:t>ramp and secure edge scenarios.</w:t>
      </w:r>
    </w:p>
    <w:p w14:paraId="5AC8EE0C"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pict w14:anchorId="39809A0B">
          <v:rect id="_x0000_i1027" style="width:0;height:1.5pt" o:hralign="center" o:hrstd="t" o:hr="t" fillcolor="#a0a0a0" stroked="f"/>
        </w:pict>
      </w:r>
    </w:p>
    <w:p w14:paraId="69612AE2" w14:textId="77777777" w:rsidR="003E4E83" w:rsidRPr="003E4E83" w:rsidRDefault="003E4E83" w:rsidP="003E4E83">
      <w:pPr>
        <w:spacing w:before="100" w:beforeAutospacing="1" w:after="100" w:afterAutospacing="1" w:line="240" w:lineRule="auto"/>
        <w:outlineLvl w:val="1"/>
        <w:rPr>
          <w:rFonts w:eastAsia="Times New Roman" w:cs="Times New Roman"/>
          <w:b/>
          <w:bCs/>
          <w:kern w:val="0"/>
          <w:sz w:val="36"/>
          <w:szCs w:val="36"/>
          <w14:ligatures w14:val="none"/>
        </w:rPr>
      </w:pPr>
      <w:r w:rsidRPr="003E4E83">
        <w:rPr>
          <w:rFonts w:eastAsia="Times New Roman" w:cs="Times New Roman"/>
          <w:b/>
          <w:bCs/>
          <w:kern w:val="0"/>
          <w:sz w:val="36"/>
          <w:szCs w:val="36"/>
          <w14:ligatures w14:val="none"/>
        </w:rPr>
        <w:t>B.3 Acronym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5348"/>
      </w:tblGrid>
      <w:tr w:rsidR="003E4E83" w:rsidRPr="003E4E83" w14:paraId="6B910856" w14:textId="77777777">
        <w:trPr>
          <w:tblHeader/>
          <w:tblCellSpacing w:w="15" w:type="dxa"/>
        </w:trPr>
        <w:tc>
          <w:tcPr>
            <w:tcW w:w="0" w:type="auto"/>
            <w:vAlign w:val="center"/>
            <w:hideMark/>
          </w:tcPr>
          <w:p w14:paraId="4FB708DA" w14:textId="77777777" w:rsidR="003E4E83" w:rsidRPr="003E4E83" w:rsidRDefault="003E4E83" w:rsidP="003E4E83">
            <w:pPr>
              <w:spacing w:after="0" w:line="240" w:lineRule="auto"/>
              <w:jc w:val="center"/>
              <w:rPr>
                <w:rFonts w:eastAsia="Times New Roman" w:cs="Times New Roman"/>
                <w:b/>
                <w:bCs/>
                <w:kern w:val="0"/>
                <w14:ligatures w14:val="none"/>
              </w:rPr>
            </w:pPr>
            <w:r w:rsidRPr="003E4E83">
              <w:rPr>
                <w:rFonts w:eastAsia="Times New Roman" w:cs="Times New Roman"/>
                <w:b/>
                <w:bCs/>
                <w:kern w:val="0"/>
                <w14:ligatures w14:val="none"/>
              </w:rPr>
              <w:t>Acronym</w:t>
            </w:r>
          </w:p>
        </w:tc>
        <w:tc>
          <w:tcPr>
            <w:tcW w:w="0" w:type="auto"/>
            <w:vAlign w:val="center"/>
            <w:hideMark/>
          </w:tcPr>
          <w:p w14:paraId="3BDB6A7D" w14:textId="77777777" w:rsidR="003E4E83" w:rsidRPr="003E4E83" w:rsidRDefault="003E4E83" w:rsidP="003E4E83">
            <w:pPr>
              <w:spacing w:after="0" w:line="240" w:lineRule="auto"/>
              <w:jc w:val="center"/>
              <w:rPr>
                <w:rFonts w:eastAsia="Times New Roman" w:cs="Times New Roman"/>
                <w:b/>
                <w:bCs/>
                <w:kern w:val="0"/>
                <w14:ligatures w14:val="none"/>
              </w:rPr>
            </w:pPr>
            <w:r w:rsidRPr="003E4E83">
              <w:rPr>
                <w:rFonts w:eastAsia="Times New Roman" w:cs="Times New Roman"/>
                <w:b/>
                <w:bCs/>
                <w:kern w:val="0"/>
                <w14:ligatures w14:val="none"/>
              </w:rPr>
              <w:t>Expansion</w:t>
            </w:r>
          </w:p>
        </w:tc>
      </w:tr>
      <w:tr w:rsidR="003E4E83" w:rsidRPr="003E4E83" w14:paraId="639D375E" w14:textId="77777777">
        <w:trPr>
          <w:tblCellSpacing w:w="15" w:type="dxa"/>
        </w:trPr>
        <w:tc>
          <w:tcPr>
            <w:tcW w:w="0" w:type="auto"/>
            <w:vAlign w:val="center"/>
            <w:hideMark/>
          </w:tcPr>
          <w:p w14:paraId="35F9BDA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API</w:t>
            </w:r>
          </w:p>
        </w:tc>
        <w:tc>
          <w:tcPr>
            <w:tcW w:w="0" w:type="auto"/>
            <w:vAlign w:val="center"/>
            <w:hideMark/>
          </w:tcPr>
          <w:p w14:paraId="48EDBDF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Application Programming Interface</w:t>
            </w:r>
          </w:p>
        </w:tc>
      </w:tr>
      <w:tr w:rsidR="003E4E83" w:rsidRPr="003E4E83" w14:paraId="7DA1C620" w14:textId="77777777">
        <w:trPr>
          <w:tblCellSpacing w:w="15" w:type="dxa"/>
        </w:trPr>
        <w:tc>
          <w:tcPr>
            <w:tcW w:w="0" w:type="auto"/>
            <w:vAlign w:val="center"/>
            <w:hideMark/>
          </w:tcPr>
          <w:p w14:paraId="2162096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ATO</w:t>
            </w:r>
          </w:p>
        </w:tc>
        <w:tc>
          <w:tcPr>
            <w:tcW w:w="0" w:type="auto"/>
            <w:vAlign w:val="center"/>
            <w:hideMark/>
          </w:tcPr>
          <w:p w14:paraId="490FC91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Authority to Operate</w:t>
            </w:r>
          </w:p>
        </w:tc>
      </w:tr>
      <w:tr w:rsidR="003E4E83" w:rsidRPr="003E4E83" w14:paraId="74BE28FB" w14:textId="77777777">
        <w:trPr>
          <w:tblCellSpacing w:w="15" w:type="dxa"/>
        </w:trPr>
        <w:tc>
          <w:tcPr>
            <w:tcW w:w="0" w:type="auto"/>
            <w:vAlign w:val="center"/>
            <w:hideMark/>
          </w:tcPr>
          <w:p w14:paraId="423AACDD"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CASB</w:t>
            </w:r>
          </w:p>
        </w:tc>
        <w:tc>
          <w:tcPr>
            <w:tcW w:w="0" w:type="auto"/>
            <w:vAlign w:val="center"/>
            <w:hideMark/>
          </w:tcPr>
          <w:p w14:paraId="60068236"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Cloud Access Security Broker</w:t>
            </w:r>
          </w:p>
        </w:tc>
      </w:tr>
      <w:tr w:rsidR="003E4E83" w:rsidRPr="003E4E83" w14:paraId="10730611" w14:textId="77777777">
        <w:trPr>
          <w:tblCellSpacing w:w="15" w:type="dxa"/>
        </w:trPr>
        <w:tc>
          <w:tcPr>
            <w:tcW w:w="0" w:type="auto"/>
            <w:vAlign w:val="center"/>
            <w:hideMark/>
          </w:tcPr>
          <w:p w14:paraId="3E371D72"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CISA</w:t>
            </w:r>
          </w:p>
        </w:tc>
        <w:tc>
          <w:tcPr>
            <w:tcW w:w="0" w:type="auto"/>
            <w:vAlign w:val="center"/>
            <w:hideMark/>
          </w:tcPr>
          <w:p w14:paraId="6371666B"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Cybersecurity and Infrastructure Security Agency</w:t>
            </w:r>
          </w:p>
        </w:tc>
      </w:tr>
      <w:tr w:rsidR="003E4E83" w:rsidRPr="003E4E83" w14:paraId="0E7168F2" w14:textId="77777777">
        <w:trPr>
          <w:tblCellSpacing w:w="15" w:type="dxa"/>
        </w:trPr>
        <w:tc>
          <w:tcPr>
            <w:tcW w:w="0" w:type="auto"/>
            <w:vAlign w:val="center"/>
            <w:hideMark/>
          </w:tcPr>
          <w:p w14:paraId="27BC82EF"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DHS</w:t>
            </w:r>
          </w:p>
        </w:tc>
        <w:tc>
          <w:tcPr>
            <w:tcW w:w="0" w:type="auto"/>
            <w:vAlign w:val="center"/>
            <w:hideMark/>
          </w:tcPr>
          <w:p w14:paraId="05F7CC9D"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Department of Homeland Security</w:t>
            </w:r>
          </w:p>
        </w:tc>
      </w:tr>
      <w:tr w:rsidR="003E4E83" w:rsidRPr="003E4E83" w14:paraId="4748560A" w14:textId="77777777">
        <w:trPr>
          <w:tblCellSpacing w:w="15" w:type="dxa"/>
        </w:trPr>
        <w:tc>
          <w:tcPr>
            <w:tcW w:w="0" w:type="auto"/>
            <w:vAlign w:val="center"/>
            <w:hideMark/>
          </w:tcPr>
          <w:p w14:paraId="2FD3D17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DIA</w:t>
            </w:r>
          </w:p>
        </w:tc>
        <w:tc>
          <w:tcPr>
            <w:tcW w:w="0" w:type="auto"/>
            <w:vAlign w:val="center"/>
            <w:hideMark/>
          </w:tcPr>
          <w:p w14:paraId="6C16F1D4"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Dedicated Internet Access</w:t>
            </w:r>
          </w:p>
        </w:tc>
      </w:tr>
      <w:tr w:rsidR="003E4E83" w:rsidRPr="003E4E83" w14:paraId="23BB64D1" w14:textId="77777777">
        <w:trPr>
          <w:tblCellSpacing w:w="15" w:type="dxa"/>
        </w:trPr>
        <w:tc>
          <w:tcPr>
            <w:tcW w:w="0" w:type="auto"/>
            <w:vAlign w:val="center"/>
            <w:hideMark/>
          </w:tcPr>
          <w:p w14:paraId="3D199992"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DSCP</w:t>
            </w:r>
          </w:p>
        </w:tc>
        <w:tc>
          <w:tcPr>
            <w:tcW w:w="0" w:type="auto"/>
            <w:vAlign w:val="center"/>
            <w:hideMark/>
          </w:tcPr>
          <w:p w14:paraId="1A254B0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Differentiated Services Code Point</w:t>
            </w:r>
          </w:p>
        </w:tc>
      </w:tr>
      <w:tr w:rsidR="003E4E83" w:rsidRPr="003E4E83" w14:paraId="51B75D67" w14:textId="77777777">
        <w:trPr>
          <w:tblCellSpacing w:w="15" w:type="dxa"/>
        </w:trPr>
        <w:tc>
          <w:tcPr>
            <w:tcW w:w="0" w:type="auto"/>
            <w:vAlign w:val="center"/>
            <w:hideMark/>
          </w:tcPr>
          <w:p w14:paraId="67177EA4"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DLP</w:t>
            </w:r>
          </w:p>
        </w:tc>
        <w:tc>
          <w:tcPr>
            <w:tcW w:w="0" w:type="auto"/>
            <w:vAlign w:val="center"/>
            <w:hideMark/>
          </w:tcPr>
          <w:p w14:paraId="0B6235D2"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Data Loss Prevention</w:t>
            </w:r>
          </w:p>
        </w:tc>
      </w:tr>
      <w:tr w:rsidR="003E4E83" w:rsidRPr="003E4E83" w14:paraId="6D2B41DC" w14:textId="77777777">
        <w:trPr>
          <w:tblCellSpacing w:w="15" w:type="dxa"/>
        </w:trPr>
        <w:tc>
          <w:tcPr>
            <w:tcW w:w="0" w:type="auto"/>
            <w:vAlign w:val="center"/>
            <w:hideMark/>
          </w:tcPr>
          <w:p w14:paraId="02872764"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DNS</w:t>
            </w:r>
          </w:p>
        </w:tc>
        <w:tc>
          <w:tcPr>
            <w:tcW w:w="0" w:type="auto"/>
            <w:vAlign w:val="center"/>
            <w:hideMark/>
          </w:tcPr>
          <w:p w14:paraId="15FEDB2E"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Domain Name System</w:t>
            </w:r>
          </w:p>
        </w:tc>
      </w:tr>
      <w:tr w:rsidR="003E4E83" w:rsidRPr="003E4E83" w14:paraId="0FC5E408" w14:textId="77777777">
        <w:trPr>
          <w:tblCellSpacing w:w="15" w:type="dxa"/>
        </w:trPr>
        <w:tc>
          <w:tcPr>
            <w:tcW w:w="0" w:type="auto"/>
            <w:vAlign w:val="center"/>
            <w:hideMark/>
          </w:tcPr>
          <w:p w14:paraId="2F8A971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E911</w:t>
            </w:r>
          </w:p>
        </w:tc>
        <w:tc>
          <w:tcPr>
            <w:tcW w:w="0" w:type="auto"/>
            <w:vAlign w:val="center"/>
            <w:hideMark/>
          </w:tcPr>
          <w:p w14:paraId="72D27B02"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Enhanced 911 emergency location service</w:t>
            </w:r>
          </w:p>
        </w:tc>
      </w:tr>
      <w:tr w:rsidR="003E4E83" w:rsidRPr="003E4E83" w14:paraId="02EF2692" w14:textId="77777777">
        <w:trPr>
          <w:tblCellSpacing w:w="15" w:type="dxa"/>
        </w:trPr>
        <w:tc>
          <w:tcPr>
            <w:tcW w:w="0" w:type="auto"/>
            <w:vAlign w:val="center"/>
            <w:hideMark/>
          </w:tcPr>
          <w:p w14:paraId="35C9B464" w14:textId="77777777" w:rsidR="003E4E83" w:rsidRPr="003E4E83" w:rsidRDefault="003E4E83" w:rsidP="003E4E83">
            <w:pPr>
              <w:spacing w:after="0" w:line="240" w:lineRule="auto"/>
              <w:rPr>
                <w:rFonts w:eastAsia="Times New Roman" w:cs="Times New Roman"/>
                <w:kern w:val="0"/>
                <w14:ligatures w14:val="none"/>
              </w:rPr>
            </w:pPr>
            <w:proofErr w:type="spellStart"/>
            <w:r w:rsidRPr="003E4E83">
              <w:rPr>
                <w:rFonts w:eastAsia="Times New Roman" w:cs="Times New Roman"/>
                <w:b/>
                <w:bCs/>
                <w:kern w:val="0"/>
                <w14:ligatures w14:val="none"/>
              </w:rPr>
              <w:t>FWaaS</w:t>
            </w:r>
            <w:proofErr w:type="spellEnd"/>
          </w:p>
        </w:tc>
        <w:tc>
          <w:tcPr>
            <w:tcW w:w="0" w:type="auto"/>
            <w:vAlign w:val="center"/>
            <w:hideMark/>
          </w:tcPr>
          <w:p w14:paraId="161A1D9F"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Firewall as a Service</w:t>
            </w:r>
          </w:p>
        </w:tc>
      </w:tr>
      <w:tr w:rsidR="003E4E83" w:rsidRPr="003E4E83" w14:paraId="3EA4A838" w14:textId="77777777">
        <w:trPr>
          <w:tblCellSpacing w:w="15" w:type="dxa"/>
        </w:trPr>
        <w:tc>
          <w:tcPr>
            <w:tcW w:w="0" w:type="auto"/>
            <w:vAlign w:val="center"/>
            <w:hideMark/>
          </w:tcPr>
          <w:p w14:paraId="2BA75F4B"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GCC</w:t>
            </w:r>
          </w:p>
        </w:tc>
        <w:tc>
          <w:tcPr>
            <w:tcW w:w="0" w:type="auto"/>
            <w:vAlign w:val="center"/>
            <w:hideMark/>
          </w:tcPr>
          <w:p w14:paraId="4EFF9930"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Government Community Cloud</w:t>
            </w:r>
          </w:p>
        </w:tc>
      </w:tr>
      <w:tr w:rsidR="003E4E83" w:rsidRPr="003E4E83" w14:paraId="78BA0A7A" w14:textId="77777777">
        <w:trPr>
          <w:tblCellSpacing w:w="15" w:type="dxa"/>
        </w:trPr>
        <w:tc>
          <w:tcPr>
            <w:tcW w:w="0" w:type="auto"/>
            <w:vAlign w:val="center"/>
            <w:hideMark/>
          </w:tcPr>
          <w:p w14:paraId="4DD647C1"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GCC</w:t>
            </w:r>
            <w:r w:rsidRPr="003E4E83">
              <w:rPr>
                <w:rFonts w:eastAsia="Times New Roman" w:cs="Times New Roman"/>
                <w:b/>
                <w:bCs/>
                <w:kern w:val="0"/>
                <w14:ligatures w14:val="none"/>
              </w:rPr>
              <w:noBreakHyphen/>
              <w:t>Moderate</w:t>
            </w:r>
          </w:p>
        </w:tc>
        <w:tc>
          <w:tcPr>
            <w:tcW w:w="0" w:type="auto"/>
            <w:vAlign w:val="center"/>
            <w:hideMark/>
          </w:tcPr>
          <w:p w14:paraId="308BA80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Government Community Cloud Moderate impact level</w:t>
            </w:r>
          </w:p>
        </w:tc>
      </w:tr>
      <w:tr w:rsidR="003E4E83" w:rsidRPr="003E4E83" w14:paraId="5B9DCF6C" w14:textId="77777777">
        <w:trPr>
          <w:tblCellSpacing w:w="15" w:type="dxa"/>
        </w:trPr>
        <w:tc>
          <w:tcPr>
            <w:tcW w:w="0" w:type="auto"/>
            <w:vAlign w:val="center"/>
            <w:hideMark/>
          </w:tcPr>
          <w:p w14:paraId="1430E6C7"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IAM</w:t>
            </w:r>
          </w:p>
        </w:tc>
        <w:tc>
          <w:tcPr>
            <w:tcW w:w="0" w:type="auto"/>
            <w:vAlign w:val="center"/>
            <w:hideMark/>
          </w:tcPr>
          <w:p w14:paraId="33122EE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Identity and Access Management</w:t>
            </w:r>
          </w:p>
        </w:tc>
      </w:tr>
      <w:tr w:rsidR="003E4E83" w:rsidRPr="003E4E83" w14:paraId="4A9B411B" w14:textId="77777777">
        <w:trPr>
          <w:tblCellSpacing w:w="15" w:type="dxa"/>
        </w:trPr>
        <w:tc>
          <w:tcPr>
            <w:tcW w:w="0" w:type="auto"/>
            <w:vAlign w:val="center"/>
            <w:hideMark/>
          </w:tcPr>
          <w:p w14:paraId="502B3FF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INR</w:t>
            </w:r>
          </w:p>
        </w:tc>
        <w:tc>
          <w:tcPr>
            <w:tcW w:w="0" w:type="auto"/>
            <w:vAlign w:val="center"/>
            <w:hideMark/>
          </w:tcPr>
          <w:p w14:paraId="2641EFDA"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Intelligent Network Routing (Microsoft 365 INR)</w:t>
            </w:r>
          </w:p>
        </w:tc>
      </w:tr>
      <w:tr w:rsidR="003E4E83" w:rsidRPr="003E4E83" w14:paraId="32301DBB" w14:textId="77777777">
        <w:trPr>
          <w:tblCellSpacing w:w="15" w:type="dxa"/>
        </w:trPr>
        <w:tc>
          <w:tcPr>
            <w:tcW w:w="0" w:type="auto"/>
            <w:vAlign w:val="center"/>
            <w:hideMark/>
          </w:tcPr>
          <w:p w14:paraId="411D8A84"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IPAM</w:t>
            </w:r>
          </w:p>
        </w:tc>
        <w:tc>
          <w:tcPr>
            <w:tcW w:w="0" w:type="auto"/>
            <w:vAlign w:val="center"/>
            <w:hideMark/>
          </w:tcPr>
          <w:p w14:paraId="2557BE66"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IP Address Management</w:t>
            </w:r>
          </w:p>
        </w:tc>
      </w:tr>
      <w:tr w:rsidR="003E4E83" w:rsidRPr="003E4E83" w14:paraId="766541DC" w14:textId="77777777">
        <w:trPr>
          <w:tblCellSpacing w:w="15" w:type="dxa"/>
        </w:trPr>
        <w:tc>
          <w:tcPr>
            <w:tcW w:w="0" w:type="auto"/>
            <w:vAlign w:val="center"/>
            <w:hideMark/>
          </w:tcPr>
          <w:p w14:paraId="7AF15E21"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ISR</w:t>
            </w:r>
          </w:p>
        </w:tc>
        <w:tc>
          <w:tcPr>
            <w:tcW w:w="0" w:type="auto"/>
            <w:vAlign w:val="center"/>
            <w:hideMark/>
          </w:tcPr>
          <w:p w14:paraId="18B517F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Incident Response (contextual)</w:t>
            </w:r>
          </w:p>
        </w:tc>
      </w:tr>
      <w:tr w:rsidR="003E4E83" w:rsidRPr="003E4E83" w14:paraId="4BABFF56" w14:textId="77777777">
        <w:trPr>
          <w:tblCellSpacing w:w="15" w:type="dxa"/>
        </w:trPr>
        <w:tc>
          <w:tcPr>
            <w:tcW w:w="0" w:type="auto"/>
            <w:vAlign w:val="center"/>
            <w:hideMark/>
          </w:tcPr>
          <w:p w14:paraId="259C7AAD"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JWT</w:t>
            </w:r>
          </w:p>
        </w:tc>
        <w:tc>
          <w:tcPr>
            <w:tcW w:w="0" w:type="auto"/>
            <w:vAlign w:val="center"/>
            <w:hideMark/>
          </w:tcPr>
          <w:p w14:paraId="7F1B0C1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JSON Web Token</w:t>
            </w:r>
          </w:p>
        </w:tc>
      </w:tr>
      <w:tr w:rsidR="003E4E83" w:rsidRPr="003E4E83" w14:paraId="3D61C42D" w14:textId="77777777">
        <w:trPr>
          <w:tblCellSpacing w:w="15" w:type="dxa"/>
        </w:trPr>
        <w:tc>
          <w:tcPr>
            <w:tcW w:w="0" w:type="auto"/>
            <w:vAlign w:val="center"/>
            <w:hideMark/>
          </w:tcPr>
          <w:p w14:paraId="206F619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MFA</w:t>
            </w:r>
          </w:p>
        </w:tc>
        <w:tc>
          <w:tcPr>
            <w:tcW w:w="0" w:type="auto"/>
            <w:vAlign w:val="center"/>
            <w:hideMark/>
          </w:tcPr>
          <w:p w14:paraId="6BFF54B6"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Multi</w:t>
            </w:r>
            <w:r w:rsidRPr="003E4E83">
              <w:rPr>
                <w:rFonts w:eastAsia="Times New Roman" w:cs="Times New Roman"/>
                <w:kern w:val="0"/>
                <w14:ligatures w14:val="none"/>
              </w:rPr>
              <w:noBreakHyphen/>
              <w:t>Factor Authentication</w:t>
            </w:r>
          </w:p>
        </w:tc>
      </w:tr>
      <w:tr w:rsidR="003E4E83" w:rsidRPr="003E4E83" w14:paraId="6890F877" w14:textId="77777777">
        <w:trPr>
          <w:tblCellSpacing w:w="15" w:type="dxa"/>
        </w:trPr>
        <w:tc>
          <w:tcPr>
            <w:tcW w:w="0" w:type="auto"/>
            <w:vAlign w:val="center"/>
            <w:hideMark/>
          </w:tcPr>
          <w:p w14:paraId="6AAFC823" w14:textId="77777777" w:rsidR="003E4E83" w:rsidRPr="003E4E83" w:rsidRDefault="003E4E83" w:rsidP="003E4E83">
            <w:pPr>
              <w:spacing w:after="0" w:line="240" w:lineRule="auto"/>
              <w:rPr>
                <w:rFonts w:eastAsia="Times New Roman" w:cs="Times New Roman"/>
                <w:kern w:val="0"/>
                <w14:ligatures w14:val="none"/>
              </w:rPr>
            </w:pPr>
            <w:proofErr w:type="spellStart"/>
            <w:r w:rsidRPr="003E4E83">
              <w:rPr>
                <w:rFonts w:eastAsia="Times New Roman" w:cs="Times New Roman"/>
                <w:b/>
                <w:bCs/>
                <w:kern w:val="0"/>
                <w14:ligatures w14:val="none"/>
              </w:rPr>
              <w:t>mTLS</w:t>
            </w:r>
            <w:proofErr w:type="spellEnd"/>
          </w:p>
        </w:tc>
        <w:tc>
          <w:tcPr>
            <w:tcW w:w="0" w:type="auto"/>
            <w:vAlign w:val="center"/>
            <w:hideMark/>
          </w:tcPr>
          <w:p w14:paraId="749DE617"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Mutual Transport Layer Security</w:t>
            </w:r>
          </w:p>
        </w:tc>
      </w:tr>
      <w:tr w:rsidR="003E4E83" w:rsidRPr="003E4E83" w14:paraId="5D638A62" w14:textId="77777777">
        <w:trPr>
          <w:tblCellSpacing w:w="15" w:type="dxa"/>
        </w:trPr>
        <w:tc>
          <w:tcPr>
            <w:tcW w:w="0" w:type="auto"/>
            <w:vAlign w:val="center"/>
            <w:hideMark/>
          </w:tcPr>
          <w:p w14:paraId="1C98CDAA"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NAC</w:t>
            </w:r>
          </w:p>
        </w:tc>
        <w:tc>
          <w:tcPr>
            <w:tcW w:w="0" w:type="auto"/>
            <w:vAlign w:val="center"/>
            <w:hideMark/>
          </w:tcPr>
          <w:p w14:paraId="2D16C3D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Network Access Control</w:t>
            </w:r>
          </w:p>
        </w:tc>
      </w:tr>
      <w:tr w:rsidR="003E4E83" w:rsidRPr="003E4E83" w14:paraId="4C60786F" w14:textId="77777777">
        <w:trPr>
          <w:tblCellSpacing w:w="15" w:type="dxa"/>
        </w:trPr>
        <w:tc>
          <w:tcPr>
            <w:tcW w:w="0" w:type="auto"/>
            <w:vAlign w:val="center"/>
            <w:hideMark/>
          </w:tcPr>
          <w:p w14:paraId="4EC0C0CB"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NPE</w:t>
            </w:r>
          </w:p>
        </w:tc>
        <w:tc>
          <w:tcPr>
            <w:tcW w:w="0" w:type="auto"/>
            <w:vAlign w:val="center"/>
            <w:hideMark/>
          </w:tcPr>
          <w:p w14:paraId="53B11ADD"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Non</w:t>
            </w:r>
            <w:r w:rsidRPr="003E4E83">
              <w:rPr>
                <w:rFonts w:eastAsia="Times New Roman" w:cs="Times New Roman"/>
                <w:kern w:val="0"/>
                <w14:ligatures w14:val="none"/>
              </w:rPr>
              <w:noBreakHyphen/>
              <w:t>Person Entity</w:t>
            </w:r>
          </w:p>
        </w:tc>
      </w:tr>
      <w:tr w:rsidR="003E4E83" w:rsidRPr="003E4E83" w14:paraId="154824F5" w14:textId="77777777">
        <w:trPr>
          <w:tblCellSpacing w:w="15" w:type="dxa"/>
        </w:trPr>
        <w:tc>
          <w:tcPr>
            <w:tcW w:w="0" w:type="auto"/>
            <w:vAlign w:val="center"/>
            <w:hideMark/>
          </w:tcPr>
          <w:p w14:paraId="2BF9269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OIDC</w:t>
            </w:r>
          </w:p>
        </w:tc>
        <w:tc>
          <w:tcPr>
            <w:tcW w:w="0" w:type="auto"/>
            <w:vAlign w:val="center"/>
            <w:hideMark/>
          </w:tcPr>
          <w:p w14:paraId="104A811E"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OpenID Connect</w:t>
            </w:r>
          </w:p>
        </w:tc>
      </w:tr>
      <w:tr w:rsidR="003E4E83" w:rsidRPr="003E4E83" w14:paraId="6E92C2DF" w14:textId="77777777">
        <w:trPr>
          <w:tblCellSpacing w:w="15" w:type="dxa"/>
        </w:trPr>
        <w:tc>
          <w:tcPr>
            <w:tcW w:w="0" w:type="auto"/>
            <w:vAlign w:val="center"/>
            <w:hideMark/>
          </w:tcPr>
          <w:p w14:paraId="0BBE824E"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OAuth</w:t>
            </w:r>
          </w:p>
        </w:tc>
        <w:tc>
          <w:tcPr>
            <w:tcW w:w="0" w:type="auto"/>
            <w:vAlign w:val="center"/>
            <w:hideMark/>
          </w:tcPr>
          <w:p w14:paraId="26999FC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Open Authorization</w:t>
            </w:r>
          </w:p>
        </w:tc>
      </w:tr>
      <w:tr w:rsidR="003E4E83" w:rsidRPr="003E4E83" w14:paraId="409594FA" w14:textId="77777777">
        <w:trPr>
          <w:tblCellSpacing w:w="15" w:type="dxa"/>
        </w:trPr>
        <w:tc>
          <w:tcPr>
            <w:tcW w:w="0" w:type="auto"/>
            <w:vAlign w:val="center"/>
            <w:hideMark/>
          </w:tcPr>
          <w:p w14:paraId="0F4AC65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QoS</w:t>
            </w:r>
          </w:p>
        </w:tc>
        <w:tc>
          <w:tcPr>
            <w:tcW w:w="0" w:type="auto"/>
            <w:vAlign w:val="center"/>
            <w:hideMark/>
          </w:tcPr>
          <w:p w14:paraId="42A7F602"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Quality of Service</w:t>
            </w:r>
          </w:p>
        </w:tc>
      </w:tr>
      <w:tr w:rsidR="003E4E83" w:rsidRPr="003E4E83" w14:paraId="4A75B6D6" w14:textId="77777777">
        <w:trPr>
          <w:tblCellSpacing w:w="15" w:type="dxa"/>
        </w:trPr>
        <w:tc>
          <w:tcPr>
            <w:tcW w:w="0" w:type="auto"/>
            <w:vAlign w:val="center"/>
            <w:hideMark/>
          </w:tcPr>
          <w:p w14:paraId="45810406"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RSVP</w:t>
            </w:r>
            <w:r w:rsidRPr="003E4E83">
              <w:rPr>
                <w:rFonts w:eastAsia="Times New Roman" w:cs="Times New Roman"/>
                <w:b/>
                <w:bCs/>
                <w:kern w:val="0"/>
                <w14:ligatures w14:val="none"/>
              </w:rPr>
              <w:noBreakHyphen/>
              <w:t>TE</w:t>
            </w:r>
          </w:p>
        </w:tc>
        <w:tc>
          <w:tcPr>
            <w:tcW w:w="0" w:type="auto"/>
            <w:vAlign w:val="center"/>
            <w:hideMark/>
          </w:tcPr>
          <w:p w14:paraId="018445C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Resource Reservation Protocol Traffic Engineering</w:t>
            </w:r>
          </w:p>
        </w:tc>
      </w:tr>
      <w:tr w:rsidR="003E4E83" w:rsidRPr="003E4E83" w14:paraId="2DEFF872" w14:textId="77777777">
        <w:trPr>
          <w:tblCellSpacing w:w="15" w:type="dxa"/>
        </w:trPr>
        <w:tc>
          <w:tcPr>
            <w:tcW w:w="0" w:type="auto"/>
            <w:vAlign w:val="center"/>
            <w:hideMark/>
          </w:tcPr>
          <w:p w14:paraId="20F41DE4"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SASE</w:t>
            </w:r>
          </w:p>
        </w:tc>
        <w:tc>
          <w:tcPr>
            <w:tcW w:w="0" w:type="auto"/>
            <w:vAlign w:val="center"/>
            <w:hideMark/>
          </w:tcPr>
          <w:p w14:paraId="502B733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Secure Access Service Edge</w:t>
            </w:r>
          </w:p>
        </w:tc>
      </w:tr>
      <w:tr w:rsidR="003E4E83" w:rsidRPr="003E4E83" w14:paraId="08F9CB0D" w14:textId="77777777">
        <w:trPr>
          <w:tblCellSpacing w:w="15" w:type="dxa"/>
        </w:trPr>
        <w:tc>
          <w:tcPr>
            <w:tcW w:w="0" w:type="auto"/>
            <w:vAlign w:val="center"/>
            <w:hideMark/>
          </w:tcPr>
          <w:p w14:paraId="6A1B03BB"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SDN</w:t>
            </w:r>
          </w:p>
        </w:tc>
        <w:tc>
          <w:tcPr>
            <w:tcW w:w="0" w:type="auto"/>
            <w:vAlign w:val="center"/>
            <w:hideMark/>
          </w:tcPr>
          <w:p w14:paraId="296B005D"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Software</w:t>
            </w:r>
            <w:r w:rsidRPr="003E4E83">
              <w:rPr>
                <w:rFonts w:eastAsia="Times New Roman" w:cs="Times New Roman"/>
                <w:kern w:val="0"/>
                <w14:ligatures w14:val="none"/>
              </w:rPr>
              <w:noBreakHyphen/>
              <w:t>Defined Networking</w:t>
            </w:r>
          </w:p>
        </w:tc>
      </w:tr>
      <w:tr w:rsidR="003E4E83" w:rsidRPr="003E4E83" w14:paraId="161D1F95" w14:textId="77777777">
        <w:trPr>
          <w:tblCellSpacing w:w="15" w:type="dxa"/>
        </w:trPr>
        <w:tc>
          <w:tcPr>
            <w:tcW w:w="0" w:type="auto"/>
            <w:vAlign w:val="center"/>
            <w:hideMark/>
          </w:tcPr>
          <w:p w14:paraId="71EF6E56"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SD</w:t>
            </w:r>
            <w:r w:rsidRPr="003E4E83">
              <w:rPr>
                <w:rFonts w:eastAsia="Times New Roman" w:cs="Times New Roman"/>
                <w:b/>
                <w:bCs/>
                <w:kern w:val="0"/>
                <w14:ligatures w14:val="none"/>
              </w:rPr>
              <w:noBreakHyphen/>
              <w:t>WAN</w:t>
            </w:r>
          </w:p>
        </w:tc>
        <w:tc>
          <w:tcPr>
            <w:tcW w:w="0" w:type="auto"/>
            <w:vAlign w:val="center"/>
            <w:hideMark/>
          </w:tcPr>
          <w:p w14:paraId="0968D76D"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Software</w:t>
            </w:r>
            <w:r w:rsidRPr="003E4E83">
              <w:rPr>
                <w:rFonts w:eastAsia="Times New Roman" w:cs="Times New Roman"/>
                <w:kern w:val="0"/>
                <w14:ligatures w14:val="none"/>
              </w:rPr>
              <w:noBreakHyphen/>
              <w:t>Defined Wide Area Networking</w:t>
            </w:r>
          </w:p>
        </w:tc>
      </w:tr>
      <w:tr w:rsidR="003E4E83" w:rsidRPr="003E4E83" w14:paraId="62B3FBE1" w14:textId="77777777">
        <w:trPr>
          <w:tblCellSpacing w:w="15" w:type="dxa"/>
        </w:trPr>
        <w:tc>
          <w:tcPr>
            <w:tcW w:w="0" w:type="auto"/>
            <w:vAlign w:val="center"/>
            <w:hideMark/>
          </w:tcPr>
          <w:p w14:paraId="7651465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SHA</w:t>
            </w:r>
          </w:p>
        </w:tc>
        <w:tc>
          <w:tcPr>
            <w:tcW w:w="0" w:type="auto"/>
            <w:vAlign w:val="center"/>
            <w:hideMark/>
          </w:tcPr>
          <w:p w14:paraId="2704155B"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Secure Hash Algorithm (contextual)</w:t>
            </w:r>
          </w:p>
        </w:tc>
      </w:tr>
      <w:tr w:rsidR="003E4E83" w:rsidRPr="003E4E83" w14:paraId="0E49450A" w14:textId="77777777">
        <w:trPr>
          <w:tblCellSpacing w:w="15" w:type="dxa"/>
        </w:trPr>
        <w:tc>
          <w:tcPr>
            <w:tcW w:w="0" w:type="auto"/>
            <w:vAlign w:val="center"/>
            <w:hideMark/>
          </w:tcPr>
          <w:p w14:paraId="2DD2CCF1"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SLA</w:t>
            </w:r>
          </w:p>
        </w:tc>
        <w:tc>
          <w:tcPr>
            <w:tcW w:w="0" w:type="auto"/>
            <w:vAlign w:val="center"/>
            <w:hideMark/>
          </w:tcPr>
          <w:p w14:paraId="0B0D0A1A"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Service Level Agreement</w:t>
            </w:r>
          </w:p>
        </w:tc>
      </w:tr>
      <w:tr w:rsidR="003E4E83" w:rsidRPr="003E4E83" w14:paraId="31660D96" w14:textId="77777777">
        <w:trPr>
          <w:tblCellSpacing w:w="15" w:type="dxa"/>
        </w:trPr>
        <w:tc>
          <w:tcPr>
            <w:tcW w:w="0" w:type="auto"/>
            <w:vAlign w:val="center"/>
            <w:hideMark/>
          </w:tcPr>
          <w:p w14:paraId="2BEA4FF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SPIFFE</w:t>
            </w:r>
          </w:p>
        </w:tc>
        <w:tc>
          <w:tcPr>
            <w:tcW w:w="0" w:type="auto"/>
            <w:vAlign w:val="center"/>
            <w:hideMark/>
          </w:tcPr>
          <w:p w14:paraId="5709E36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Secure Production Identity Framework for Everyone</w:t>
            </w:r>
          </w:p>
        </w:tc>
      </w:tr>
      <w:tr w:rsidR="003E4E83" w:rsidRPr="003E4E83" w14:paraId="2566DE25" w14:textId="77777777">
        <w:trPr>
          <w:tblCellSpacing w:w="15" w:type="dxa"/>
        </w:trPr>
        <w:tc>
          <w:tcPr>
            <w:tcW w:w="0" w:type="auto"/>
            <w:vAlign w:val="center"/>
            <w:hideMark/>
          </w:tcPr>
          <w:p w14:paraId="3323F02F"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SPIRE</w:t>
            </w:r>
          </w:p>
        </w:tc>
        <w:tc>
          <w:tcPr>
            <w:tcW w:w="0" w:type="auto"/>
            <w:vAlign w:val="center"/>
            <w:hideMark/>
          </w:tcPr>
          <w:p w14:paraId="04C219DD"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SPIFFE Runtime Environment</w:t>
            </w:r>
          </w:p>
        </w:tc>
      </w:tr>
      <w:tr w:rsidR="003E4E83" w:rsidRPr="003E4E83" w14:paraId="50E90E3D" w14:textId="77777777">
        <w:trPr>
          <w:tblCellSpacing w:w="15" w:type="dxa"/>
        </w:trPr>
        <w:tc>
          <w:tcPr>
            <w:tcW w:w="0" w:type="auto"/>
            <w:vAlign w:val="center"/>
            <w:hideMark/>
          </w:tcPr>
          <w:p w14:paraId="76650762"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SR</w:t>
            </w:r>
            <w:r w:rsidRPr="003E4E83">
              <w:rPr>
                <w:rFonts w:eastAsia="Times New Roman" w:cs="Times New Roman"/>
                <w:b/>
                <w:bCs/>
                <w:kern w:val="0"/>
                <w14:ligatures w14:val="none"/>
              </w:rPr>
              <w:noBreakHyphen/>
              <w:t>TE</w:t>
            </w:r>
          </w:p>
        </w:tc>
        <w:tc>
          <w:tcPr>
            <w:tcW w:w="0" w:type="auto"/>
            <w:vAlign w:val="center"/>
            <w:hideMark/>
          </w:tcPr>
          <w:p w14:paraId="1CD9218E"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Segment Routing Traffic Engineering</w:t>
            </w:r>
          </w:p>
        </w:tc>
      </w:tr>
      <w:tr w:rsidR="003E4E83" w:rsidRPr="003E4E83" w14:paraId="71F34FEE" w14:textId="77777777">
        <w:trPr>
          <w:tblCellSpacing w:w="15" w:type="dxa"/>
        </w:trPr>
        <w:tc>
          <w:tcPr>
            <w:tcW w:w="0" w:type="auto"/>
            <w:vAlign w:val="center"/>
            <w:hideMark/>
          </w:tcPr>
          <w:p w14:paraId="17D4293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SRV</w:t>
            </w:r>
          </w:p>
        </w:tc>
        <w:tc>
          <w:tcPr>
            <w:tcW w:w="0" w:type="auto"/>
            <w:vAlign w:val="center"/>
            <w:hideMark/>
          </w:tcPr>
          <w:p w14:paraId="413D911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Service record in DNS used for service discovery</w:t>
            </w:r>
          </w:p>
        </w:tc>
      </w:tr>
      <w:tr w:rsidR="003E4E83" w:rsidRPr="003E4E83" w14:paraId="4C714F66" w14:textId="77777777">
        <w:trPr>
          <w:tblCellSpacing w:w="15" w:type="dxa"/>
        </w:trPr>
        <w:tc>
          <w:tcPr>
            <w:tcW w:w="0" w:type="auto"/>
            <w:vAlign w:val="center"/>
            <w:hideMark/>
          </w:tcPr>
          <w:p w14:paraId="1E4E48FC"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TLS</w:t>
            </w:r>
          </w:p>
        </w:tc>
        <w:tc>
          <w:tcPr>
            <w:tcW w:w="0" w:type="auto"/>
            <w:vAlign w:val="center"/>
            <w:hideMark/>
          </w:tcPr>
          <w:p w14:paraId="3C52B83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Transport Layer Security</w:t>
            </w:r>
          </w:p>
        </w:tc>
      </w:tr>
      <w:tr w:rsidR="003E4E83" w:rsidRPr="003E4E83" w14:paraId="449E3894" w14:textId="77777777">
        <w:trPr>
          <w:tblCellSpacing w:w="15" w:type="dxa"/>
        </w:trPr>
        <w:tc>
          <w:tcPr>
            <w:tcW w:w="0" w:type="auto"/>
            <w:vAlign w:val="center"/>
            <w:hideMark/>
          </w:tcPr>
          <w:p w14:paraId="31FFD1D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TIC 3.0</w:t>
            </w:r>
          </w:p>
        </w:tc>
        <w:tc>
          <w:tcPr>
            <w:tcW w:w="0" w:type="auto"/>
            <w:vAlign w:val="center"/>
            <w:hideMark/>
          </w:tcPr>
          <w:p w14:paraId="3E224AD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Trusted Internet Connections version 3.0</w:t>
            </w:r>
          </w:p>
        </w:tc>
      </w:tr>
      <w:tr w:rsidR="003E4E83" w:rsidRPr="003E4E83" w14:paraId="495D090F" w14:textId="77777777">
        <w:trPr>
          <w:tblCellSpacing w:w="15" w:type="dxa"/>
        </w:trPr>
        <w:tc>
          <w:tcPr>
            <w:tcW w:w="0" w:type="auto"/>
            <w:vAlign w:val="center"/>
            <w:hideMark/>
          </w:tcPr>
          <w:p w14:paraId="04ED6621"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UDP</w:t>
            </w:r>
          </w:p>
        </w:tc>
        <w:tc>
          <w:tcPr>
            <w:tcW w:w="0" w:type="auto"/>
            <w:vAlign w:val="center"/>
            <w:hideMark/>
          </w:tcPr>
          <w:p w14:paraId="2273A3BB"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User Datagram Protocol</w:t>
            </w:r>
          </w:p>
        </w:tc>
      </w:tr>
      <w:tr w:rsidR="003E4E83" w:rsidRPr="003E4E83" w14:paraId="306E085D" w14:textId="77777777">
        <w:trPr>
          <w:tblCellSpacing w:w="15" w:type="dxa"/>
        </w:trPr>
        <w:tc>
          <w:tcPr>
            <w:tcW w:w="0" w:type="auto"/>
            <w:vAlign w:val="center"/>
            <w:hideMark/>
          </w:tcPr>
          <w:p w14:paraId="1131734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URL</w:t>
            </w:r>
          </w:p>
        </w:tc>
        <w:tc>
          <w:tcPr>
            <w:tcW w:w="0" w:type="auto"/>
            <w:vAlign w:val="center"/>
            <w:hideMark/>
          </w:tcPr>
          <w:p w14:paraId="311FEA5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Uniform Resource Locator</w:t>
            </w:r>
          </w:p>
        </w:tc>
      </w:tr>
      <w:tr w:rsidR="003E4E83" w:rsidRPr="003E4E83" w14:paraId="1973C552" w14:textId="77777777">
        <w:trPr>
          <w:tblCellSpacing w:w="15" w:type="dxa"/>
        </w:trPr>
        <w:tc>
          <w:tcPr>
            <w:tcW w:w="0" w:type="auto"/>
            <w:vAlign w:val="center"/>
            <w:hideMark/>
          </w:tcPr>
          <w:p w14:paraId="08439BD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VXLAN</w:t>
            </w:r>
          </w:p>
        </w:tc>
        <w:tc>
          <w:tcPr>
            <w:tcW w:w="0" w:type="auto"/>
            <w:vAlign w:val="center"/>
            <w:hideMark/>
          </w:tcPr>
          <w:p w14:paraId="24BD9E6F"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Virtual Extensible LAN</w:t>
            </w:r>
          </w:p>
        </w:tc>
      </w:tr>
      <w:tr w:rsidR="003E4E83" w:rsidRPr="003E4E83" w14:paraId="48FAD85B" w14:textId="77777777">
        <w:trPr>
          <w:tblCellSpacing w:w="15" w:type="dxa"/>
        </w:trPr>
        <w:tc>
          <w:tcPr>
            <w:tcW w:w="0" w:type="auto"/>
            <w:vAlign w:val="center"/>
            <w:hideMark/>
          </w:tcPr>
          <w:p w14:paraId="096588B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VPN</w:t>
            </w:r>
          </w:p>
        </w:tc>
        <w:tc>
          <w:tcPr>
            <w:tcW w:w="0" w:type="auto"/>
            <w:vAlign w:val="center"/>
            <w:hideMark/>
          </w:tcPr>
          <w:p w14:paraId="173AE1F3"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Virtual Private Network</w:t>
            </w:r>
          </w:p>
        </w:tc>
      </w:tr>
      <w:tr w:rsidR="003E4E83" w:rsidRPr="003E4E83" w14:paraId="2D8342E2" w14:textId="77777777">
        <w:trPr>
          <w:tblCellSpacing w:w="15" w:type="dxa"/>
        </w:trPr>
        <w:tc>
          <w:tcPr>
            <w:tcW w:w="0" w:type="auto"/>
            <w:vAlign w:val="center"/>
            <w:hideMark/>
          </w:tcPr>
          <w:p w14:paraId="5A4AF3EC"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b/>
                <w:bCs/>
                <w:kern w:val="0"/>
                <w14:ligatures w14:val="none"/>
              </w:rPr>
              <w:t>ZTNA</w:t>
            </w:r>
          </w:p>
        </w:tc>
        <w:tc>
          <w:tcPr>
            <w:tcW w:w="0" w:type="auto"/>
            <w:vAlign w:val="center"/>
            <w:hideMark/>
          </w:tcPr>
          <w:p w14:paraId="087C8EE9"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t>Zero Trust Network Access</w:t>
            </w:r>
          </w:p>
        </w:tc>
      </w:tr>
    </w:tbl>
    <w:p w14:paraId="1FA9A175"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pict w14:anchorId="15A27309">
          <v:rect id="_x0000_i1028" style="width:0;height:1.5pt" o:hralign="center" o:hrstd="t" o:hr="t" fillcolor="#a0a0a0" stroked="f"/>
        </w:pict>
      </w:r>
    </w:p>
    <w:p w14:paraId="49A3D8AD" w14:textId="77777777" w:rsidR="003E4E83" w:rsidRPr="003E4E83" w:rsidRDefault="003E4E83" w:rsidP="003E4E83">
      <w:pPr>
        <w:spacing w:before="100" w:beforeAutospacing="1" w:after="100" w:afterAutospacing="1" w:line="240" w:lineRule="auto"/>
        <w:outlineLvl w:val="1"/>
        <w:rPr>
          <w:rFonts w:eastAsia="Times New Roman" w:cs="Times New Roman"/>
          <w:b/>
          <w:bCs/>
          <w:kern w:val="0"/>
          <w:sz w:val="36"/>
          <w:szCs w:val="36"/>
          <w14:ligatures w14:val="none"/>
        </w:rPr>
      </w:pPr>
      <w:r w:rsidRPr="003E4E83">
        <w:rPr>
          <w:rFonts w:eastAsia="Times New Roman" w:cs="Times New Roman"/>
          <w:b/>
          <w:bCs/>
          <w:kern w:val="0"/>
          <w:sz w:val="36"/>
          <w:szCs w:val="36"/>
          <w14:ligatures w14:val="none"/>
        </w:rPr>
        <w:t>B.4 Protocols, Standards, and Program Notes</w:t>
      </w:r>
    </w:p>
    <w:p w14:paraId="2DBC3027"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SPIFFE and SPIRE</w:t>
      </w:r>
    </w:p>
    <w:p w14:paraId="279010B3" w14:textId="77777777" w:rsidR="003E4E83" w:rsidRPr="003E4E83" w:rsidRDefault="003E4E83" w:rsidP="003E4E83">
      <w:pPr>
        <w:numPr>
          <w:ilvl w:val="0"/>
          <w:numId w:val="1"/>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SPIFFE</w:t>
      </w:r>
      <w:r w:rsidRPr="003E4E83">
        <w:rPr>
          <w:rFonts w:eastAsia="Times New Roman" w:cs="Times New Roman"/>
          <w:kern w:val="0"/>
          <w14:ligatures w14:val="none"/>
        </w:rPr>
        <w:t xml:space="preserve"> (Secure Production Identity Framework for Everyone) defines a standard identity format for workloads.</w:t>
      </w:r>
    </w:p>
    <w:p w14:paraId="5CDD7645" w14:textId="77777777" w:rsidR="003E4E83" w:rsidRPr="003E4E83" w:rsidRDefault="003E4E83" w:rsidP="003E4E83">
      <w:pPr>
        <w:numPr>
          <w:ilvl w:val="0"/>
          <w:numId w:val="1"/>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SPIRE</w:t>
      </w:r>
      <w:r w:rsidRPr="003E4E83">
        <w:rPr>
          <w:rFonts w:eastAsia="Times New Roman" w:cs="Times New Roman"/>
          <w:kern w:val="0"/>
          <w14:ligatures w14:val="none"/>
        </w:rPr>
        <w:t xml:space="preserve"> (SPIFFE Runtime Environment) is the runtime that issues and rotates SPIFFE identities across distributed systems.</w:t>
      </w:r>
    </w:p>
    <w:p w14:paraId="370F2DB4"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SR</w:t>
      </w:r>
      <w:r w:rsidRPr="003E4E83">
        <w:rPr>
          <w:rFonts w:eastAsia="Times New Roman" w:cs="Times New Roman"/>
          <w:b/>
          <w:bCs/>
          <w:kern w:val="0"/>
          <w14:ligatures w14:val="none"/>
        </w:rPr>
        <w:noBreakHyphen/>
        <w:t>TE and MPLS</w:t>
      </w:r>
      <w:r w:rsidRPr="003E4E83">
        <w:rPr>
          <w:rFonts w:eastAsia="Times New Roman" w:cs="Times New Roman"/>
          <w:b/>
          <w:bCs/>
          <w:kern w:val="0"/>
          <w14:ligatures w14:val="none"/>
        </w:rPr>
        <w:noBreakHyphen/>
        <w:t>TE</w:t>
      </w:r>
    </w:p>
    <w:p w14:paraId="5C5916CC" w14:textId="77777777" w:rsidR="003E4E83" w:rsidRPr="003E4E83" w:rsidRDefault="003E4E83" w:rsidP="003E4E83">
      <w:pPr>
        <w:numPr>
          <w:ilvl w:val="0"/>
          <w:numId w:val="2"/>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SR</w:t>
      </w:r>
      <w:r w:rsidRPr="003E4E83">
        <w:rPr>
          <w:rFonts w:eastAsia="Times New Roman" w:cs="Times New Roman"/>
          <w:b/>
          <w:bCs/>
          <w:kern w:val="0"/>
          <w14:ligatures w14:val="none"/>
        </w:rPr>
        <w:noBreakHyphen/>
        <w:t>TE</w:t>
      </w:r>
      <w:r w:rsidRPr="003E4E83">
        <w:rPr>
          <w:rFonts w:eastAsia="Times New Roman" w:cs="Times New Roman"/>
          <w:kern w:val="0"/>
          <w14:ligatures w14:val="none"/>
        </w:rPr>
        <w:t xml:space="preserve"> (Segment Routing Traffic Engineering) encodes explicit path segments into packets for deterministic routing without per</w:t>
      </w:r>
      <w:r w:rsidRPr="003E4E83">
        <w:rPr>
          <w:rFonts w:eastAsia="Times New Roman" w:cs="Times New Roman"/>
          <w:kern w:val="0"/>
          <w14:ligatures w14:val="none"/>
        </w:rPr>
        <w:noBreakHyphen/>
        <w:t>hop signaling.</w:t>
      </w:r>
    </w:p>
    <w:p w14:paraId="60CC8A17" w14:textId="77777777" w:rsidR="003E4E83" w:rsidRPr="003E4E83" w:rsidRDefault="003E4E83" w:rsidP="003E4E83">
      <w:pPr>
        <w:numPr>
          <w:ilvl w:val="0"/>
          <w:numId w:val="2"/>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MPLS</w:t>
      </w:r>
      <w:r w:rsidRPr="003E4E83">
        <w:rPr>
          <w:rFonts w:eastAsia="Times New Roman" w:cs="Times New Roman"/>
          <w:b/>
          <w:bCs/>
          <w:kern w:val="0"/>
          <w14:ligatures w14:val="none"/>
        </w:rPr>
        <w:noBreakHyphen/>
        <w:t>TE</w:t>
      </w:r>
      <w:r w:rsidRPr="003E4E83">
        <w:rPr>
          <w:rFonts w:eastAsia="Times New Roman" w:cs="Times New Roman"/>
          <w:kern w:val="0"/>
          <w14:ligatures w14:val="none"/>
        </w:rPr>
        <w:t xml:space="preserve"> (Multiprotocol Label Switching Traffic Engineering) uses RSVP</w:t>
      </w:r>
      <w:r w:rsidRPr="003E4E83">
        <w:rPr>
          <w:rFonts w:eastAsia="Times New Roman" w:cs="Times New Roman"/>
          <w:kern w:val="0"/>
          <w14:ligatures w14:val="none"/>
        </w:rPr>
        <w:noBreakHyphen/>
        <w:t>TE signaling to reserve resources and build explicit Label Switched Paths.</w:t>
      </w:r>
    </w:p>
    <w:p w14:paraId="21DA8978"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OAuth, OpenID Connect, JWT</w:t>
      </w:r>
    </w:p>
    <w:p w14:paraId="57D896C3" w14:textId="77777777" w:rsidR="003E4E83" w:rsidRPr="003E4E83" w:rsidRDefault="003E4E83" w:rsidP="003E4E83">
      <w:pPr>
        <w:numPr>
          <w:ilvl w:val="0"/>
          <w:numId w:val="3"/>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OAuth</w:t>
      </w:r>
      <w:r w:rsidRPr="003E4E83">
        <w:rPr>
          <w:rFonts w:eastAsia="Times New Roman" w:cs="Times New Roman"/>
          <w:kern w:val="0"/>
          <w14:ligatures w14:val="none"/>
        </w:rPr>
        <w:t xml:space="preserve"> is an authorization framework for delegated access.</w:t>
      </w:r>
    </w:p>
    <w:p w14:paraId="2B1C8C56" w14:textId="77777777" w:rsidR="003E4E83" w:rsidRPr="003E4E83" w:rsidRDefault="003E4E83" w:rsidP="003E4E83">
      <w:pPr>
        <w:numPr>
          <w:ilvl w:val="0"/>
          <w:numId w:val="3"/>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OpenID Connect (OIDC)</w:t>
      </w:r>
      <w:r w:rsidRPr="003E4E83">
        <w:rPr>
          <w:rFonts w:eastAsia="Times New Roman" w:cs="Times New Roman"/>
          <w:kern w:val="0"/>
          <w14:ligatures w14:val="none"/>
        </w:rPr>
        <w:t xml:space="preserve"> is an identity layer on top of OAuth for authentication.</w:t>
      </w:r>
    </w:p>
    <w:p w14:paraId="01407C63" w14:textId="77777777" w:rsidR="003E4E83" w:rsidRPr="003E4E83" w:rsidRDefault="003E4E83" w:rsidP="003E4E83">
      <w:pPr>
        <w:numPr>
          <w:ilvl w:val="0"/>
          <w:numId w:val="3"/>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JSON Web Token (JWT)</w:t>
      </w:r>
      <w:r w:rsidRPr="003E4E83">
        <w:rPr>
          <w:rFonts w:eastAsia="Times New Roman" w:cs="Times New Roman"/>
          <w:kern w:val="0"/>
          <w14:ligatures w14:val="none"/>
        </w:rPr>
        <w:t xml:space="preserve"> is a compact, signed token format used for conveying identity and claims.</w:t>
      </w:r>
    </w:p>
    <w:p w14:paraId="21F09DD6"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FedRAMP</w:t>
      </w:r>
    </w:p>
    <w:p w14:paraId="26E3D33E" w14:textId="77777777" w:rsidR="003E4E83" w:rsidRPr="003E4E83" w:rsidRDefault="003E4E83" w:rsidP="003E4E83">
      <w:pPr>
        <w:numPr>
          <w:ilvl w:val="0"/>
          <w:numId w:val="4"/>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kern w:val="0"/>
          <w14:ligatures w14:val="none"/>
        </w:rPr>
        <w:t>The Federal Risk and Authorization Management Program (FedRAMP) provides standardized security assessment and authorization for cloud services. FedRAMP Moderate and FedRAMP High are common baselines for federal deployments and accelerate agency ATO processes.</w:t>
      </w:r>
    </w:p>
    <w:p w14:paraId="0D2BAEDB"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Microsoft 365 Intelligent Network Routing (INR)</w:t>
      </w:r>
    </w:p>
    <w:p w14:paraId="5FDFC1AA" w14:textId="77777777" w:rsidR="003E4E83" w:rsidRPr="003E4E83" w:rsidRDefault="003E4E83" w:rsidP="003E4E83">
      <w:pPr>
        <w:numPr>
          <w:ilvl w:val="0"/>
          <w:numId w:val="5"/>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kern w:val="0"/>
          <w14:ligatures w14:val="none"/>
        </w:rPr>
        <w:t>INR uses telemetry and location signals to select optimal network egress and pathing for Microsoft 365 services. INR requires telemetry and location services to be available to function effectively; restrictions in GCC</w:t>
      </w:r>
      <w:r w:rsidRPr="003E4E83">
        <w:rPr>
          <w:rFonts w:eastAsia="Times New Roman" w:cs="Times New Roman"/>
          <w:kern w:val="0"/>
          <w14:ligatures w14:val="none"/>
        </w:rPr>
        <w:noBreakHyphen/>
        <w:t>Moderate can prevent INR from delivering performance benefits.</w:t>
      </w:r>
    </w:p>
    <w:p w14:paraId="26157E7F"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TIC 3.0 Cloud Case</w:t>
      </w:r>
    </w:p>
    <w:p w14:paraId="21A2A74E" w14:textId="77777777" w:rsidR="003E4E83" w:rsidRPr="003E4E83" w:rsidRDefault="003E4E83" w:rsidP="003E4E83">
      <w:pPr>
        <w:numPr>
          <w:ilvl w:val="0"/>
          <w:numId w:val="6"/>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kern w:val="0"/>
          <w14:ligatures w14:val="none"/>
        </w:rPr>
        <w:t>The TIC 3.0 Cloud Case provides guidance for secure cloud connectivity and is a recommended starting point for SD</w:t>
      </w:r>
      <w:r w:rsidRPr="003E4E83">
        <w:rPr>
          <w:rFonts w:eastAsia="Times New Roman" w:cs="Times New Roman"/>
          <w:kern w:val="0"/>
          <w14:ligatures w14:val="none"/>
        </w:rPr>
        <w:noBreakHyphen/>
        <w:t>WAN and SASE deployments in federal contexts.</w:t>
      </w:r>
    </w:p>
    <w:p w14:paraId="77F914A7"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pict w14:anchorId="1423EE59">
          <v:rect id="_x0000_i1029" style="width:0;height:1.5pt" o:hralign="center" o:hrstd="t" o:hr="t" fillcolor="#a0a0a0" stroked="f"/>
        </w:pict>
      </w:r>
    </w:p>
    <w:p w14:paraId="299A4926" w14:textId="77777777" w:rsidR="003E4E83" w:rsidRPr="003E4E83" w:rsidRDefault="003E4E83" w:rsidP="003E4E83">
      <w:pPr>
        <w:spacing w:before="100" w:beforeAutospacing="1" w:after="100" w:afterAutospacing="1" w:line="240" w:lineRule="auto"/>
        <w:outlineLvl w:val="1"/>
        <w:rPr>
          <w:rFonts w:eastAsia="Times New Roman" w:cs="Times New Roman"/>
          <w:b/>
          <w:bCs/>
          <w:kern w:val="0"/>
          <w:sz w:val="36"/>
          <w:szCs w:val="36"/>
          <w14:ligatures w14:val="none"/>
        </w:rPr>
      </w:pPr>
      <w:r w:rsidRPr="003E4E83">
        <w:rPr>
          <w:rFonts w:eastAsia="Times New Roman" w:cs="Times New Roman"/>
          <w:b/>
          <w:bCs/>
          <w:kern w:val="0"/>
          <w:sz w:val="36"/>
          <w:szCs w:val="36"/>
          <w14:ligatures w14:val="none"/>
        </w:rPr>
        <w:t>B.5 Operational and Security Controls Glossary</w:t>
      </w:r>
    </w:p>
    <w:p w14:paraId="1EF501A9"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Identity</w:t>
      </w:r>
      <w:r w:rsidRPr="003E4E83">
        <w:rPr>
          <w:rFonts w:eastAsia="Times New Roman" w:cs="Times New Roman"/>
          <w:b/>
          <w:bCs/>
          <w:kern w:val="0"/>
          <w14:ligatures w14:val="none"/>
        </w:rPr>
        <w:noBreakHyphen/>
        <w:t>Aware Flow Logs</w:t>
      </w:r>
      <w:r w:rsidRPr="003E4E83">
        <w:rPr>
          <w:rFonts w:eastAsia="Times New Roman" w:cs="Times New Roman"/>
          <w:kern w:val="0"/>
          <w14:ligatures w14:val="none"/>
        </w:rPr>
        <w:br/>
        <w:t>Flow logs that include source and destination identities (user, device, workload, application), DNS names, IPAM addresses, segment/VRF, and enforcement decisions.</w:t>
      </w:r>
    </w:p>
    <w:p w14:paraId="384D757B"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Policy Convergence</w:t>
      </w:r>
      <w:r w:rsidRPr="003E4E83">
        <w:rPr>
          <w:rFonts w:eastAsia="Times New Roman" w:cs="Times New Roman"/>
          <w:kern w:val="0"/>
          <w14:ligatures w14:val="none"/>
        </w:rPr>
        <w:br/>
        <w:t>The state where distributed enforcement points have consistent, non</w:t>
      </w:r>
      <w:r w:rsidRPr="003E4E83">
        <w:rPr>
          <w:rFonts w:eastAsia="Times New Roman" w:cs="Times New Roman"/>
          <w:kern w:val="0"/>
          <w14:ligatures w14:val="none"/>
        </w:rPr>
        <w:noBreakHyphen/>
        <w:t>conflicting policy after a control</w:t>
      </w:r>
      <w:r w:rsidRPr="003E4E83">
        <w:rPr>
          <w:rFonts w:eastAsia="Times New Roman" w:cs="Times New Roman"/>
          <w:kern w:val="0"/>
          <w14:ligatures w14:val="none"/>
        </w:rPr>
        <w:noBreakHyphen/>
        <w:t>plane change or failover.</w:t>
      </w:r>
    </w:p>
    <w:p w14:paraId="0EA0B54C"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Session Continuity</w:t>
      </w:r>
      <w:r w:rsidRPr="003E4E83">
        <w:rPr>
          <w:rFonts w:eastAsia="Times New Roman" w:cs="Times New Roman"/>
          <w:kern w:val="0"/>
          <w14:ligatures w14:val="none"/>
        </w:rPr>
        <w:br/>
        <w:t xml:space="preserve">Preservation of application sessions (TCP, </w:t>
      </w:r>
      <w:proofErr w:type="spellStart"/>
      <w:r w:rsidRPr="003E4E83">
        <w:rPr>
          <w:rFonts w:eastAsia="Times New Roman" w:cs="Times New Roman"/>
          <w:kern w:val="0"/>
          <w14:ligatures w14:val="none"/>
        </w:rPr>
        <w:t>mTLS</w:t>
      </w:r>
      <w:proofErr w:type="spellEnd"/>
      <w:r w:rsidRPr="003E4E83">
        <w:rPr>
          <w:rFonts w:eastAsia="Times New Roman" w:cs="Times New Roman"/>
          <w:kern w:val="0"/>
          <w14:ligatures w14:val="none"/>
        </w:rPr>
        <w:t>, token validity) across path changes or failover events.</w:t>
      </w:r>
    </w:p>
    <w:p w14:paraId="4657CE45"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Certificate Rotation</w:t>
      </w:r>
      <w:r w:rsidRPr="003E4E83">
        <w:rPr>
          <w:rFonts w:eastAsia="Times New Roman" w:cs="Times New Roman"/>
          <w:kern w:val="0"/>
          <w14:ligatures w14:val="none"/>
        </w:rPr>
        <w:br/>
        <w:t xml:space="preserve">Automated lifecycle management of certificates used for </w:t>
      </w:r>
      <w:proofErr w:type="spellStart"/>
      <w:r w:rsidRPr="003E4E83">
        <w:rPr>
          <w:rFonts w:eastAsia="Times New Roman" w:cs="Times New Roman"/>
          <w:kern w:val="0"/>
          <w14:ligatures w14:val="none"/>
        </w:rPr>
        <w:t>mTLS</w:t>
      </w:r>
      <w:proofErr w:type="spellEnd"/>
      <w:r w:rsidRPr="003E4E83">
        <w:rPr>
          <w:rFonts w:eastAsia="Times New Roman" w:cs="Times New Roman"/>
          <w:kern w:val="0"/>
          <w14:ligatures w14:val="none"/>
        </w:rPr>
        <w:t xml:space="preserve"> and workload authentication to prevent expiry and reduce compromise risk.</w:t>
      </w:r>
    </w:p>
    <w:p w14:paraId="3191069B"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Endpoint Posture</w:t>
      </w:r>
      <w:r w:rsidRPr="003E4E83">
        <w:rPr>
          <w:rFonts w:eastAsia="Times New Roman" w:cs="Times New Roman"/>
          <w:kern w:val="0"/>
          <w14:ligatures w14:val="none"/>
        </w:rPr>
        <w:br/>
        <w:t>Device health and compliance attributes (patch level, encryption, antivirus status) used by NAC and IAM for conditional access.</w:t>
      </w:r>
    </w:p>
    <w:p w14:paraId="23B74479"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b/>
          <w:bCs/>
          <w:kern w:val="0"/>
          <w14:ligatures w14:val="none"/>
        </w:rPr>
        <w:t>E911 Location Services</w:t>
      </w:r>
      <w:r w:rsidRPr="003E4E83">
        <w:rPr>
          <w:rFonts w:eastAsia="Times New Roman" w:cs="Times New Roman"/>
          <w:kern w:val="0"/>
          <w14:ligatures w14:val="none"/>
        </w:rPr>
        <w:br/>
        <w:t>Location services used to provide accurate emergency caller location; also used operationally to optimize local breakout and low</w:t>
      </w:r>
      <w:r w:rsidRPr="003E4E83">
        <w:rPr>
          <w:rFonts w:eastAsia="Times New Roman" w:cs="Times New Roman"/>
          <w:kern w:val="0"/>
          <w14:ligatures w14:val="none"/>
        </w:rPr>
        <w:noBreakHyphen/>
        <w:t>latency routing.</w:t>
      </w:r>
    </w:p>
    <w:p w14:paraId="48CA9978"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pict w14:anchorId="417B8A26">
          <v:rect id="_x0000_i1030" style="width:0;height:1.5pt" o:hralign="center" o:hrstd="t" o:hr="t" fillcolor="#a0a0a0" stroked="f"/>
        </w:pict>
      </w:r>
    </w:p>
    <w:p w14:paraId="1F6E5D53" w14:textId="77777777" w:rsidR="003E4E83" w:rsidRPr="003E4E83" w:rsidRDefault="003E4E83" w:rsidP="003E4E83">
      <w:pPr>
        <w:spacing w:before="100" w:beforeAutospacing="1" w:after="100" w:afterAutospacing="1" w:line="240" w:lineRule="auto"/>
        <w:outlineLvl w:val="1"/>
        <w:rPr>
          <w:rFonts w:eastAsia="Times New Roman" w:cs="Times New Roman"/>
          <w:b/>
          <w:bCs/>
          <w:kern w:val="0"/>
          <w:sz w:val="36"/>
          <w:szCs w:val="36"/>
          <w14:ligatures w14:val="none"/>
        </w:rPr>
      </w:pPr>
      <w:r w:rsidRPr="003E4E83">
        <w:rPr>
          <w:rFonts w:eastAsia="Times New Roman" w:cs="Times New Roman"/>
          <w:b/>
          <w:bCs/>
          <w:kern w:val="0"/>
          <w:sz w:val="36"/>
          <w:szCs w:val="36"/>
          <w14:ligatures w14:val="none"/>
        </w:rPr>
        <w:t>B.6 How to Use This Appendix</w:t>
      </w:r>
    </w:p>
    <w:p w14:paraId="67FEECA0" w14:textId="77777777" w:rsidR="003E4E83" w:rsidRPr="003E4E83" w:rsidRDefault="003E4E83" w:rsidP="003E4E83">
      <w:pPr>
        <w:numPr>
          <w:ilvl w:val="0"/>
          <w:numId w:val="7"/>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kern w:val="0"/>
          <w14:ligatures w14:val="none"/>
        </w:rPr>
        <w:t xml:space="preserve">Insert the </w:t>
      </w:r>
      <w:r w:rsidRPr="003E4E83">
        <w:rPr>
          <w:rFonts w:eastAsia="Times New Roman" w:cs="Times New Roman"/>
          <w:b/>
          <w:bCs/>
          <w:kern w:val="0"/>
          <w14:ligatures w14:val="none"/>
        </w:rPr>
        <w:t>Acronym Table</w:t>
      </w:r>
      <w:r w:rsidRPr="003E4E83">
        <w:rPr>
          <w:rFonts w:eastAsia="Times New Roman" w:cs="Times New Roman"/>
          <w:kern w:val="0"/>
          <w14:ligatures w14:val="none"/>
        </w:rPr>
        <w:t xml:space="preserve"> at the front of any section to ensure first</w:t>
      </w:r>
      <w:r w:rsidRPr="003E4E83">
        <w:rPr>
          <w:rFonts w:eastAsia="Times New Roman" w:cs="Times New Roman"/>
          <w:kern w:val="0"/>
          <w14:ligatures w14:val="none"/>
        </w:rPr>
        <w:noBreakHyphen/>
        <w:t>use expansions.</w:t>
      </w:r>
    </w:p>
    <w:p w14:paraId="39C8AE29" w14:textId="77777777" w:rsidR="003E4E83" w:rsidRPr="003E4E83" w:rsidRDefault="003E4E83" w:rsidP="003E4E83">
      <w:pPr>
        <w:numPr>
          <w:ilvl w:val="0"/>
          <w:numId w:val="7"/>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kern w:val="0"/>
          <w14:ligatures w14:val="none"/>
        </w:rPr>
        <w:t xml:space="preserve">Reference the </w:t>
      </w:r>
      <w:r w:rsidRPr="003E4E83">
        <w:rPr>
          <w:rFonts w:eastAsia="Times New Roman" w:cs="Times New Roman"/>
          <w:b/>
          <w:bCs/>
          <w:kern w:val="0"/>
          <w14:ligatures w14:val="none"/>
        </w:rPr>
        <w:t>Glossary</w:t>
      </w:r>
      <w:r w:rsidRPr="003E4E83">
        <w:rPr>
          <w:rFonts w:eastAsia="Times New Roman" w:cs="Times New Roman"/>
          <w:kern w:val="0"/>
          <w14:ligatures w14:val="none"/>
        </w:rPr>
        <w:t xml:space="preserve"> when drafting policy, runbooks, or vendor mappings to maintain consistent terminology.</w:t>
      </w:r>
    </w:p>
    <w:p w14:paraId="62CE3448" w14:textId="77777777" w:rsidR="003E4E83" w:rsidRPr="003E4E83" w:rsidRDefault="003E4E83" w:rsidP="003E4E83">
      <w:pPr>
        <w:numPr>
          <w:ilvl w:val="0"/>
          <w:numId w:val="7"/>
        </w:numPr>
        <w:spacing w:before="100" w:beforeAutospacing="1" w:after="100" w:afterAutospacing="1" w:line="240" w:lineRule="auto"/>
        <w:rPr>
          <w:rFonts w:eastAsia="Times New Roman" w:cs="Times New Roman"/>
          <w:kern w:val="0"/>
          <w14:ligatures w14:val="none"/>
        </w:rPr>
      </w:pPr>
      <w:r w:rsidRPr="003E4E83">
        <w:rPr>
          <w:rFonts w:eastAsia="Times New Roman" w:cs="Times New Roman"/>
          <w:kern w:val="0"/>
          <w14:ligatures w14:val="none"/>
        </w:rPr>
        <w:t xml:space="preserve">Use the </w:t>
      </w:r>
      <w:r w:rsidRPr="003E4E83">
        <w:rPr>
          <w:rFonts w:eastAsia="Times New Roman" w:cs="Times New Roman"/>
          <w:b/>
          <w:bCs/>
          <w:kern w:val="0"/>
          <w14:ligatures w14:val="none"/>
        </w:rPr>
        <w:t>Operational and Security Controls Glossary</w:t>
      </w:r>
      <w:r w:rsidRPr="003E4E83">
        <w:rPr>
          <w:rFonts w:eastAsia="Times New Roman" w:cs="Times New Roman"/>
          <w:kern w:val="0"/>
          <w14:ligatures w14:val="none"/>
        </w:rPr>
        <w:t xml:space="preserve"> when authoring playbooks and compliance artifacts.</w:t>
      </w:r>
    </w:p>
    <w:p w14:paraId="1BB8A2BF" w14:textId="77777777" w:rsidR="003E4E83" w:rsidRPr="003E4E83" w:rsidRDefault="003E4E83" w:rsidP="003E4E83">
      <w:pPr>
        <w:spacing w:after="0" w:line="240" w:lineRule="auto"/>
        <w:rPr>
          <w:rFonts w:eastAsia="Times New Roman" w:cs="Times New Roman"/>
          <w:kern w:val="0"/>
          <w14:ligatures w14:val="none"/>
        </w:rPr>
      </w:pPr>
      <w:r w:rsidRPr="003E4E83">
        <w:rPr>
          <w:rFonts w:eastAsia="Times New Roman" w:cs="Times New Roman"/>
          <w:kern w:val="0"/>
          <w14:ligatures w14:val="none"/>
        </w:rPr>
        <w:pict w14:anchorId="3B6FA806">
          <v:rect id="_x0000_i1031" style="width:0;height:1.5pt" o:hralign="center" o:hrstd="t" o:hr="t" fillcolor="#a0a0a0" stroked="f"/>
        </w:pict>
      </w:r>
    </w:p>
    <w:p w14:paraId="15484524" w14:textId="77777777" w:rsidR="003E4E83" w:rsidRPr="003E4E83" w:rsidRDefault="003E4E83" w:rsidP="003E4E83">
      <w:pPr>
        <w:spacing w:before="100" w:beforeAutospacing="1" w:after="100" w:afterAutospacing="1" w:line="240" w:lineRule="auto"/>
        <w:rPr>
          <w:rFonts w:eastAsia="Times New Roman" w:cs="Times New Roman"/>
          <w:kern w:val="0"/>
          <w14:ligatures w14:val="none"/>
        </w:rPr>
      </w:pPr>
      <w:r w:rsidRPr="003E4E83">
        <w:rPr>
          <w:rFonts w:eastAsia="Times New Roman" w:cs="Times New Roman"/>
          <w:kern w:val="0"/>
          <w14:ligatures w14:val="none"/>
        </w:rPr>
        <w:t>I will export this appendix as a Word</w:t>
      </w:r>
      <w:r w:rsidRPr="003E4E83">
        <w:rPr>
          <w:rFonts w:eastAsia="Times New Roman" w:cs="Times New Roman"/>
          <w:kern w:val="0"/>
          <w14:ligatures w14:val="none"/>
        </w:rPr>
        <w:noBreakHyphen/>
        <w:t xml:space="preserve">ready section or a CSV import for your documentation system; say </w:t>
      </w:r>
      <w:r w:rsidRPr="003E4E83">
        <w:rPr>
          <w:rFonts w:eastAsia="Times New Roman" w:cs="Times New Roman"/>
          <w:b/>
          <w:bCs/>
          <w:kern w:val="0"/>
          <w14:ligatures w14:val="none"/>
        </w:rPr>
        <w:t>Word</w:t>
      </w:r>
      <w:r w:rsidRPr="003E4E83">
        <w:rPr>
          <w:rFonts w:eastAsia="Times New Roman" w:cs="Times New Roman"/>
          <w:kern w:val="0"/>
          <w14:ligatures w14:val="none"/>
        </w:rPr>
        <w:t xml:space="preserve"> or </w:t>
      </w:r>
      <w:r w:rsidRPr="003E4E83">
        <w:rPr>
          <w:rFonts w:eastAsia="Times New Roman" w:cs="Times New Roman"/>
          <w:b/>
          <w:bCs/>
          <w:kern w:val="0"/>
          <w14:ligatures w14:val="none"/>
        </w:rPr>
        <w:t>CSV</w:t>
      </w:r>
      <w:r w:rsidRPr="003E4E83">
        <w:rPr>
          <w:rFonts w:eastAsia="Times New Roman" w:cs="Times New Roman"/>
          <w:kern w:val="0"/>
          <w14:ligatures w14:val="none"/>
        </w:rPr>
        <w:t xml:space="preserve"> to choose the format and I will prepare it.</w:t>
      </w:r>
    </w:p>
    <w:p w14:paraId="24418C99" w14:textId="77777777" w:rsidR="00871DF6" w:rsidRDefault="00871DF6"/>
    <w:sectPr w:rsidR="0087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279"/>
    <w:multiLevelType w:val="multilevel"/>
    <w:tmpl w:val="930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F0685"/>
    <w:multiLevelType w:val="multilevel"/>
    <w:tmpl w:val="BCD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E75FC"/>
    <w:multiLevelType w:val="multilevel"/>
    <w:tmpl w:val="308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D67F8"/>
    <w:multiLevelType w:val="multilevel"/>
    <w:tmpl w:val="C38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659DE"/>
    <w:multiLevelType w:val="multilevel"/>
    <w:tmpl w:val="CD8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77CC8"/>
    <w:multiLevelType w:val="multilevel"/>
    <w:tmpl w:val="989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22090"/>
    <w:multiLevelType w:val="multilevel"/>
    <w:tmpl w:val="CE5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363435">
    <w:abstractNumId w:val="4"/>
  </w:num>
  <w:num w:numId="2" w16cid:durableId="1414857991">
    <w:abstractNumId w:val="0"/>
  </w:num>
  <w:num w:numId="3" w16cid:durableId="2132897783">
    <w:abstractNumId w:val="6"/>
  </w:num>
  <w:num w:numId="4" w16cid:durableId="1955404914">
    <w:abstractNumId w:val="2"/>
  </w:num>
  <w:num w:numId="5" w16cid:durableId="138811675">
    <w:abstractNumId w:val="1"/>
  </w:num>
  <w:num w:numId="6" w16cid:durableId="56250129">
    <w:abstractNumId w:val="3"/>
  </w:num>
  <w:num w:numId="7" w16cid:durableId="267002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A2"/>
    <w:rsid w:val="003E4E83"/>
    <w:rsid w:val="00851DED"/>
    <w:rsid w:val="00871DF6"/>
    <w:rsid w:val="00BB11A2"/>
    <w:rsid w:val="00C43EA3"/>
    <w:rsid w:val="00D62B0C"/>
    <w:rsid w:val="00DC5A2A"/>
    <w:rsid w:val="00E9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0E22"/>
  <w15:chartTrackingRefBased/>
  <w15:docId w15:val="{5C16B7A5-0828-4754-8E7D-EAE461D3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ED"/>
    <w:rPr>
      <w:rFonts w:ascii="Times New Roman" w:hAnsi="Times New Roman"/>
    </w:rPr>
  </w:style>
  <w:style w:type="paragraph" w:styleId="Heading1">
    <w:name w:val="heading 1"/>
    <w:basedOn w:val="Normal"/>
    <w:next w:val="Normal"/>
    <w:link w:val="Heading1Char"/>
    <w:uiPriority w:val="9"/>
    <w:qFormat/>
    <w:rsid w:val="00851DED"/>
    <w:pPr>
      <w:keepNext/>
      <w:keepLines/>
      <w:spacing w:before="280" w:after="12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851DED"/>
    <w:pPr>
      <w:keepNext/>
      <w:keepLines/>
      <w:spacing w:before="240" w:after="6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851DED"/>
    <w:pPr>
      <w:keepNext/>
      <w:keepLines/>
      <w:spacing w:before="120" w:after="6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BB11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11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11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11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11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11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ED"/>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851DED"/>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851DED"/>
    <w:rPr>
      <w:rFonts w:ascii="Times New Roman" w:eastAsiaTheme="majorEastAsia" w:hAnsi="Times New Roman" w:cstheme="majorBidi"/>
      <w:i/>
      <w:color w:val="0F4761" w:themeColor="accent1" w:themeShade="BF"/>
      <w:szCs w:val="28"/>
    </w:rPr>
  </w:style>
  <w:style w:type="character" w:customStyle="1" w:styleId="Heading4Char">
    <w:name w:val="Heading 4 Char"/>
    <w:basedOn w:val="DefaultParagraphFont"/>
    <w:link w:val="Heading4"/>
    <w:uiPriority w:val="9"/>
    <w:semiHidden/>
    <w:rsid w:val="00BB1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1A2"/>
    <w:rPr>
      <w:rFonts w:eastAsiaTheme="majorEastAsia" w:cstheme="majorBidi"/>
      <w:color w:val="272727" w:themeColor="text1" w:themeTint="D8"/>
    </w:rPr>
  </w:style>
  <w:style w:type="paragraph" w:styleId="Title">
    <w:name w:val="Title"/>
    <w:basedOn w:val="Normal"/>
    <w:next w:val="Normal"/>
    <w:link w:val="TitleChar"/>
    <w:uiPriority w:val="10"/>
    <w:qFormat/>
    <w:rsid w:val="00BB1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1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1A2"/>
    <w:pPr>
      <w:spacing w:before="160"/>
      <w:jc w:val="center"/>
    </w:pPr>
    <w:rPr>
      <w:i/>
      <w:iCs/>
      <w:color w:val="404040" w:themeColor="text1" w:themeTint="BF"/>
    </w:rPr>
  </w:style>
  <w:style w:type="character" w:customStyle="1" w:styleId="QuoteChar">
    <w:name w:val="Quote Char"/>
    <w:basedOn w:val="DefaultParagraphFont"/>
    <w:link w:val="Quote"/>
    <w:uiPriority w:val="29"/>
    <w:rsid w:val="00BB11A2"/>
    <w:rPr>
      <w:rFonts w:ascii="Times New Roman" w:hAnsi="Times New Roman"/>
      <w:i/>
      <w:iCs/>
      <w:color w:val="404040" w:themeColor="text1" w:themeTint="BF"/>
    </w:rPr>
  </w:style>
  <w:style w:type="paragraph" w:styleId="ListParagraph">
    <w:name w:val="List Paragraph"/>
    <w:basedOn w:val="Normal"/>
    <w:uiPriority w:val="34"/>
    <w:qFormat/>
    <w:rsid w:val="00BB11A2"/>
    <w:pPr>
      <w:ind w:left="720"/>
      <w:contextualSpacing/>
    </w:pPr>
  </w:style>
  <w:style w:type="character" w:styleId="IntenseEmphasis">
    <w:name w:val="Intense Emphasis"/>
    <w:basedOn w:val="DefaultParagraphFont"/>
    <w:uiPriority w:val="21"/>
    <w:qFormat/>
    <w:rsid w:val="00BB11A2"/>
    <w:rPr>
      <w:i/>
      <w:iCs/>
      <w:color w:val="0F4761" w:themeColor="accent1" w:themeShade="BF"/>
    </w:rPr>
  </w:style>
  <w:style w:type="paragraph" w:styleId="IntenseQuote">
    <w:name w:val="Intense Quote"/>
    <w:basedOn w:val="Normal"/>
    <w:next w:val="Normal"/>
    <w:link w:val="IntenseQuoteChar"/>
    <w:uiPriority w:val="30"/>
    <w:qFormat/>
    <w:rsid w:val="00BB1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1A2"/>
    <w:rPr>
      <w:rFonts w:ascii="Times New Roman" w:hAnsi="Times New Roman"/>
      <w:i/>
      <w:iCs/>
      <w:color w:val="0F4761" w:themeColor="accent1" w:themeShade="BF"/>
    </w:rPr>
  </w:style>
  <w:style w:type="character" w:styleId="IntenseReference">
    <w:name w:val="Intense Reference"/>
    <w:basedOn w:val="DefaultParagraphFont"/>
    <w:uiPriority w:val="32"/>
    <w:qFormat/>
    <w:rsid w:val="00BB1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1330</Words>
  <Characters>7582</Characters>
  <Application>Microsoft Office Word</Application>
  <DocSecurity>0</DocSecurity>
  <Lines>63</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Stratton</dc:creator>
  <cp:keywords/>
  <dc:description/>
  <cp:lastModifiedBy>Michael Stratton</cp:lastModifiedBy>
  <cp:revision>3</cp:revision>
  <dcterms:created xsi:type="dcterms:W3CDTF">2026-02-25T14:06:00Z</dcterms:created>
  <dcterms:modified xsi:type="dcterms:W3CDTF">2026-02-25T14:08:00Z</dcterms:modified>
</cp:coreProperties>
</file>