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8F83" w14:textId="77777777" w:rsidR="00584954" w:rsidRPr="00584954" w:rsidRDefault="00584954" w:rsidP="00584954">
      <w:pPr>
        <w:spacing w:before="100" w:beforeAutospacing="1" w:after="100" w:afterAutospacing="1" w:line="240" w:lineRule="auto"/>
        <w:outlineLvl w:val="2"/>
        <w:rPr>
          <w:rFonts w:eastAsia="Times New Roman" w:cs="Times New Roman"/>
          <w:b/>
          <w:bCs/>
          <w:kern w:val="0"/>
          <w:sz w:val="27"/>
          <w:szCs w:val="27"/>
          <w14:ligatures w14:val="none"/>
        </w:rPr>
      </w:pPr>
      <w:r w:rsidRPr="00584954">
        <w:rPr>
          <w:rFonts w:eastAsia="Times New Roman" w:cs="Times New Roman"/>
          <w:b/>
          <w:bCs/>
          <w:kern w:val="0"/>
          <w:sz w:val="27"/>
          <w:szCs w:val="27"/>
          <w14:ligatures w14:val="none"/>
        </w:rPr>
        <w:t>1. Unified Architecture Overview</w:t>
      </w:r>
    </w:p>
    <w:p w14:paraId="32ED813D" w14:textId="77777777" w:rsidR="00584954" w:rsidRPr="00584954" w:rsidRDefault="00584954" w:rsidP="00584954">
      <w:pPr>
        <w:spacing w:before="100" w:beforeAutospacing="1" w:after="100" w:afterAutospacing="1" w:line="240" w:lineRule="auto"/>
        <w:outlineLvl w:val="3"/>
        <w:rPr>
          <w:rFonts w:eastAsia="Times New Roman" w:cs="Times New Roman"/>
          <w:b/>
          <w:bCs/>
          <w:kern w:val="0"/>
          <w14:ligatures w14:val="none"/>
        </w:rPr>
      </w:pPr>
      <w:r w:rsidRPr="00584954">
        <w:rPr>
          <w:rFonts w:eastAsia="Times New Roman" w:cs="Times New Roman"/>
          <w:b/>
          <w:bCs/>
          <w:kern w:val="0"/>
          <w14:ligatures w14:val="none"/>
        </w:rPr>
        <w:t>1.1 Purpose and Scope</w:t>
      </w:r>
    </w:p>
    <w:p w14:paraId="5C83C32C"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kern w:val="0"/>
          <w14:ligatures w14:val="none"/>
        </w:rPr>
        <w:t xml:space="preserve">The </w:t>
      </w:r>
      <w:r w:rsidRPr="00584954">
        <w:rPr>
          <w:rFonts w:eastAsia="Times New Roman" w:cs="Times New Roman"/>
          <w:b/>
          <w:bCs/>
          <w:kern w:val="0"/>
          <w14:ligatures w14:val="none"/>
        </w:rPr>
        <w:t>Unified Identity</w:t>
      </w:r>
      <w:r w:rsidRPr="00584954">
        <w:rPr>
          <w:rFonts w:eastAsia="Times New Roman" w:cs="Times New Roman"/>
          <w:b/>
          <w:bCs/>
          <w:kern w:val="0"/>
          <w14:ligatures w14:val="none"/>
        </w:rPr>
        <w:noBreakHyphen/>
        <w:t>Addressing</w:t>
      </w:r>
      <w:r w:rsidRPr="00584954">
        <w:rPr>
          <w:rFonts w:eastAsia="Times New Roman" w:cs="Times New Roman"/>
          <w:b/>
          <w:bCs/>
          <w:kern w:val="0"/>
          <w14:ligatures w14:val="none"/>
        </w:rPr>
        <w:noBreakHyphen/>
        <w:t>Overlay Architecture</w:t>
      </w:r>
      <w:r w:rsidRPr="00584954">
        <w:rPr>
          <w:rFonts w:eastAsia="Times New Roman" w:cs="Times New Roman"/>
          <w:kern w:val="0"/>
          <w14:ligatures w14:val="none"/>
        </w:rPr>
        <w:t xml:space="preserve"> defines a modern enterprise networking model where </w:t>
      </w:r>
      <w:r w:rsidRPr="00584954">
        <w:rPr>
          <w:rFonts w:eastAsia="Times New Roman" w:cs="Times New Roman"/>
          <w:b/>
          <w:bCs/>
          <w:kern w:val="0"/>
          <w14:ligatures w14:val="none"/>
        </w:rPr>
        <w:t>identity</w:t>
      </w:r>
      <w:r w:rsidRPr="00584954">
        <w:rPr>
          <w:rFonts w:eastAsia="Times New Roman" w:cs="Times New Roman"/>
          <w:kern w:val="0"/>
          <w14:ligatures w14:val="none"/>
        </w:rPr>
        <w:t xml:space="preserve">, </w:t>
      </w:r>
      <w:r w:rsidRPr="00584954">
        <w:rPr>
          <w:rFonts w:eastAsia="Times New Roman" w:cs="Times New Roman"/>
          <w:b/>
          <w:bCs/>
          <w:kern w:val="0"/>
          <w14:ligatures w14:val="none"/>
        </w:rPr>
        <w:t>addressing</w:t>
      </w:r>
      <w:r w:rsidRPr="00584954">
        <w:rPr>
          <w:rFonts w:eastAsia="Times New Roman" w:cs="Times New Roman"/>
          <w:kern w:val="0"/>
          <w14:ligatures w14:val="none"/>
        </w:rPr>
        <w:t xml:space="preserve">, and </w:t>
      </w:r>
      <w:r w:rsidRPr="00584954">
        <w:rPr>
          <w:rFonts w:eastAsia="Times New Roman" w:cs="Times New Roman"/>
          <w:b/>
          <w:bCs/>
          <w:kern w:val="0"/>
          <w14:ligatures w14:val="none"/>
        </w:rPr>
        <w:t>application context</w:t>
      </w:r>
      <w:r w:rsidRPr="00584954">
        <w:rPr>
          <w:rFonts w:eastAsia="Times New Roman" w:cs="Times New Roman"/>
          <w:kern w:val="0"/>
          <w14:ligatures w14:val="none"/>
        </w:rPr>
        <w:t xml:space="preserve"> are the primary determinants of routing, segmentation, and policy enforcement. This architecture replaces legacy, topology</w:t>
      </w:r>
      <w:r w:rsidRPr="00584954">
        <w:rPr>
          <w:rFonts w:eastAsia="Times New Roman" w:cs="Times New Roman"/>
          <w:kern w:val="0"/>
          <w14:ligatures w14:val="none"/>
        </w:rPr>
        <w:noBreakHyphen/>
        <w:t xml:space="preserve">bound constructs with an </w:t>
      </w:r>
      <w:r w:rsidRPr="00584954">
        <w:rPr>
          <w:rFonts w:eastAsia="Times New Roman" w:cs="Times New Roman"/>
          <w:b/>
          <w:bCs/>
          <w:kern w:val="0"/>
          <w14:ligatures w14:val="none"/>
        </w:rPr>
        <w:t>intent</w:t>
      </w:r>
      <w:r w:rsidRPr="00584954">
        <w:rPr>
          <w:rFonts w:eastAsia="Times New Roman" w:cs="Times New Roman"/>
          <w:b/>
          <w:bCs/>
          <w:kern w:val="0"/>
          <w14:ligatures w14:val="none"/>
        </w:rPr>
        <w:noBreakHyphen/>
        <w:t>driven</w:t>
      </w:r>
      <w:r w:rsidRPr="00584954">
        <w:rPr>
          <w:rFonts w:eastAsia="Times New Roman" w:cs="Times New Roman"/>
          <w:kern w:val="0"/>
          <w14:ligatures w14:val="none"/>
        </w:rPr>
        <w:t xml:space="preserve">, </w:t>
      </w:r>
      <w:r w:rsidRPr="00584954">
        <w:rPr>
          <w:rFonts w:eastAsia="Times New Roman" w:cs="Times New Roman"/>
          <w:b/>
          <w:bCs/>
          <w:kern w:val="0"/>
          <w14:ligatures w14:val="none"/>
        </w:rPr>
        <w:t>application</w:t>
      </w:r>
      <w:r w:rsidRPr="00584954">
        <w:rPr>
          <w:rFonts w:eastAsia="Times New Roman" w:cs="Times New Roman"/>
          <w:b/>
          <w:bCs/>
          <w:kern w:val="0"/>
          <w14:ligatures w14:val="none"/>
        </w:rPr>
        <w:noBreakHyphen/>
        <w:t>aware</w:t>
      </w:r>
      <w:r w:rsidRPr="00584954">
        <w:rPr>
          <w:rFonts w:eastAsia="Times New Roman" w:cs="Times New Roman"/>
          <w:kern w:val="0"/>
          <w14:ligatures w14:val="none"/>
        </w:rPr>
        <w:t xml:space="preserve"> control plane that operates consistently across data center, Wide Area Network (WAN), cloud, and remote environments.</w:t>
      </w:r>
    </w:p>
    <w:p w14:paraId="45E349CC"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Scope includes:</w:t>
      </w:r>
    </w:p>
    <w:p w14:paraId="3B92F6A5"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Identity</w:t>
      </w:r>
      <w:r w:rsidRPr="00584954">
        <w:rPr>
          <w:rFonts w:eastAsia="Times New Roman" w:cs="Times New Roman"/>
          <w:b/>
          <w:bCs/>
          <w:kern w:val="0"/>
          <w14:ligatures w14:val="none"/>
        </w:rPr>
        <w:noBreakHyphen/>
        <w:t>centric routing and segmentation</w:t>
      </w:r>
      <w:r w:rsidRPr="00584954">
        <w:rPr>
          <w:rFonts w:eastAsia="Times New Roman" w:cs="Times New Roman"/>
          <w:kern w:val="0"/>
          <w14:ligatures w14:val="none"/>
        </w:rPr>
        <w:t xml:space="preserve"> driven by authoritative identity services.</w:t>
      </w:r>
    </w:p>
    <w:p w14:paraId="100CE220"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Application</w:t>
      </w:r>
      <w:r w:rsidRPr="00584954">
        <w:rPr>
          <w:rFonts w:eastAsia="Times New Roman" w:cs="Times New Roman"/>
          <w:b/>
          <w:bCs/>
          <w:kern w:val="0"/>
          <w14:ligatures w14:val="none"/>
        </w:rPr>
        <w:noBreakHyphen/>
        <w:t>aware overlays</w:t>
      </w:r>
      <w:r w:rsidRPr="00584954">
        <w:rPr>
          <w:rFonts w:eastAsia="Times New Roman" w:cs="Times New Roman"/>
          <w:kern w:val="0"/>
          <w14:ligatures w14:val="none"/>
        </w:rPr>
        <w:t xml:space="preserve"> (Software</w:t>
      </w:r>
      <w:r w:rsidRPr="00584954">
        <w:rPr>
          <w:rFonts w:eastAsia="Times New Roman" w:cs="Times New Roman"/>
          <w:kern w:val="0"/>
          <w14:ligatures w14:val="none"/>
        </w:rPr>
        <w:noBreakHyphen/>
        <w:t>Defined Networking (SDN); Software</w:t>
      </w:r>
      <w:r w:rsidRPr="00584954">
        <w:rPr>
          <w:rFonts w:eastAsia="Times New Roman" w:cs="Times New Roman"/>
          <w:kern w:val="0"/>
          <w14:ligatures w14:val="none"/>
        </w:rPr>
        <w:noBreakHyphen/>
        <w:t>Defined Wide Area Networking (SD</w:t>
      </w:r>
      <w:r w:rsidRPr="00584954">
        <w:rPr>
          <w:rFonts w:eastAsia="Times New Roman" w:cs="Times New Roman"/>
          <w:kern w:val="0"/>
          <w14:ligatures w14:val="none"/>
        </w:rPr>
        <w:noBreakHyphen/>
        <w:t>WAN)).</w:t>
      </w:r>
    </w:p>
    <w:p w14:paraId="594B925B"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Authoritative addressing and naming</w:t>
      </w:r>
      <w:r w:rsidRPr="00584954">
        <w:rPr>
          <w:rFonts w:eastAsia="Times New Roman" w:cs="Times New Roman"/>
          <w:kern w:val="0"/>
          <w14:ligatures w14:val="none"/>
        </w:rPr>
        <w:t xml:space="preserve"> via IP Address Management (IPAM) and Domain Name System (DNS).</w:t>
      </w:r>
    </w:p>
    <w:p w14:paraId="433A97C2"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Identity and trust services</w:t>
      </w:r>
      <w:r w:rsidRPr="00584954">
        <w:rPr>
          <w:rFonts w:eastAsia="Times New Roman" w:cs="Times New Roman"/>
          <w:kern w:val="0"/>
          <w14:ligatures w14:val="none"/>
        </w:rPr>
        <w:t xml:space="preserve"> via Identity and Access Management (IAM), certificate and token services.</w:t>
      </w:r>
    </w:p>
    <w:p w14:paraId="39DCBA21"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Deterministic pathing</w:t>
      </w:r>
      <w:r w:rsidRPr="00584954">
        <w:rPr>
          <w:rFonts w:eastAsia="Times New Roman" w:cs="Times New Roman"/>
          <w:kern w:val="0"/>
          <w14:ligatures w14:val="none"/>
        </w:rPr>
        <w:t xml:space="preserve"> using Segment Routing Traffic Engineering (SR</w:t>
      </w:r>
      <w:r w:rsidRPr="00584954">
        <w:rPr>
          <w:rFonts w:eastAsia="Times New Roman" w:cs="Times New Roman"/>
          <w:kern w:val="0"/>
          <w14:ligatures w14:val="none"/>
        </w:rPr>
        <w:noBreakHyphen/>
        <w:t>TE) and Multiprotocol Label Switching Traffic Engineering (MPLS</w:t>
      </w:r>
      <w:r w:rsidRPr="00584954">
        <w:rPr>
          <w:rFonts w:eastAsia="Times New Roman" w:cs="Times New Roman"/>
          <w:kern w:val="0"/>
          <w14:ligatures w14:val="none"/>
        </w:rPr>
        <w:noBreakHyphen/>
        <w:t>TE).</w:t>
      </w:r>
    </w:p>
    <w:p w14:paraId="63DD56DB"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Zero Trust</w:t>
      </w:r>
      <w:r w:rsidRPr="00584954">
        <w:rPr>
          <w:rFonts w:eastAsia="Times New Roman" w:cs="Times New Roman"/>
          <w:kern w:val="0"/>
          <w14:ligatures w14:val="none"/>
        </w:rPr>
        <w:t xml:space="preserve"> and </w:t>
      </w:r>
      <w:r w:rsidRPr="00584954">
        <w:rPr>
          <w:rFonts w:eastAsia="Times New Roman" w:cs="Times New Roman"/>
          <w:b/>
          <w:bCs/>
          <w:kern w:val="0"/>
          <w14:ligatures w14:val="none"/>
        </w:rPr>
        <w:t>Secure Access Service Edge (SASE)</w:t>
      </w:r>
      <w:r w:rsidRPr="00584954">
        <w:rPr>
          <w:rFonts w:eastAsia="Times New Roman" w:cs="Times New Roman"/>
          <w:kern w:val="0"/>
          <w14:ligatures w14:val="none"/>
        </w:rPr>
        <w:t xml:space="preserve"> alignment.</w:t>
      </w:r>
    </w:p>
    <w:p w14:paraId="3D5A0BB7"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Closed</w:t>
      </w:r>
      <w:r w:rsidRPr="00584954">
        <w:rPr>
          <w:rFonts w:eastAsia="Times New Roman" w:cs="Times New Roman"/>
          <w:b/>
          <w:bCs/>
          <w:kern w:val="0"/>
          <w14:ligatures w14:val="none"/>
        </w:rPr>
        <w:noBreakHyphen/>
        <w:t>loop automation, telemetry, and observability.</w:t>
      </w:r>
    </w:p>
    <w:p w14:paraId="4280447F" w14:textId="77777777" w:rsidR="00584954" w:rsidRPr="00584954" w:rsidRDefault="00584954" w:rsidP="00584954">
      <w:pPr>
        <w:numPr>
          <w:ilvl w:val="0"/>
          <w:numId w:val="11"/>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High availability and redundancy</w:t>
      </w:r>
      <w:r w:rsidRPr="00584954">
        <w:rPr>
          <w:rFonts w:eastAsia="Times New Roman" w:cs="Times New Roman"/>
          <w:kern w:val="0"/>
          <w14:ligatures w14:val="none"/>
        </w:rPr>
        <w:t xml:space="preserve"> patterns for control, overlay, and underlay.</w:t>
      </w:r>
    </w:p>
    <w:p w14:paraId="4DD08DE2"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kern w:val="0"/>
          <w14:ligatures w14:val="none"/>
        </w:rPr>
        <w:t>This section establishes the architecture’s intent, the operational boundaries, and the high</w:t>
      </w:r>
      <w:r w:rsidRPr="00584954">
        <w:rPr>
          <w:rFonts w:eastAsia="Times New Roman" w:cs="Times New Roman"/>
          <w:kern w:val="0"/>
          <w14:ligatures w14:val="none"/>
        </w:rPr>
        <w:noBreakHyphen/>
        <w:t>level interactions between authorities, control, overlay, and underlay.</w:t>
      </w:r>
    </w:p>
    <w:p w14:paraId="54DFF775" w14:textId="77777777" w:rsidR="00584954" w:rsidRPr="00584954" w:rsidRDefault="00584954" w:rsidP="00584954">
      <w:pPr>
        <w:spacing w:before="100" w:beforeAutospacing="1" w:after="100" w:afterAutospacing="1" w:line="240" w:lineRule="auto"/>
        <w:outlineLvl w:val="3"/>
        <w:rPr>
          <w:rFonts w:eastAsia="Times New Roman" w:cs="Times New Roman"/>
          <w:b/>
          <w:bCs/>
          <w:kern w:val="0"/>
          <w14:ligatures w14:val="none"/>
        </w:rPr>
      </w:pPr>
      <w:r w:rsidRPr="00584954">
        <w:rPr>
          <w:rFonts w:eastAsia="Times New Roman" w:cs="Times New Roman"/>
          <w:b/>
          <w:bCs/>
          <w:kern w:val="0"/>
          <w14:ligatures w14:val="none"/>
        </w:rPr>
        <w:t>1.2 Principles and Design Tenets</w:t>
      </w:r>
    </w:p>
    <w:p w14:paraId="2F2533F9"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kern w:val="0"/>
          <w14:ligatures w14:val="none"/>
        </w:rPr>
        <w:t>The architecture is guided by the following tenets:</w:t>
      </w:r>
    </w:p>
    <w:p w14:paraId="4147A396"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Identity is the new perimeter.</w:t>
      </w:r>
      <w:r w:rsidRPr="00584954">
        <w:rPr>
          <w:rFonts w:eastAsia="Times New Roman" w:cs="Times New Roman"/>
          <w:kern w:val="0"/>
          <w14:ligatures w14:val="none"/>
        </w:rPr>
        <w:t xml:space="preserve"> All access and forwarding decisions are anchored to verifiable identities (user, device, workload, application, non</w:t>
      </w:r>
      <w:r w:rsidRPr="00584954">
        <w:rPr>
          <w:rFonts w:eastAsia="Times New Roman" w:cs="Times New Roman"/>
          <w:kern w:val="0"/>
          <w14:ligatures w14:val="none"/>
        </w:rPr>
        <w:noBreakHyphen/>
        <w:t>person entity).</w:t>
      </w:r>
    </w:p>
    <w:p w14:paraId="745B79F2"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Addressing is authoritative.</w:t>
      </w:r>
      <w:r w:rsidRPr="00584954">
        <w:rPr>
          <w:rFonts w:eastAsia="Times New Roman" w:cs="Times New Roman"/>
          <w:kern w:val="0"/>
          <w14:ligatures w14:val="none"/>
        </w:rPr>
        <w:t xml:space="preserve"> IPAM and DNS provide deterministic naming and addressing that map to application identity and policy.</w:t>
      </w:r>
    </w:p>
    <w:p w14:paraId="74622B8D"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Overlay elevation.</w:t>
      </w:r>
      <w:r w:rsidRPr="00584954">
        <w:rPr>
          <w:rFonts w:eastAsia="Times New Roman" w:cs="Times New Roman"/>
          <w:kern w:val="0"/>
          <w14:ligatures w14:val="none"/>
        </w:rPr>
        <w:t xml:space="preserve"> Logical forwarding and policy enforcement are implemented in the overlay so that the underlay is treated as a commodity transport.</w:t>
      </w:r>
    </w:p>
    <w:p w14:paraId="752DBD20"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Intent over configuration.</w:t>
      </w:r>
      <w:r w:rsidRPr="00584954">
        <w:rPr>
          <w:rFonts w:eastAsia="Times New Roman" w:cs="Times New Roman"/>
          <w:kern w:val="0"/>
          <w14:ligatures w14:val="none"/>
        </w:rPr>
        <w:t xml:space="preserve"> Business and security intent are expressed in a Policy Engine and translated into deterministic control</w:t>
      </w:r>
      <w:r w:rsidRPr="00584954">
        <w:rPr>
          <w:rFonts w:eastAsia="Times New Roman" w:cs="Times New Roman"/>
          <w:kern w:val="0"/>
          <w14:ligatures w14:val="none"/>
        </w:rPr>
        <w:noBreakHyphen/>
        <w:t>plane actions.</w:t>
      </w:r>
    </w:p>
    <w:p w14:paraId="76BD6D08"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Application as the primary object.</w:t>
      </w:r>
      <w:r w:rsidRPr="00584954">
        <w:rPr>
          <w:rFonts w:eastAsia="Times New Roman" w:cs="Times New Roman"/>
          <w:kern w:val="0"/>
          <w14:ligatures w14:val="none"/>
        </w:rPr>
        <w:t xml:space="preserve"> Applications (not IPs or VLANs) are the unit of policy, telemetry, and SLA enforcement.</w:t>
      </w:r>
    </w:p>
    <w:p w14:paraId="5C0CC836"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Determinism and resilience.</w:t>
      </w:r>
      <w:r w:rsidRPr="00584954">
        <w:rPr>
          <w:rFonts w:eastAsia="Times New Roman" w:cs="Times New Roman"/>
          <w:kern w:val="0"/>
          <w14:ligatures w14:val="none"/>
        </w:rPr>
        <w:t xml:space="preserve"> Paths and failover behaviors are explicit, pre</w:t>
      </w:r>
      <w:r w:rsidRPr="00584954">
        <w:rPr>
          <w:rFonts w:eastAsia="Times New Roman" w:cs="Times New Roman"/>
          <w:kern w:val="0"/>
          <w14:ligatures w14:val="none"/>
        </w:rPr>
        <w:noBreakHyphen/>
        <w:t>computed, and SLA</w:t>
      </w:r>
      <w:r w:rsidRPr="00584954">
        <w:rPr>
          <w:rFonts w:eastAsia="Times New Roman" w:cs="Times New Roman"/>
          <w:kern w:val="0"/>
          <w14:ligatures w14:val="none"/>
        </w:rPr>
        <w:noBreakHyphen/>
        <w:t>aware.</w:t>
      </w:r>
    </w:p>
    <w:p w14:paraId="7169A6A4"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Continuous verification.</w:t>
      </w:r>
      <w:r w:rsidRPr="00584954">
        <w:rPr>
          <w:rFonts w:eastAsia="Times New Roman" w:cs="Times New Roman"/>
          <w:kern w:val="0"/>
          <w14:ligatures w14:val="none"/>
        </w:rPr>
        <w:t xml:space="preserve"> Telemetry, identity events, and behavioral analytics drive automated remediation and drift reconciliation.</w:t>
      </w:r>
    </w:p>
    <w:p w14:paraId="7D2AD869" w14:textId="77777777" w:rsidR="00584954" w:rsidRPr="00584954" w:rsidRDefault="00584954" w:rsidP="00584954">
      <w:pPr>
        <w:numPr>
          <w:ilvl w:val="0"/>
          <w:numId w:val="12"/>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Privacy and lawful use.</w:t>
      </w:r>
      <w:r w:rsidRPr="00584954">
        <w:rPr>
          <w:rFonts w:eastAsia="Times New Roman" w:cs="Times New Roman"/>
          <w:kern w:val="0"/>
          <w14:ligatures w14:val="none"/>
        </w:rPr>
        <w:t xml:space="preserve"> Location and telemetry data are treated as potentially sensitive; collection and sharing must meet privacy, retention, and access control requirements.</w:t>
      </w:r>
    </w:p>
    <w:p w14:paraId="6FBD37A4"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kern w:val="0"/>
          <w14:ligatures w14:val="none"/>
        </w:rPr>
        <w:t xml:space="preserve">These tenets ensure the architecture is </w:t>
      </w:r>
      <w:r w:rsidRPr="00584954">
        <w:rPr>
          <w:rFonts w:eastAsia="Times New Roman" w:cs="Times New Roman"/>
          <w:b/>
          <w:bCs/>
          <w:kern w:val="0"/>
          <w14:ligatures w14:val="none"/>
        </w:rPr>
        <w:t>scalable</w:t>
      </w:r>
      <w:r w:rsidRPr="00584954">
        <w:rPr>
          <w:rFonts w:eastAsia="Times New Roman" w:cs="Times New Roman"/>
          <w:kern w:val="0"/>
          <w14:ligatures w14:val="none"/>
        </w:rPr>
        <w:t xml:space="preserve">, </w:t>
      </w:r>
      <w:r w:rsidRPr="00584954">
        <w:rPr>
          <w:rFonts w:eastAsia="Times New Roman" w:cs="Times New Roman"/>
          <w:b/>
          <w:bCs/>
          <w:kern w:val="0"/>
          <w14:ligatures w14:val="none"/>
        </w:rPr>
        <w:t>auditable</w:t>
      </w:r>
      <w:r w:rsidRPr="00584954">
        <w:rPr>
          <w:rFonts w:eastAsia="Times New Roman" w:cs="Times New Roman"/>
          <w:kern w:val="0"/>
          <w14:ligatures w14:val="none"/>
        </w:rPr>
        <w:t xml:space="preserve">, and </w:t>
      </w:r>
      <w:r w:rsidRPr="00584954">
        <w:rPr>
          <w:rFonts w:eastAsia="Times New Roman" w:cs="Times New Roman"/>
          <w:b/>
          <w:bCs/>
          <w:kern w:val="0"/>
          <w14:ligatures w14:val="none"/>
        </w:rPr>
        <w:t>operationally deterministic</w:t>
      </w:r>
      <w:r w:rsidRPr="00584954">
        <w:rPr>
          <w:rFonts w:eastAsia="Times New Roman" w:cs="Times New Roman"/>
          <w:kern w:val="0"/>
          <w14:ligatures w14:val="none"/>
        </w:rPr>
        <w:t>.</w:t>
      </w:r>
    </w:p>
    <w:p w14:paraId="490C8663" w14:textId="77777777" w:rsidR="00584954" w:rsidRPr="00584954" w:rsidRDefault="00584954" w:rsidP="00584954">
      <w:pPr>
        <w:spacing w:before="100" w:beforeAutospacing="1" w:after="100" w:afterAutospacing="1" w:line="240" w:lineRule="auto"/>
        <w:outlineLvl w:val="3"/>
        <w:rPr>
          <w:rFonts w:eastAsia="Times New Roman" w:cs="Times New Roman"/>
          <w:b/>
          <w:bCs/>
          <w:kern w:val="0"/>
          <w14:ligatures w14:val="none"/>
        </w:rPr>
      </w:pPr>
      <w:r w:rsidRPr="00584954">
        <w:rPr>
          <w:rFonts w:eastAsia="Times New Roman" w:cs="Times New Roman"/>
          <w:b/>
          <w:bCs/>
          <w:kern w:val="0"/>
          <w14:ligatures w14:val="none"/>
        </w:rPr>
        <w:t>1.3 Conceptual Model: Underlay, Overlay, and Authority</w:t>
      </w:r>
    </w:p>
    <w:p w14:paraId="008C6EE4"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kern w:val="0"/>
          <w14:ligatures w14:val="none"/>
        </w:rPr>
        <w:t>The architecture separates responsibilities into three interacting domains:</w:t>
      </w:r>
    </w:p>
    <w:p w14:paraId="2686DC06" w14:textId="77777777" w:rsidR="00584954" w:rsidRPr="00584954" w:rsidRDefault="00584954" w:rsidP="00584954">
      <w:pPr>
        <w:numPr>
          <w:ilvl w:val="0"/>
          <w:numId w:val="13"/>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Authority Plane (sources of truth):</w:t>
      </w:r>
      <w:r w:rsidRPr="00584954">
        <w:rPr>
          <w:rFonts w:eastAsia="Times New Roman" w:cs="Times New Roman"/>
          <w:kern w:val="0"/>
          <w14:ligatures w14:val="none"/>
        </w:rPr>
        <w:t xml:space="preserve"> IP Address Management (IPAM); Identity and Access Management (IAM); Certificate and Token Services; Policy Engine. These systems define </w:t>
      </w:r>
      <w:r w:rsidRPr="00584954">
        <w:rPr>
          <w:rFonts w:eastAsia="Times New Roman" w:cs="Times New Roman"/>
          <w:b/>
          <w:bCs/>
          <w:kern w:val="0"/>
          <w14:ligatures w14:val="none"/>
        </w:rPr>
        <w:t>who</w:t>
      </w:r>
      <w:r w:rsidRPr="00584954">
        <w:rPr>
          <w:rFonts w:eastAsia="Times New Roman" w:cs="Times New Roman"/>
          <w:kern w:val="0"/>
          <w14:ligatures w14:val="none"/>
        </w:rPr>
        <w:t xml:space="preserve"> and </w:t>
      </w:r>
      <w:r w:rsidRPr="00584954">
        <w:rPr>
          <w:rFonts w:eastAsia="Times New Roman" w:cs="Times New Roman"/>
          <w:b/>
          <w:bCs/>
          <w:kern w:val="0"/>
          <w14:ligatures w14:val="none"/>
        </w:rPr>
        <w:t>what</w:t>
      </w:r>
      <w:r w:rsidRPr="00584954">
        <w:rPr>
          <w:rFonts w:eastAsia="Times New Roman" w:cs="Times New Roman"/>
          <w:kern w:val="0"/>
          <w14:ligatures w14:val="none"/>
        </w:rPr>
        <w:t xml:space="preserve"> and express </w:t>
      </w:r>
      <w:r w:rsidRPr="00584954">
        <w:rPr>
          <w:rFonts w:eastAsia="Times New Roman" w:cs="Times New Roman"/>
          <w:b/>
          <w:bCs/>
          <w:kern w:val="0"/>
          <w14:ligatures w14:val="none"/>
        </w:rPr>
        <w:t>intent</w:t>
      </w:r>
      <w:r w:rsidRPr="00584954">
        <w:rPr>
          <w:rFonts w:eastAsia="Times New Roman" w:cs="Times New Roman"/>
          <w:kern w:val="0"/>
          <w14:ligatures w14:val="none"/>
        </w:rPr>
        <w:t>.</w:t>
      </w:r>
    </w:p>
    <w:p w14:paraId="1EB398B1" w14:textId="77777777" w:rsidR="00584954" w:rsidRPr="00584954" w:rsidRDefault="00584954" w:rsidP="00584954">
      <w:pPr>
        <w:numPr>
          <w:ilvl w:val="0"/>
          <w:numId w:val="13"/>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Control Plane (translation and orchestration):</w:t>
      </w:r>
      <w:r w:rsidRPr="00584954">
        <w:rPr>
          <w:rFonts w:eastAsia="Times New Roman" w:cs="Times New Roman"/>
          <w:kern w:val="0"/>
          <w14:ligatures w14:val="none"/>
        </w:rPr>
        <w:t xml:space="preserve"> Consumes authority inputs and translates intent into routing, segmentation, QoS, and enforcement rules across overlay and underlay. Includes intent translation, path orchestration, and closed</w:t>
      </w:r>
      <w:r w:rsidRPr="00584954">
        <w:rPr>
          <w:rFonts w:eastAsia="Times New Roman" w:cs="Times New Roman"/>
          <w:kern w:val="0"/>
          <w14:ligatures w14:val="none"/>
        </w:rPr>
        <w:noBreakHyphen/>
        <w:t>loop automation.</w:t>
      </w:r>
    </w:p>
    <w:p w14:paraId="6AF57A5A" w14:textId="77777777" w:rsidR="00584954" w:rsidRPr="00584954" w:rsidRDefault="00584954" w:rsidP="00584954">
      <w:pPr>
        <w:numPr>
          <w:ilvl w:val="0"/>
          <w:numId w:val="13"/>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Data Plane (overlay + underlay):</w:t>
      </w:r>
      <w:r w:rsidRPr="00584954">
        <w:rPr>
          <w:rFonts w:eastAsia="Times New Roman" w:cs="Times New Roman"/>
          <w:kern w:val="0"/>
          <w14:ligatures w14:val="none"/>
        </w:rPr>
        <w:t xml:space="preserve"> </w:t>
      </w:r>
    </w:p>
    <w:p w14:paraId="6663D228" w14:textId="77777777" w:rsidR="00584954" w:rsidRPr="00584954" w:rsidRDefault="00584954" w:rsidP="00584954">
      <w:pPr>
        <w:numPr>
          <w:ilvl w:val="1"/>
          <w:numId w:val="13"/>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Overlay Fabric:</w:t>
      </w:r>
      <w:r w:rsidRPr="00584954">
        <w:rPr>
          <w:rFonts w:eastAsia="Times New Roman" w:cs="Times New Roman"/>
          <w:kern w:val="0"/>
          <w14:ligatures w14:val="none"/>
        </w:rPr>
        <w:t xml:space="preserve"> SDN in data centers and SD</w:t>
      </w:r>
      <w:r w:rsidRPr="00584954">
        <w:rPr>
          <w:rFonts w:eastAsia="Times New Roman" w:cs="Times New Roman"/>
          <w:kern w:val="0"/>
          <w14:ligatures w14:val="none"/>
        </w:rPr>
        <w:noBreakHyphen/>
        <w:t>WAN across WAN/edge enforce identity</w:t>
      </w:r>
      <w:r w:rsidRPr="00584954">
        <w:rPr>
          <w:rFonts w:eastAsia="Times New Roman" w:cs="Times New Roman"/>
          <w:kern w:val="0"/>
          <w14:ligatures w14:val="none"/>
        </w:rPr>
        <w:noBreakHyphen/>
        <w:t>based segmentation, application classification, and service insertion. Encapsulation examples include VXLAN, GRE, and IPsec.</w:t>
      </w:r>
    </w:p>
    <w:p w14:paraId="1E8229B7" w14:textId="77777777" w:rsidR="00584954" w:rsidRPr="00584954" w:rsidRDefault="00584954" w:rsidP="00584954">
      <w:pPr>
        <w:numPr>
          <w:ilvl w:val="1"/>
          <w:numId w:val="13"/>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Physical Underlay:</w:t>
      </w:r>
      <w:r w:rsidRPr="00584954">
        <w:rPr>
          <w:rFonts w:eastAsia="Times New Roman" w:cs="Times New Roman"/>
          <w:kern w:val="0"/>
          <w14:ligatures w14:val="none"/>
        </w:rPr>
        <w:t xml:space="preserve"> MPLS, Dedicated Internet Access (DIA), LTE/5G, and campus L2/L3 provide deterministic transport primitives and QoS enforcement (SR</w:t>
      </w:r>
      <w:r w:rsidRPr="00584954">
        <w:rPr>
          <w:rFonts w:eastAsia="Times New Roman" w:cs="Times New Roman"/>
          <w:kern w:val="0"/>
          <w14:ligatures w14:val="none"/>
        </w:rPr>
        <w:noBreakHyphen/>
        <w:t>TE, MPLS</w:t>
      </w:r>
      <w:r w:rsidRPr="00584954">
        <w:rPr>
          <w:rFonts w:eastAsia="Times New Roman" w:cs="Times New Roman"/>
          <w:kern w:val="0"/>
          <w14:ligatures w14:val="none"/>
        </w:rPr>
        <w:noBreakHyphen/>
        <w:t>TE).</w:t>
      </w:r>
    </w:p>
    <w:p w14:paraId="02871B84"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Operational separation:</w:t>
      </w:r>
      <w:r w:rsidRPr="00584954">
        <w:rPr>
          <w:rFonts w:eastAsia="Times New Roman" w:cs="Times New Roman"/>
          <w:kern w:val="0"/>
          <w14:ligatures w14:val="none"/>
        </w:rPr>
        <w:t xml:space="preserve"> the overlay enforces policy and identity; the underlay guarantees transport characteristics. The control plane binds the two deterministically.</w:t>
      </w:r>
    </w:p>
    <w:p w14:paraId="143735C0" w14:textId="77777777" w:rsidR="00584954" w:rsidRPr="00584954" w:rsidRDefault="00584954" w:rsidP="00584954">
      <w:pPr>
        <w:spacing w:before="100" w:beforeAutospacing="1" w:after="100" w:afterAutospacing="1" w:line="240" w:lineRule="auto"/>
        <w:outlineLvl w:val="3"/>
        <w:rPr>
          <w:rFonts w:eastAsia="Times New Roman" w:cs="Times New Roman"/>
          <w:b/>
          <w:bCs/>
          <w:kern w:val="0"/>
          <w14:ligatures w14:val="none"/>
        </w:rPr>
      </w:pPr>
      <w:r w:rsidRPr="00584954">
        <w:rPr>
          <w:rFonts w:eastAsia="Times New Roman" w:cs="Times New Roman"/>
          <w:b/>
          <w:bCs/>
          <w:kern w:val="0"/>
          <w14:ligatures w14:val="none"/>
        </w:rPr>
        <w:t>1.4 Operational Flow and Feedback Loop</w:t>
      </w:r>
    </w:p>
    <w:p w14:paraId="2515D355"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Operational flow (practical sequence):</w:t>
      </w:r>
    </w:p>
    <w:p w14:paraId="5159206C" w14:textId="77777777" w:rsidR="00584954" w:rsidRPr="00584954" w:rsidRDefault="00584954" w:rsidP="00584954">
      <w:pPr>
        <w:numPr>
          <w:ilvl w:val="0"/>
          <w:numId w:val="14"/>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Telemetry collection:</w:t>
      </w:r>
      <w:r w:rsidRPr="00584954">
        <w:rPr>
          <w:rFonts w:eastAsia="Times New Roman" w:cs="Times New Roman"/>
          <w:kern w:val="0"/>
          <w14:ligatures w14:val="none"/>
        </w:rPr>
        <w:t xml:space="preserve"> Underlay and overlay nodes, endpoints, and identity systems emit metrics (latency, jitter, loss), flow records, application classification, and location signals.</w:t>
      </w:r>
    </w:p>
    <w:p w14:paraId="633DA015" w14:textId="77777777" w:rsidR="00584954" w:rsidRPr="00584954" w:rsidRDefault="00584954" w:rsidP="00584954">
      <w:pPr>
        <w:numPr>
          <w:ilvl w:val="0"/>
          <w:numId w:val="14"/>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Correlation and decisioning:</w:t>
      </w:r>
      <w:r w:rsidRPr="00584954">
        <w:rPr>
          <w:rFonts w:eastAsia="Times New Roman" w:cs="Times New Roman"/>
          <w:kern w:val="0"/>
          <w14:ligatures w14:val="none"/>
        </w:rPr>
        <w:t xml:space="preserve"> The Control Plane and Policy Engine correlate telemetry with identity and intent to select paths and enforcement actions.</w:t>
      </w:r>
    </w:p>
    <w:p w14:paraId="4E331F18" w14:textId="77777777" w:rsidR="00584954" w:rsidRPr="00584954" w:rsidRDefault="00584954" w:rsidP="00584954">
      <w:pPr>
        <w:numPr>
          <w:ilvl w:val="0"/>
          <w:numId w:val="14"/>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Path binding and enforcement:</w:t>
      </w:r>
      <w:r w:rsidRPr="00584954">
        <w:rPr>
          <w:rFonts w:eastAsia="Times New Roman" w:cs="Times New Roman"/>
          <w:kern w:val="0"/>
          <w14:ligatures w14:val="none"/>
        </w:rPr>
        <w:t xml:space="preserve"> Flows are bound to deterministic underlay paths (SR</w:t>
      </w:r>
      <w:r w:rsidRPr="00584954">
        <w:rPr>
          <w:rFonts w:eastAsia="Times New Roman" w:cs="Times New Roman"/>
          <w:kern w:val="0"/>
          <w14:ligatures w14:val="none"/>
        </w:rPr>
        <w:noBreakHyphen/>
        <w:t>TE/MPLS</w:t>
      </w:r>
      <w:r w:rsidRPr="00584954">
        <w:rPr>
          <w:rFonts w:eastAsia="Times New Roman" w:cs="Times New Roman"/>
          <w:kern w:val="0"/>
          <w14:ligatures w14:val="none"/>
        </w:rPr>
        <w:noBreakHyphen/>
        <w:t>TE) or overlay tunnels; enforcement points (SDN/SD</w:t>
      </w:r>
      <w:r w:rsidRPr="00584954">
        <w:rPr>
          <w:rFonts w:eastAsia="Times New Roman" w:cs="Times New Roman"/>
          <w:kern w:val="0"/>
          <w14:ligatures w14:val="none"/>
        </w:rPr>
        <w:noBreakHyphen/>
        <w:t>WAN gateways, SASE nodes) apply segmentation and inspection.</w:t>
      </w:r>
    </w:p>
    <w:p w14:paraId="1A3CB0EA" w14:textId="77777777" w:rsidR="00584954" w:rsidRPr="00584954" w:rsidRDefault="00584954" w:rsidP="00584954">
      <w:pPr>
        <w:numPr>
          <w:ilvl w:val="0"/>
          <w:numId w:val="14"/>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Continuous feedback:</w:t>
      </w:r>
      <w:r w:rsidRPr="00584954">
        <w:rPr>
          <w:rFonts w:eastAsia="Times New Roman" w:cs="Times New Roman"/>
          <w:kern w:val="0"/>
          <w14:ligatures w14:val="none"/>
        </w:rPr>
        <w:t xml:space="preserve"> Telemetry and identity events feed back into analytics and automation for drift detection, SLA remediation, and policy convergence.</w:t>
      </w:r>
    </w:p>
    <w:p w14:paraId="255BC8A4"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kern w:val="0"/>
          <w14:ligatures w14:val="none"/>
        </w:rPr>
        <w:t>This closed</w:t>
      </w:r>
      <w:r w:rsidRPr="00584954">
        <w:rPr>
          <w:rFonts w:eastAsia="Times New Roman" w:cs="Times New Roman"/>
          <w:kern w:val="0"/>
          <w14:ligatures w14:val="none"/>
        </w:rPr>
        <w:noBreakHyphen/>
        <w:t>loop model ensures deterministic behavior, rapid remediation, and continuous alignment with intent.</w:t>
      </w:r>
    </w:p>
    <w:p w14:paraId="4D2D07EE" w14:textId="77777777" w:rsidR="00584954" w:rsidRPr="00584954" w:rsidRDefault="00584954" w:rsidP="00584954">
      <w:pPr>
        <w:spacing w:before="100" w:beforeAutospacing="1" w:after="100" w:afterAutospacing="1" w:line="240" w:lineRule="auto"/>
        <w:outlineLvl w:val="3"/>
        <w:rPr>
          <w:rFonts w:eastAsia="Times New Roman" w:cs="Times New Roman"/>
          <w:b/>
          <w:bCs/>
          <w:kern w:val="0"/>
          <w14:ligatures w14:val="none"/>
        </w:rPr>
      </w:pPr>
      <w:r w:rsidRPr="00584954">
        <w:rPr>
          <w:rFonts w:eastAsia="Times New Roman" w:cs="Times New Roman"/>
          <w:b/>
          <w:bCs/>
          <w:kern w:val="0"/>
          <w14:ligatures w14:val="none"/>
        </w:rPr>
        <w:t>1.5 Privacy, Compliance, and ATO Considerations</w:t>
      </w:r>
    </w:p>
    <w:p w14:paraId="539612D2"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Privacy and lawful</w:t>
      </w:r>
      <w:r w:rsidRPr="00584954">
        <w:rPr>
          <w:rFonts w:eastAsia="Times New Roman" w:cs="Times New Roman"/>
          <w:b/>
          <w:bCs/>
          <w:kern w:val="0"/>
          <w14:ligatures w14:val="none"/>
        </w:rPr>
        <w:noBreakHyphen/>
        <w:t>use constraints:</w:t>
      </w:r>
      <w:r w:rsidRPr="00584954">
        <w:rPr>
          <w:rFonts w:eastAsia="Times New Roman" w:cs="Times New Roman"/>
          <w:kern w:val="0"/>
          <w14:ligatures w14:val="none"/>
        </w:rPr>
        <w:t xml:space="preserve"> Location and telemetry signals can contain personally identifiable information (PII). Agencies must perform Privacy Impact Assessments (PIAs), define retention and access controls, and ensure telemetry sharing complies with applicable privacy and data residency policies before enabling location</w:t>
      </w:r>
      <w:r w:rsidRPr="00584954">
        <w:rPr>
          <w:rFonts w:eastAsia="Times New Roman" w:cs="Times New Roman"/>
          <w:kern w:val="0"/>
          <w14:ligatures w14:val="none"/>
        </w:rPr>
        <w:noBreakHyphen/>
        <w:t>based optimizations.</w:t>
      </w:r>
    </w:p>
    <w:p w14:paraId="3F5CE891"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Authority to Operate (ATO) guidance:</w:t>
      </w:r>
      <w:r w:rsidRPr="00584954">
        <w:rPr>
          <w:rFonts w:eastAsia="Times New Roman" w:cs="Times New Roman"/>
          <w:kern w:val="0"/>
          <w14:ligatures w14:val="none"/>
        </w:rPr>
        <w:t xml:space="preserve"> FedRAMP authorization of cloud services reduces assessment burden but does not automatically grant an agency ATO. Agencies must use vendor FedRAMP artifacts (System Security Plan, Security Assessment Report, Plan of Actions &amp; Milestones) and document any residual risks and </w:t>
      </w:r>
      <w:proofErr w:type="gramStart"/>
      <w:r w:rsidRPr="00584954">
        <w:rPr>
          <w:rFonts w:eastAsia="Times New Roman" w:cs="Times New Roman"/>
          <w:kern w:val="0"/>
          <w14:ligatures w14:val="none"/>
        </w:rPr>
        <w:t>compensating</w:t>
      </w:r>
      <w:proofErr w:type="gramEnd"/>
      <w:r w:rsidRPr="00584954">
        <w:rPr>
          <w:rFonts w:eastAsia="Times New Roman" w:cs="Times New Roman"/>
          <w:kern w:val="0"/>
          <w14:ligatures w14:val="none"/>
        </w:rPr>
        <w:t xml:space="preserve"> controls in their ATO packages.</w:t>
      </w:r>
    </w:p>
    <w:p w14:paraId="6A52DA31" w14:textId="77777777" w:rsidR="00584954" w:rsidRPr="00584954" w:rsidRDefault="00584954" w:rsidP="00584954">
      <w:pPr>
        <w:spacing w:before="100" w:beforeAutospacing="1" w:after="100" w:afterAutospacing="1" w:line="240" w:lineRule="auto"/>
        <w:outlineLvl w:val="3"/>
        <w:rPr>
          <w:rFonts w:eastAsia="Times New Roman" w:cs="Times New Roman"/>
          <w:b/>
          <w:bCs/>
          <w:kern w:val="0"/>
          <w14:ligatures w14:val="none"/>
        </w:rPr>
      </w:pPr>
      <w:r w:rsidRPr="00584954">
        <w:rPr>
          <w:rFonts w:eastAsia="Times New Roman" w:cs="Times New Roman"/>
          <w:b/>
          <w:bCs/>
          <w:kern w:val="0"/>
          <w14:ligatures w14:val="none"/>
        </w:rPr>
        <w:t>1.6 Cross</w:t>
      </w:r>
      <w:r w:rsidRPr="00584954">
        <w:rPr>
          <w:rFonts w:eastAsia="Times New Roman" w:cs="Times New Roman"/>
          <w:b/>
          <w:bCs/>
          <w:kern w:val="0"/>
          <w14:ligatures w14:val="none"/>
        </w:rPr>
        <w:noBreakHyphen/>
        <w:t>References and Implementation Notes</w:t>
      </w:r>
    </w:p>
    <w:p w14:paraId="078969A3" w14:textId="77777777" w:rsidR="00584954" w:rsidRPr="00584954" w:rsidRDefault="00584954" w:rsidP="00584954">
      <w:pPr>
        <w:numPr>
          <w:ilvl w:val="0"/>
          <w:numId w:val="15"/>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Deterministic pathing</w:t>
      </w:r>
      <w:r w:rsidRPr="00584954">
        <w:rPr>
          <w:rFonts w:eastAsia="Times New Roman" w:cs="Times New Roman"/>
          <w:kern w:val="0"/>
          <w14:ligatures w14:val="none"/>
        </w:rPr>
        <w:t xml:space="preserve"> details and SR</w:t>
      </w:r>
      <w:r w:rsidRPr="00584954">
        <w:rPr>
          <w:rFonts w:eastAsia="Times New Roman" w:cs="Times New Roman"/>
          <w:kern w:val="0"/>
          <w14:ligatures w14:val="none"/>
        </w:rPr>
        <w:noBreakHyphen/>
        <w:t>TE/MPLS</w:t>
      </w:r>
      <w:r w:rsidRPr="00584954">
        <w:rPr>
          <w:rFonts w:eastAsia="Times New Roman" w:cs="Times New Roman"/>
          <w:kern w:val="0"/>
          <w14:ligatures w14:val="none"/>
        </w:rPr>
        <w:noBreakHyphen/>
        <w:t xml:space="preserve">TE guidance are in </w:t>
      </w:r>
      <w:r w:rsidRPr="00584954">
        <w:rPr>
          <w:rFonts w:eastAsia="Times New Roman" w:cs="Times New Roman"/>
          <w:b/>
          <w:bCs/>
          <w:kern w:val="0"/>
          <w14:ligatures w14:val="none"/>
        </w:rPr>
        <w:t>Section 3: Determinism, Redundancy, and High Availability</w:t>
      </w:r>
      <w:r w:rsidRPr="00584954">
        <w:rPr>
          <w:rFonts w:eastAsia="Times New Roman" w:cs="Times New Roman"/>
          <w:kern w:val="0"/>
          <w14:ligatures w14:val="none"/>
        </w:rPr>
        <w:t>.</w:t>
      </w:r>
    </w:p>
    <w:p w14:paraId="3DA651E8" w14:textId="77777777" w:rsidR="00584954" w:rsidRPr="00584954" w:rsidRDefault="00584954" w:rsidP="00584954">
      <w:pPr>
        <w:numPr>
          <w:ilvl w:val="0"/>
          <w:numId w:val="15"/>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Application Identity</w:t>
      </w:r>
      <w:r w:rsidRPr="00584954">
        <w:rPr>
          <w:rFonts w:eastAsia="Times New Roman" w:cs="Times New Roman"/>
          <w:kern w:val="0"/>
          <w14:ligatures w14:val="none"/>
        </w:rPr>
        <w:t xml:space="preserve"> lifecycle and governance are in </w:t>
      </w:r>
      <w:r w:rsidRPr="00584954">
        <w:rPr>
          <w:rFonts w:eastAsia="Times New Roman" w:cs="Times New Roman"/>
          <w:b/>
          <w:bCs/>
          <w:kern w:val="0"/>
          <w14:ligatures w14:val="none"/>
        </w:rPr>
        <w:t>Section 2: Application Identity</w:t>
      </w:r>
      <w:r w:rsidRPr="00584954">
        <w:rPr>
          <w:rFonts w:eastAsia="Times New Roman" w:cs="Times New Roman"/>
          <w:kern w:val="0"/>
          <w14:ligatures w14:val="none"/>
        </w:rPr>
        <w:t>.</w:t>
      </w:r>
    </w:p>
    <w:p w14:paraId="30A0F3E5" w14:textId="77777777" w:rsidR="00584954" w:rsidRPr="00584954" w:rsidRDefault="00584954" w:rsidP="00584954">
      <w:pPr>
        <w:numPr>
          <w:ilvl w:val="0"/>
          <w:numId w:val="15"/>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Telemetry schema, identity</w:t>
      </w:r>
      <w:r w:rsidRPr="00584954">
        <w:rPr>
          <w:rFonts w:eastAsia="Times New Roman" w:cs="Times New Roman"/>
          <w:b/>
          <w:bCs/>
          <w:kern w:val="0"/>
          <w14:ligatures w14:val="none"/>
        </w:rPr>
        <w:noBreakHyphen/>
        <w:t>aware flow logs, and AI monitoring</w:t>
      </w:r>
      <w:r w:rsidRPr="00584954">
        <w:rPr>
          <w:rFonts w:eastAsia="Times New Roman" w:cs="Times New Roman"/>
          <w:kern w:val="0"/>
          <w14:ligatures w14:val="none"/>
        </w:rPr>
        <w:t xml:space="preserve"> are in </w:t>
      </w:r>
      <w:r w:rsidRPr="00584954">
        <w:rPr>
          <w:rFonts w:eastAsia="Times New Roman" w:cs="Times New Roman"/>
          <w:b/>
          <w:bCs/>
          <w:kern w:val="0"/>
          <w14:ligatures w14:val="none"/>
        </w:rPr>
        <w:t>Section 7: Telemetry, Observability, and Automation</w:t>
      </w:r>
      <w:r w:rsidRPr="00584954">
        <w:rPr>
          <w:rFonts w:eastAsia="Times New Roman" w:cs="Times New Roman"/>
          <w:kern w:val="0"/>
          <w14:ligatures w14:val="none"/>
        </w:rPr>
        <w:t>.</w:t>
      </w:r>
    </w:p>
    <w:p w14:paraId="29B95E07" w14:textId="77777777" w:rsidR="00584954" w:rsidRPr="00584954" w:rsidRDefault="00584954" w:rsidP="00584954">
      <w:pPr>
        <w:numPr>
          <w:ilvl w:val="0"/>
          <w:numId w:val="15"/>
        </w:numPr>
        <w:spacing w:before="100" w:beforeAutospacing="1" w:after="100" w:afterAutospacing="1" w:line="240" w:lineRule="auto"/>
        <w:rPr>
          <w:rFonts w:eastAsia="Times New Roman" w:cs="Times New Roman"/>
          <w:kern w:val="0"/>
          <w14:ligatures w14:val="none"/>
        </w:rPr>
      </w:pPr>
      <w:r w:rsidRPr="00584954">
        <w:rPr>
          <w:rFonts w:eastAsia="Times New Roman" w:cs="Times New Roman"/>
          <w:b/>
          <w:bCs/>
          <w:kern w:val="0"/>
          <w14:ligatures w14:val="none"/>
        </w:rPr>
        <w:t>Vendor mappings and FedRAMP considerations</w:t>
      </w:r>
      <w:r w:rsidRPr="00584954">
        <w:rPr>
          <w:rFonts w:eastAsia="Times New Roman" w:cs="Times New Roman"/>
          <w:kern w:val="0"/>
          <w14:ligatures w14:val="none"/>
        </w:rPr>
        <w:t xml:space="preserve"> are in </w:t>
      </w:r>
      <w:r w:rsidRPr="00584954">
        <w:rPr>
          <w:rFonts w:eastAsia="Times New Roman" w:cs="Times New Roman"/>
          <w:b/>
          <w:bCs/>
          <w:kern w:val="0"/>
          <w14:ligatures w14:val="none"/>
        </w:rPr>
        <w:t>Appendix A: Vendor Integration</w:t>
      </w:r>
      <w:r w:rsidRPr="00584954">
        <w:rPr>
          <w:rFonts w:eastAsia="Times New Roman" w:cs="Times New Roman"/>
          <w:kern w:val="0"/>
          <w14:ligatures w14:val="none"/>
        </w:rPr>
        <w:t>.</w:t>
      </w:r>
    </w:p>
    <w:p w14:paraId="4758F11C" w14:textId="77777777" w:rsidR="00584954" w:rsidRPr="00584954" w:rsidRDefault="00584954" w:rsidP="00584954">
      <w:pPr>
        <w:spacing w:after="0" w:line="240" w:lineRule="auto"/>
        <w:rPr>
          <w:rFonts w:eastAsia="Times New Roman" w:cs="Times New Roman"/>
          <w:kern w:val="0"/>
          <w14:ligatures w14:val="none"/>
        </w:rPr>
      </w:pPr>
      <w:r w:rsidRPr="00584954">
        <w:rPr>
          <w:rFonts w:eastAsia="Times New Roman" w:cs="Times New Roman"/>
          <w:kern w:val="0"/>
          <w14:ligatures w14:val="none"/>
        </w:rPr>
        <w:pict w14:anchorId="172029AD">
          <v:rect id="_x0000_i1035" style="width:0;height:1.5pt" o:hralign="center" o:hrstd="t" o:hr="t" fillcolor="#a0a0a0" stroked="f"/>
        </w:pict>
      </w:r>
    </w:p>
    <w:p w14:paraId="3A268C59" w14:textId="77777777" w:rsidR="00584954" w:rsidRPr="00584954" w:rsidRDefault="00584954" w:rsidP="00584954">
      <w:pPr>
        <w:spacing w:before="100" w:beforeAutospacing="1" w:after="100" w:afterAutospacing="1" w:line="240" w:lineRule="auto"/>
        <w:rPr>
          <w:rFonts w:eastAsia="Times New Roman" w:cs="Times New Roman"/>
          <w:kern w:val="0"/>
          <w14:ligatures w14:val="none"/>
        </w:rPr>
      </w:pPr>
      <w:r w:rsidRPr="00584954">
        <w:rPr>
          <w:rFonts w:eastAsia="Times New Roman" w:cs="Times New Roman"/>
          <w:kern w:val="0"/>
          <w14:ligatures w14:val="none"/>
        </w:rPr>
        <w:t xml:space="preserve">Say </w:t>
      </w:r>
      <w:r w:rsidRPr="00584954">
        <w:rPr>
          <w:rFonts w:eastAsia="Times New Roman" w:cs="Times New Roman"/>
          <w:b/>
          <w:bCs/>
          <w:kern w:val="0"/>
          <w14:ligatures w14:val="none"/>
        </w:rPr>
        <w:t>Proceed</w:t>
      </w:r>
      <w:r w:rsidRPr="00584954">
        <w:rPr>
          <w:rFonts w:eastAsia="Times New Roman" w:cs="Times New Roman"/>
          <w:kern w:val="0"/>
          <w14:ligatures w14:val="none"/>
        </w:rPr>
        <w:t xml:space="preserve"> and I will expand </w:t>
      </w:r>
      <w:r w:rsidRPr="00584954">
        <w:rPr>
          <w:rFonts w:eastAsia="Times New Roman" w:cs="Times New Roman"/>
          <w:b/>
          <w:bCs/>
          <w:kern w:val="0"/>
          <w14:ligatures w14:val="none"/>
        </w:rPr>
        <w:t>Section 2: Layered Architecture Model</w:t>
      </w:r>
      <w:r w:rsidRPr="00584954">
        <w:rPr>
          <w:rFonts w:eastAsia="Times New Roman" w:cs="Times New Roman"/>
          <w:kern w:val="0"/>
          <w14:ligatures w14:val="none"/>
        </w:rPr>
        <w:t xml:space="preserve"> next, producing a full, publication</w:t>
      </w:r>
      <w:r w:rsidRPr="00584954">
        <w:rPr>
          <w:rFonts w:eastAsia="Times New Roman" w:cs="Times New Roman"/>
          <w:kern w:val="0"/>
          <w14:ligatures w14:val="none"/>
        </w:rPr>
        <w:noBreakHyphen/>
        <w:t>ready draft you can paste into Word.</w:t>
      </w:r>
    </w:p>
    <w:p w14:paraId="7630A4AA" w14:textId="77777777" w:rsidR="00871DF6" w:rsidRDefault="00871DF6"/>
    <w:sectPr w:rsidR="0087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85D"/>
    <w:multiLevelType w:val="multilevel"/>
    <w:tmpl w:val="1B4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5203"/>
    <w:multiLevelType w:val="multilevel"/>
    <w:tmpl w:val="0C06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2024A"/>
    <w:multiLevelType w:val="multilevel"/>
    <w:tmpl w:val="E01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70FA9"/>
    <w:multiLevelType w:val="multilevel"/>
    <w:tmpl w:val="ED2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04BEB"/>
    <w:multiLevelType w:val="multilevel"/>
    <w:tmpl w:val="5186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14AAE"/>
    <w:multiLevelType w:val="multilevel"/>
    <w:tmpl w:val="E98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C2D12"/>
    <w:multiLevelType w:val="multilevel"/>
    <w:tmpl w:val="928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004C1"/>
    <w:multiLevelType w:val="multilevel"/>
    <w:tmpl w:val="06A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76846"/>
    <w:multiLevelType w:val="multilevel"/>
    <w:tmpl w:val="1948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5714F"/>
    <w:multiLevelType w:val="multilevel"/>
    <w:tmpl w:val="48C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3643F"/>
    <w:multiLevelType w:val="multilevel"/>
    <w:tmpl w:val="179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70661"/>
    <w:multiLevelType w:val="multilevel"/>
    <w:tmpl w:val="A97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A5340"/>
    <w:multiLevelType w:val="multilevel"/>
    <w:tmpl w:val="F452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B563E"/>
    <w:multiLevelType w:val="multilevel"/>
    <w:tmpl w:val="A9C8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F04738"/>
    <w:multiLevelType w:val="multilevel"/>
    <w:tmpl w:val="DF14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633078">
    <w:abstractNumId w:val="5"/>
  </w:num>
  <w:num w:numId="2" w16cid:durableId="1259174236">
    <w:abstractNumId w:val="3"/>
  </w:num>
  <w:num w:numId="3" w16cid:durableId="1709449642">
    <w:abstractNumId w:val="2"/>
  </w:num>
  <w:num w:numId="4" w16cid:durableId="1133325801">
    <w:abstractNumId w:val="7"/>
  </w:num>
  <w:num w:numId="5" w16cid:durableId="857162111">
    <w:abstractNumId w:val="1"/>
  </w:num>
  <w:num w:numId="6" w16cid:durableId="1000885565">
    <w:abstractNumId w:val="11"/>
  </w:num>
  <w:num w:numId="7" w16cid:durableId="12919674">
    <w:abstractNumId w:val="10"/>
  </w:num>
  <w:num w:numId="8" w16cid:durableId="320237221">
    <w:abstractNumId w:val="6"/>
  </w:num>
  <w:num w:numId="9" w16cid:durableId="933051450">
    <w:abstractNumId w:val="12"/>
  </w:num>
  <w:num w:numId="10" w16cid:durableId="2010257391">
    <w:abstractNumId w:val="8"/>
  </w:num>
  <w:num w:numId="11" w16cid:durableId="999382664">
    <w:abstractNumId w:val="0"/>
  </w:num>
  <w:num w:numId="12" w16cid:durableId="1764642268">
    <w:abstractNumId w:val="9"/>
  </w:num>
  <w:num w:numId="13" w16cid:durableId="1603030484">
    <w:abstractNumId w:val="4"/>
  </w:num>
  <w:num w:numId="14" w16cid:durableId="329021998">
    <w:abstractNumId w:val="13"/>
  </w:num>
  <w:num w:numId="15" w16cid:durableId="14177446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B49"/>
    <w:rsid w:val="000941D4"/>
    <w:rsid w:val="00293B49"/>
    <w:rsid w:val="002A2FB5"/>
    <w:rsid w:val="00584954"/>
    <w:rsid w:val="007D5BF9"/>
    <w:rsid w:val="00851DED"/>
    <w:rsid w:val="00871DF6"/>
    <w:rsid w:val="00DC5A2A"/>
    <w:rsid w:val="00E9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15AF"/>
  <w15:chartTrackingRefBased/>
  <w15:docId w15:val="{D54D82EC-6A47-4468-B497-DDE3F77D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ED"/>
    <w:rPr>
      <w:rFonts w:ascii="Times New Roman" w:hAnsi="Times New Roman"/>
    </w:rPr>
  </w:style>
  <w:style w:type="paragraph" w:styleId="Heading1">
    <w:name w:val="heading 1"/>
    <w:basedOn w:val="Normal"/>
    <w:next w:val="Normal"/>
    <w:link w:val="Heading1Char"/>
    <w:uiPriority w:val="9"/>
    <w:qFormat/>
    <w:rsid w:val="00851DED"/>
    <w:pPr>
      <w:keepNext/>
      <w:keepLines/>
      <w:spacing w:before="280" w:after="12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851DED"/>
    <w:pPr>
      <w:keepNext/>
      <w:keepLines/>
      <w:spacing w:before="240" w:after="6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851DED"/>
    <w:pPr>
      <w:keepNext/>
      <w:keepLines/>
      <w:spacing w:before="120" w:after="6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293B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3B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3B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3B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3B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3B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ED"/>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851DED"/>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851DED"/>
    <w:rPr>
      <w:rFonts w:ascii="Times New Roman" w:eastAsiaTheme="majorEastAsia" w:hAnsi="Times New Roman" w:cstheme="majorBidi"/>
      <w:i/>
      <w:color w:val="0F4761" w:themeColor="accent1" w:themeShade="BF"/>
      <w:szCs w:val="28"/>
    </w:rPr>
  </w:style>
  <w:style w:type="character" w:customStyle="1" w:styleId="Heading4Char">
    <w:name w:val="Heading 4 Char"/>
    <w:basedOn w:val="DefaultParagraphFont"/>
    <w:link w:val="Heading4"/>
    <w:uiPriority w:val="9"/>
    <w:semiHidden/>
    <w:rsid w:val="00293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B49"/>
    <w:rPr>
      <w:rFonts w:eastAsiaTheme="majorEastAsia" w:cstheme="majorBidi"/>
      <w:color w:val="272727" w:themeColor="text1" w:themeTint="D8"/>
    </w:rPr>
  </w:style>
  <w:style w:type="paragraph" w:styleId="Title">
    <w:name w:val="Title"/>
    <w:basedOn w:val="Normal"/>
    <w:next w:val="Normal"/>
    <w:link w:val="TitleChar"/>
    <w:uiPriority w:val="10"/>
    <w:qFormat/>
    <w:rsid w:val="0029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B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B49"/>
    <w:pPr>
      <w:spacing w:before="160"/>
      <w:jc w:val="center"/>
    </w:pPr>
    <w:rPr>
      <w:i/>
      <w:iCs/>
      <w:color w:val="404040" w:themeColor="text1" w:themeTint="BF"/>
    </w:rPr>
  </w:style>
  <w:style w:type="character" w:customStyle="1" w:styleId="QuoteChar">
    <w:name w:val="Quote Char"/>
    <w:basedOn w:val="DefaultParagraphFont"/>
    <w:link w:val="Quote"/>
    <w:uiPriority w:val="29"/>
    <w:rsid w:val="00293B49"/>
    <w:rPr>
      <w:rFonts w:ascii="Times New Roman" w:hAnsi="Times New Roman"/>
      <w:i/>
      <w:iCs/>
      <w:color w:val="404040" w:themeColor="text1" w:themeTint="BF"/>
    </w:rPr>
  </w:style>
  <w:style w:type="paragraph" w:styleId="ListParagraph">
    <w:name w:val="List Paragraph"/>
    <w:basedOn w:val="Normal"/>
    <w:uiPriority w:val="34"/>
    <w:qFormat/>
    <w:rsid w:val="00293B49"/>
    <w:pPr>
      <w:ind w:left="720"/>
      <w:contextualSpacing/>
    </w:pPr>
  </w:style>
  <w:style w:type="character" w:styleId="IntenseEmphasis">
    <w:name w:val="Intense Emphasis"/>
    <w:basedOn w:val="DefaultParagraphFont"/>
    <w:uiPriority w:val="21"/>
    <w:qFormat/>
    <w:rsid w:val="00293B49"/>
    <w:rPr>
      <w:i/>
      <w:iCs/>
      <w:color w:val="0F4761" w:themeColor="accent1" w:themeShade="BF"/>
    </w:rPr>
  </w:style>
  <w:style w:type="paragraph" w:styleId="IntenseQuote">
    <w:name w:val="Intense Quote"/>
    <w:basedOn w:val="Normal"/>
    <w:next w:val="Normal"/>
    <w:link w:val="IntenseQuoteChar"/>
    <w:uiPriority w:val="30"/>
    <w:qFormat/>
    <w:rsid w:val="00293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B49"/>
    <w:rPr>
      <w:rFonts w:ascii="Times New Roman" w:hAnsi="Times New Roman"/>
      <w:i/>
      <w:iCs/>
      <w:color w:val="0F4761" w:themeColor="accent1" w:themeShade="BF"/>
    </w:rPr>
  </w:style>
  <w:style w:type="character" w:styleId="IntenseReference">
    <w:name w:val="Intense Reference"/>
    <w:basedOn w:val="DefaultParagraphFont"/>
    <w:uiPriority w:val="32"/>
    <w:qFormat/>
    <w:rsid w:val="00293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779</Words>
  <Characters>5371</Characters>
  <Application>Microsoft Office Word</Application>
  <DocSecurity>0</DocSecurity>
  <Lines>92</Lines>
  <Paragraphs>48</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Stratton</dc:creator>
  <cp:keywords/>
  <dc:description/>
  <cp:lastModifiedBy>Michael Stratton</cp:lastModifiedBy>
  <cp:revision>3</cp:revision>
  <dcterms:created xsi:type="dcterms:W3CDTF">2026-02-25T13:14:00Z</dcterms:created>
  <dcterms:modified xsi:type="dcterms:W3CDTF">2026-02-25T14:15:00Z</dcterms:modified>
</cp:coreProperties>
</file>