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E11B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 xml:space="preserve">Here it is, Michael — your </w:t>
      </w:r>
      <w:r w:rsidRPr="002E6449">
        <w:rPr>
          <w:rFonts w:eastAsia="Times New Roman" w:cs="Times New Roman"/>
          <w:b/>
          <w:bCs/>
          <w:kern w:val="0"/>
          <w14:ligatures w14:val="none"/>
        </w:rPr>
        <w:t>clean, publication</w:t>
      </w:r>
      <w:r w:rsidRPr="002E6449">
        <w:rPr>
          <w:rFonts w:eastAsia="Times New Roman" w:cs="Times New Roman"/>
          <w:b/>
          <w:bCs/>
          <w:kern w:val="0"/>
          <w14:ligatures w14:val="none"/>
        </w:rPr>
        <w:noBreakHyphen/>
        <w:t>ready Table of Contents</w:t>
      </w:r>
      <w:r w:rsidRPr="002E6449">
        <w:rPr>
          <w:rFonts w:eastAsia="Times New Roman" w:cs="Times New Roman"/>
          <w:kern w:val="0"/>
          <w14:ligatures w14:val="none"/>
        </w:rPr>
        <w:t>, derived directly from the master outline.</w:t>
      </w:r>
      <w:r w:rsidRPr="002E6449">
        <w:rPr>
          <w:rFonts w:eastAsia="Times New Roman" w:cs="Times New Roman"/>
          <w:kern w:val="0"/>
          <w14:ligatures w14:val="none"/>
        </w:rPr>
        <w:br/>
        <w:t>This is structured exactly like a federal</w:t>
      </w:r>
      <w:r w:rsidRPr="002E6449">
        <w:rPr>
          <w:rFonts w:eastAsia="Times New Roman" w:cs="Times New Roman"/>
          <w:kern w:val="0"/>
          <w14:ligatures w14:val="none"/>
        </w:rPr>
        <w:noBreakHyphen/>
        <w:t xml:space="preserve">style white paper and preserves </w:t>
      </w:r>
      <w:r w:rsidRPr="002E6449">
        <w:rPr>
          <w:rFonts w:eastAsia="Times New Roman" w:cs="Times New Roman"/>
          <w:i/>
          <w:iCs/>
          <w:kern w:val="0"/>
          <w14:ligatures w14:val="none"/>
        </w:rPr>
        <w:t>every</w:t>
      </w:r>
      <w:r w:rsidRPr="002E6449">
        <w:rPr>
          <w:rFonts w:eastAsia="Times New Roman" w:cs="Times New Roman"/>
          <w:kern w:val="0"/>
          <w14:ligatures w14:val="none"/>
        </w:rPr>
        <w:t xml:space="preserve"> thread we’ve opened so nothing gets lost.</w:t>
      </w:r>
    </w:p>
    <w:p w14:paraId="12197CBD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1C7BF25">
          <v:rect id="_x0000_i1025" style="width:0;height:1.5pt" o:hralign="center" o:hrstd="t" o:hr="t" fillcolor="#a0a0a0" stroked="f"/>
        </w:pict>
      </w:r>
    </w:p>
    <w:p w14:paraId="76D30D6A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TABLE OF CONTENTS — Unified Identity</w:t>
      </w: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Addressing</w:t>
      </w: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noBreakHyphen/>
        <w:t>Overlay Architecture</w:t>
      </w:r>
    </w:p>
    <w:p w14:paraId="19B68289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E644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0. Front Matter</w:t>
      </w:r>
    </w:p>
    <w:p w14:paraId="09BA9252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0.1 Title</w:t>
      </w:r>
      <w:r w:rsidRPr="002E6449">
        <w:rPr>
          <w:rFonts w:eastAsia="Times New Roman" w:cs="Times New Roman"/>
          <w:kern w:val="0"/>
          <w14:ligatures w14:val="none"/>
        </w:rPr>
        <w:br/>
        <w:t>0.2 Executive Summary</w:t>
      </w:r>
      <w:r w:rsidRPr="002E6449">
        <w:rPr>
          <w:rFonts w:eastAsia="Times New Roman" w:cs="Times New Roman"/>
          <w:kern w:val="0"/>
          <w14:ligatures w14:val="none"/>
        </w:rPr>
        <w:br/>
        <w:t>0.3 Problem Statement</w:t>
      </w:r>
      <w:r w:rsidRPr="002E6449">
        <w:rPr>
          <w:rFonts w:eastAsia="Times New Roman" w:cs="Times New Roman"/>
          <w:kern w:val="0"/>
          <w14:ligatures w14:val="none"/>
        </w:rPr>
        <w:br/>
        <w:t>0.4 Background</w:t>
      </w:r>
      <w:r w:rsidRPr="002E6449">
        <w:rPr>
          <w:rFonts w:eastAsia="Times New Roman" w:cs="Times New Roman"/>
          <w:kern w:val="0"/>
          <w14:ligatures w14:val="none"/>
        </w:rPr>
        <w:br/>
        <w:t>0.5 Current State Analysis</w:t>
      </w:r>
    </w:p>
    <w:p w14:paraId="558C1161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6FCD5FF">
          <v:rect id="_x0000_i1026" style="width:0;height:1.5pt" o:hralign="center" o:hrstd="t" o:hr="t" fillcolor="#a0a0a0" stroked="f"/>
        </w:pict>
      </w:r>
    </w:p>
    <w:p w14:paraId="79839BEA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Unified Architecture Overview</w:t>
      </w:r>
    </w:p>
    <w:p w14:paraId="49014C81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1.1 Purpose and Scope</w:t>
      </w:r>
      <w:r w:rsidRPr="002E6449">
        <w:rPr>
          <w:rFonts w:eastAsia="Times New Roman" w:cs="Times New Roman"/>
          <w:kern w:val="0"/>
          <w14:ligatures w14:val="none"/>
        </w:rPr>
        <w:br/>
        <w:t>1.2 Identity</w:t>
      </w:r>
      <w:r w:rsidRPr="002E6449">
        <w:rPr>
          <w:rFonts w:eastAsia="Times New Roman" w:cs="Times New Roman"/>
          <w:kern w:val="0"/>
          <w14:ligatures w14:val="none"/>
        </w:rPr>
        <w:noBreakHyphen/>
        <w:t>Centric, Application</w:t>
      </w:r>
      <w:r w:rsidRPr="002E6449">
        <w:rPr>
          <w:rFonts w:eastAsia="Times New Roman" w:cs="Times New Roman"/>
          <w:kern w:val="0"/>
          <w14:ligatures w14:val="none"/>
        </w:rPr>
        <w:noBreakHyphen/>
        <w:t>Aware Networking</w:t>
      </w:r>
      <w:r w:rsidRPr="002E6449">
        <w:rPr>
          <w:rFonts w:eastAsia="Times New Roman" w:cs="Times New Roman"/>
          <w:kern w:val="0"/>
          <w14:ligatures w14:val="none"/>
        </w:rPr>
        <w:br/>
        <w:t>1.3 Underlay Abstraction and Overlay Elevation</w:t>
      </w:r>
      <w:r w:rsidRPr="002E6449">
        <w:rPr>
          <w:rFonts w:eastAsia="Times New Roman" w:cs="Times New Roman"/>
          <w:kern w:val="0"/>
          <w14:ligatures w14:val="none"/>
        </w:rPr>
        <w:br/>
        <w:t>1.4 Zero Trust and SASE Alignment</w:t>
      </w:r>
    </w:p>
    <w:p w14:paraId="51E0CB4D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CAA4C4F">
          <v:rect id="_x0000_i1027" style="width:0;height:1.5pt" o:hralign="center" o:hrstd="t" o:hr="t" fillcolor="#a0a0a0" stroked="f"/>
        </w:pict>
      </w:r>
    </w:p>
    <w:p w14:paraId="37E42C07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Layered Architecture Model</w:t>
      </w:r>
    </w:p>
    <w:p w14:paraId="4779E754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2.1 Authority Plane</w:t>
      </w:r>
      <w:r w:rsidRPr="002E6449">
        <w:rPr>
          <w:rFonts w:eastAsia="Times New Roman" w:cs="Times New Roman"/>
          <w:kern w:val="0"/>
          <w14:ligatures w14:val="none"/>
        </w:rPr>
        <w:br/>
        <w:t>2.1.1 IPAM (Address Authority)</w:t>
      </w:r>
      <w:r w:rsidRPr="002E6449">
        <w:rPr>
          <w:rFonts w:eastAsia="Times New Roman" w:cs="Times New Roman"/>
          <w:kern w:val="0"/>
          <w14:ligatures w14:val="none"/>
        </w:rPr>
        <w:br/>
        <w:t>2.1.2 IAM (Identity Authority)</w:t>
      </w:r>
      <w:r w:rsidRPr="002E6449">
        <w:rPr>
          <w:rFonts w:eastAsia="Times New Roman" w:cs="Times New Roman"/>
          <w:kern w:val="0"/>
          <w14:ligatures w14:val="none"/>
        </w:rPr>
        <w:br/>
        <w:t>2.1.3 Certificate and Token Services (Trust Authority)</w:t>
      </w:r>
      <w:r w:rsidRPr="002E6449">
        <w:rPr>
          <w:rFonts w:eastAsia="Times New Roman" w:cs="Times New Roman"/>
          <w:kern w:val="0"/>
          <w14:ligatures w14:val="none"/>
        </w:rPr>
        <w:br/>
        <w:t>2.1.4 Policy Engine (Intent Authority)</w:t>
      </w:r>
    </w:p>
    <w:p w14:paraId="2AAC52BD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2.2 Control Plane</w:t>
      </w:r>
      <w:r w:rsidRPr="002E6449">
        <w:rPr>
          <w:rFonts w:eastAsia="Times New Roman" w:cs="Times New Roman"/>
          <w:kern w:val="0"/>
          <w14:ligatures w14:val="none"/>
        </w:rPr>
        <w:br/>
        <w:t>2.2.1 Intent Translation</w:t>
      </w:r>
      <w:r w:rsidRPr="002E6449">
        <w:rPr>
          <w:rFonts w:eastAsia="Times New Roman" w:cs="Times New Roman"/>
          <w:kern w:val="0"/>
          <w14:ligatures w14:val="none"/>
        </w:rPr>
        <w:br/>
        <w:t>2.2.2 Routing and Path Orchestration (BGP, SR</w:t>
      </w:r>
      <w:r w:rsidRPr="002E6449">
        <w:rPr>
          <w:rFonts w:eastAsia="Times New Roman" w:cs="Times New Roman"/>
          <w:kern w:val="0"/>
          <w14:ligatures w14:val="none"/>
        </w:rPr>
        <w:noBreakHyphen/>
        <w:t>TE, MPLS</w:t>
      </w:r>
      <w:r w:rsidRPr="002E6449">
        <w:rPr>
          <w:rFonts w:eastAsia="Times New Roman" w:cs="Times New Roman"/>
          <w:kern w:val="0"/>
          <w14:ligatures w14:val="none"/>
        </w:rPr>
        <w:noBreakHyphen/>
        <w:t>TE)</w:t>
      </w:r>
      <w:r w:rsidRPr="002E6449">
        <w:rPr>
          <w:rFonts w:eastAsia="Times New Roman" w:cs="Times New Roman"/>
          <w:kern w:val="0"/>
          <w14:ligatures w14:val="none"/>
        </w:rPr>
        <w:br/>
        <w:t>2.2.3 QoS Class Mapping</w:t>
      </w:r>
      <w:r w:rsidRPr="002E6449">
        <w:rPr>
          <w:rFonts w:eastAsia="Times New Roman" w:cs="Times New Roman"/>
          <w:kern w:val="0"/>
          <w14:ligatures w14:val="none"/>
        </w:rPr>
        <w:br/>
        <w:t>2.2.4 Closed</w:t>
      </w:r>
      <w:r w:rsidRPr="002E6449">
        <w:rPr>
          <w:rFonts w:eastAsia="Times New Roman" w:cs="Times New Roman"/>
          <w:kern w:val="0"/>
          <w14:ligatures w14:val="none"/>
        </w:rPr>
        <w:noBreakHyphen/>
        <w:t>Loop Automation</w:t>
      </w:r>
    </w:p>
    <w:p w14:paraId="2FEEF29B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2.3 Overlay Fabric</w:t>
      </w:r>
      <w:r w:rsidRPr="002E6449">
        <w:rPr>
          <w:rFonts w:eastAsia="Times New Roman" w:cs="Times New Roman"/>
          <w:kern w:val="0"/>
          <w14:ligatures w14:val="none"/>
        </w:rPr>
        <w:br/>
        <w:t>2.3.1 SDN Overlays (Data Center)</w:t>
      </w:r>
      <w:r w:rsidRPr="002E6449">
        <w:rPr>
          <w:rFonts w:eastAsia="Times New Roman" w:cs="Times New Roman"/>
          <w:kern w:val="0"/>
          <w14:ligatures w14:val="none"/>
        </w:rPr>
        <w:br/>
        <w:t>2.3.2 SD</w:t>
      </w:r>
      <w:r w:rsidRPr="002E6449">
        <w:rPr>
          <w:rFonts w:eastAsia="Times New Roman" w:cs="Times New Roman"/>
          <w:kern w:val="0"/>
          <w14:ligatures w14:val="none"/>
        </w:rPr>
        <w:noBreakHyphen/>
        <w:t>WAN Overlays (Edge/WAN)</w:t>
      </w:r>
      <w:r w:rsidRPr="002E6449">
        <w:rPr>
          <w:rFonts w:eastAsia="Times New Roman" w:cs="Times New Roman"/>
          <w:kern w:val="0"/>
          <w14:ligatures w14:val="none"/>
        </w:rPr>
        <w:br/>
        <w:t>2.3.3 Segmentation and Microsegmentation</w:t>
      </w:r>
      <w:r w:rsidRPr="002E6449">
        <w:rPr>
          <w:rFonts w:eastAsia="Times New Roman" w:cs="Times New Roman"/>
          <w:kern w:val="0"/>
          <w14:ligatures w14:val="none"/>
        </w:rPr>
        <w:br/>
        <w:t>2.3.4 Application Classification</w:t>
      </w:r>
    </w:p>
    <w:p w14:paraId="7CDDE4E5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2.4 Physical Underlay</w:t>
      </w:r>
      <w:r w:rsidRPr="002E6449">
        <w:rPr>
          <w:rFonts w:eastAsia="Times New Roman" w:cs="Times New Roman"/>
          <w:kern w:val="0"/>
          <w14:ligatures w14:val="none"/>
        </w:rPr>
        <w:br/>
        <w:t>2.4.1 Transport Primitives</w:t>
      </w:r>
      <w:r w:rsidRPr="002E6449">
        <w:rPr>
          <w:rFonts w:eastAsia="Times New Roman" w:cs="Times New Roman"/>
          <w:kern w:val="0"/>
          <w14:ligatures w14:val="none"/>
        </w:rPr>
        <w:br/>
        <w:t>2.4.2 Deterministic Pathing</w:t>
      </w:r>
      <w:r w:rsidRPr="002E6449">
        <w:rPr>
          <w:rFonts w:eastAsia="Times New Roman" w:cs="Times New Roman"/>
          <w:kern w:val="0"/>
          <w14:ligatures w14:val="none"/>
        </w:rPr>
        <w:br/>
        <w:t>2.4.3 QoS Enforcement</w:t>
      </w:r>
    </w:p>
    <w:p w14:paraId="67A3150F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2.5 Unified Architecture Diagram</w:t>
      </w:r>
    </w:p>
    <w:p w14:paraId="766BC1A1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C3E6724">
          <v:rect id="_x0000_i1028" style="width:0;height:1.5pt" o:hralign="center" o:hrstd="t" o:hr="t" fillcolor="#a0a0a0" stroked="f"/>
        </w:pict>
      </w:r>
    </w:p>
    <w:p w14:paraId="1EF02DE2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Application Identity</w:t>
      </w:r>
    </w:p>
    <w:p w14:paraId="7F1CFC42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3.1 Application Identity Model</w:t>
      </w:r>
      <w:r w:rsidRPr="002E6449">
        <w:rPr>
          <w:rFonts w:eastAsia="Times New Roman" w:cs="Times New Roman"/>
          <w:kern w:val="0"/>
          <w14:ligatures w14:val="none"/>
        </w:rPr>
        <w:br/>
        <w:t>3.2 Canonical DNS Naming and Subdomains</w:t>
      </w:r>
      <w:r w:rsidRPr="002E6449">
        <w:rPr>
          <w:rFonts w:eastAsia="Times New Roman" w:cs="Times New Roman"/>
          <w:kern w:val="0"/>
          <w14:ligatures w14:val="none"/>
        </w:rPr>
        <w:br/>
        <w:t>3.3 IPAM</w:t>
      </w:r>
      <w:r w:rsidRPr="002E6449">
        <w:rPr>
          <w:rFonts w:eastAsia="Times New Roman" w:cs="Times New Roman"/>
          <w:kern w:val="0"/>
          <w14:ligatures w14:val="none"/>
        </w:rPr>
        <w:noBreakHyphen/>
        <w:t>Managed Address Space</w:t>
      </w:r>
      <w:r w:rsidRPr="002E6449">
        <w:rPr>
          <w:rFonts w:eastAsia="Times New Roman" w:cs="Times New Roman"/>
          <w:kern w:val="0"/>
          <w14:ligatures w14:val="none"/>
        </w:rPr>
        <w:br/>
        <w:t>3.4 IAM Workload Identity</w:t>
      </w:r>
      <w:r w:rsidRPr="002E6449">
        <w:rPr>
          <w:rFonts w:eastAsia="Times New Roman" w:cs="Times New Roman"/>
          <w:kern w:val="0"/>
          <w14:ligatures w14:val="none"/>
        </w:rPr>
        <w:br/>
        <w:t>3.5 Certificates and Tokens as Trust Anchors</w:t>
      </w:r>
      <w:r w:rsidRPr="002E6449">
        <w:rPr>
          <w:rFonts w:eastAsia="Times New Roman" w:cs="Times New Roman"/>
          <w:kern w:val="0"/>
          <w14:ligatures w14:val="none"/>
        </w:rPr>
        <w:br/>
        <w:t>3.6 Overlay Segmentation Labels</w:t>
      </w:r>
      <w:r w:rsidRPr="002E6449">
        <w:rPr>
          <w:rFonts w:eastAsia="Times New Roman" w:cs="Times New Roman"/>
          <w:kern w:val="0"/>
          <w14:ligatures w14:val="none"/>
        </w:rPr>
        <w:br/>
        <w:t>3.7 Logical Location Attributes</w:t>
      </w:r>
      <w:r w:rsidRPr="002E6449">
        <w:rPr>
          <w:rFonts w:eastAsia="Times New Roman" w:cs="Times New Roman"/>
          <w:kern w:val="0"/>
          <w14:ligatures w14:val="none"/>
        </w:rPr>
        <w:br/>
        <w:t>3.8 End</w:t>
      </w:r>
      <w:r w:rsidRPr="002E6449">
        <w:rPr>
          <w:rFonts w:eastAsia="Times New Roman" w:cs="Times New Roman"/>
          <w:kern w:val="0"/>
          <w14:ligatures w14:val="none"/>
        </w:rPr>
        <w:noBreakHyphen/>
        <w:t>to</w:t>
      </w:r>
      <w:r w:rsidRPr="002E6449">
        <w:rPr>
          <w:rFonts w:eastAsia="Times New Roman" w:cs="Times New Roman"/>
          <w:kern w:val="0"/>
          <w14:ligatures w14:val="none"/>
        </w:rPr>
        <w:noBreakHyphen/>
        <w:t>End Application Behavior</w:t>
      </w:r>
      <w:r w:rsidRPr="002E6449">
        <w:rPr>
          <w:rFonts w:eastAsia="Times New Roman" w:cs="Times New Roman"/>
          <w:kern w:val="0"/>
          <w14:ligatures w14:val="none"/>
        </w:rPr>
        <w:br/>
        <w:t>3.9 Comparison to Entra App Registrations</w:t>
      </w:r>
    </w:p>
    <w:p w14:paraId="160662EB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1078E0B">
          <v:rect id="_x0000_i1029" style="width:0;height:1.5pt" o:hralign="center" o:hrstd="t" o:hr="t" fillcolor="#a0a0a0" stroked="f"/>
        </w:pict>
      </w:r>
    </w:p>
    <w:p w14:paraId="0E0D9D6D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Determinism, Redundancy, and High Availability</w:t>
      </w:r>
    </w:p>
    <w:p w14:paraId="3B5D2016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4.1 Deterministic Pathing (SR</w:t>
      </w:r>
      <w:r w:rsidRPr="002E6449">
        <w:rPr>
          <w:rFonts w:eastAsia="Times New Roman" w:cs="Times New Roman"/>
          <w:kern w:val="0"/>
          <w14:ligatures w14:val="none"/>
        </w:rPr>
        <w:noBreakHyphen/>
        <w:t>TE, MPLS</w:t>
      </w:r>
      <w:r w:rsidRPr="002E6449">
        <w:rPr>
          <w:rFonts w:eastAsia="Times New Roman" w:cs="Times New Roman"/>
          <w:kern w:val="0"/>
          <w14:ligatures w14:val="none"/>
        </w:rPr>
        <w:noBreakHyphen/>
        <w:t>TE, Overlay Tunnels)</w:t>
      </w:r>
      <w:r w:rsidRPr="002E6449">
        <w:rPr>
          <w:rFonts w:eastAsia="Times New Roman" w:cs="Times New Roman"/>
          <w:kern w:val="0"/>
          <w14:ligatures w14:val="none"/>
        </w:rPr>
        <w:br/>
        <w:t>4.2 Controller Redundancy (Active/Active)</w:t>
      </w:r>
      <w:r w:rsidRPr="002E6449">
        <w:rPr>
          <w:rFonts w:eastAsia="Times New Roman" w:cs="Times New Roman"/>
          <w:kern w:val="0"/>
          <w14:ligatures w14:val="none"/>
        </w:rPr>
        <w:br/>
        <w:t>4.3 IPAM/DNS Redundancy</w:t>
      </w:r>
      <w:r w:rsidRPr="002E6449">
        <w:rPr>
          <w:rFonts w:eastAsia="Times New Roman" w:cs="Times New Roman"/>
          <w:kern w:val="0"/>
          <w14:ligatures w14:val="none"/>
        </w:rPr>
        <w:br/>
        <w:t>4.4 IAM Redundancy</w:t>
      </w:r>
      <w:r w:rsidRPr="002E6449">
        <w:rPr>
          <w:rFonts w:eastAsia="Times New Roman" w:cs="Times New Roman"/>
          <w:kern w:val="0"/>
          <w14:ligatures w14:val="none"/>
        </w:rPr>
        <w:br/>
        <w:t>4.5 Overlay Gateway Redundancy</w:t>
      </w:r>
      <w:r w:rsidRPr="002E6449">
        <w:rPr>
          <w:rFonts w:eastAsia="Times New Roman" w:cs="Times New Roman"/>
          <w:kern w:val="0"/>
          <w14:ligatures w14:val="none"/>
        </w:rPr>
        <w:br/>
        <w:t>4.6 Underlay Circuit Redundancy</w:t>
      </w:r>
      <w:r w:rsidRPr="002E6449">
        <w:rPr>
          <w:rFonts w:eastAsia="Times New Roman" w:cs="Times New Roman"/>
          <w:kern w:val="0"/>
          <w14:ligatures w14:val="none"/>
        </w:rPr>
        <w:br/>
        <w:t>4.7 High Availability Requirements</w:t>
      </w:r>
      <w:r w:rsidRPr="002E6449">
        <w:rPr>
          <w:rFonts w:eastAsia="Times New Roman" w:cs="Times New Roman"/>
          <w:kern w:val="0"/>
          <w14:ligatures w14:val="none"/>
        </w:rPr>
        <w:br/>
        <w:t>4.8 Session Continuity and Stateful Failover</w:t>
      </w:r>
    </w:p>
    <w:p w14:paraId="7EA4BC63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9E11E27">
          <v:rect id="_x0000_i1030" style="width:0;height:1.5pt" o:hralign="center" o:hrstd="t" o:hr="t" fillcolor="#a0a0a0" stroked="f"/>
        </w:pict>
      </w:r>
    </w:p>
    <w:p w14:paraId="10DC1E59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Operational Playbooks</w:t>
      </w:r>
    </w:p>
    <w:p w14:paraId="678503E3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5.1 Controller Failover Playbook</w:t>
      </w:r>
      <w:r w:rsidRPr="002E6449">
        <w:rPr>
          <w:rFonts w:eastAsia="Times New Roman" w:cs="Times New Roman"/>
          <w:kern w:val="0"/>
          <w14:ligatures w14:val="none"/>
        </w:rPr>
        <w:br/>
        <w:t>5.2 IPAM/DNS Failover Playbook</w:t>
      </w:r>
      <w:r w:rsidRPr="002E6449">
        <w:rPr>
          <w:rFonts w:eastAsia="Times New Roman" w:cs="Times New Roman"/>
          <w:kern w:val="0"/>
          <w14:ligatures w14:val="none"/>
        </w:rPr>
        <w:br/>
        <w:t>5.3 Path Degradation / SLA Breach Playbook</w:t>
      </w:r>
      <w:r w:rsidRPr="002E6449">
        <w:rPr>
          <w:rFonts w:eastAsia="Times New Roman" w:cs="Times New Roman"/>
          <w:kern w:val="0"/>
          <w14:ligatures w14:val="none"/>
        </w:rPr>
        <w:br/>
        <w:t>5.4 QoS Class Mismatch Playbook</w:t>
      </w:r>
      <w:r w:rsidRPr="002E6449">
        <w:rPr>
          <w:rFonts w:eastAsia="Times New Roman" w:cs="Times New Roman"/>
          <w:kern w:val="0"/>
          <w14:ligatures w14:val="none"/>
        </w:rPr>
        <w:br/>
        <w:t>5.5 Identity Compromise / Segmentation Breach Playbook</w:t>
      </w:r>
    </w:p>
    <w:p w14:paraId="74F30735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C4E9635">
          <v:rect id="_x0000_i1031" style="width:0;height:1.5pt" o:hralign="center" o:hrstd="t" o:hr="t" fillcolor="#a0a0a0" stroked="f"/>
        </w:pict>
      </w:r>
    </w:p>
    <w:p w14:paraId="2A68841A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Zero Trust and SASE Integration</w:t>
      </w:r>
    </w:p>
    <w:p w14:paraId="06A09910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6.1 Identity</w:t>
      </w:r>
      <w:r w:rsidRPr="002E6449">
        <w:rPr>
          <w:rFonts w:eastAsia="Times New Roman" w:cs="Times New Roman"/>
          <w:kern w:val="0"/>
          <w14:ligatures w14:val="none"/>
        </w:rPr>
        <w:noBreakHyphen/>
        <w:t>Driven Segmentation</w:t>
      </w:r>
      <w:r w:rsidRPr="002E6449">
        <w:rPr>
          <w:rFonts w:eastAsia="Times New Roman" w:cs="Times New Roman"/>
          <w:kern w:val="0"/>
          <w14:ligatures w14:val="none"/>
        </w:rPr>
        <w:br/>
        <w:t>6.2 Application</w:t>
      </w:r>
      <w:r w:rsidRPr="002E6449">
        <w:rPr>
          <w:rFonts w:eastAsia="Times New Roman" w:cs="Times New Roman"/>
          <w:kern w:val="0"/>
          <w14:ligatures w14:val="none"/>
        </w:rPr>
        <w:noBreakHyphen/>
        <w:t>Centric Policy Enforcement</w:t>
      </w:r>
      <w:r w:rsidRPr="002E6449">
        <w:rPr>
          <w:rFonts w:eastAsia="Times New Roman" w:cs="Times New Roman"/>
          <w:kern w:val="0"/>
          <w14:ligatures w14:val="none"/>
        </w:rPr>
        <w:br/>
        <w:t>6.3 Cross</w:t>
      </w:r>
      <w:r w:rsidRPr="002E6449">
        <w:rPr>
          <w:rFonts w:eastAsia="Times New Roman" w:cs="Times New Roman"/>
          <w:kern w:val="0"/>
          <w14:ligatures w14:val="none"/>
        </w:rPr>
        <w:noBreakHyphen/>
        <w:t>Domain Enforcement (DC, WAN, Cloud, Remote)</w:t>
      </w:r>
      <w:r w:rsidRPr="002E6449">
        <w:rPr>
          <w:rFonts w:eastAsia="Times New Roman" w:cs="Times New Roman"/>
          <w:kern w:val="0"/>
          <w14:ligatures w14:val="none"/>
        </w:rPr>
        <w:br/>
        <w:t>6.4 SASE as Distributed Enforcement Layer</w:t>
      </w:r>
      <w:r w:rsidRPr="002E6449">
        <w:rPr>
          <w:rFonts w:eastAsia="Times New Roman" w:cs="Times New Roman"/>
          <w:kern w:val="0"/>
          <w14:ligatures w14:val="none"/>
        </w:rPr>
        <w:br/>
        <w:t>6.5 Identity</w:t>
      </w:r>
      <w:r w:rsidRPr="002E6449">
        <w:rPr>
          <w:rFonts w:eastAsia="Times New Roman" w:cs="Times New Roman"/>
          <w:kern w:val="0"/>
          <w14:ligatures w14:val="none"/>
        </w:rPr>
        <w:noBreakHyphen/>
        <w:t>Aware Traffic Steering</w:t>
      </w:r>
    </w:p>
    <w:p w14:paraId="5A1CB674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4DE55980">
          <v:rect id="_x0000_i1032" style="width:0;height:1.5pt" o:hralign="center" o:hrstd="t" o:hr="t" fillcolor="#a0a0a0" stroked="f"/>
        </w:pict>
      </w:r>
    </w:p>
    <w:p w14:paraId="1A907076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Telemetry, Observability, and Automation</w:t>
      </w:r>
    </w:p>
    <w:p w14:paraId="32371D0F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7.1 Telemetry Sources (Underlay, Overlay, Identity, DNS/IPAM)</w:t>
      </w:r>
      <w:r w:rsidRPr="002E6449">
        <w:rPr>
          <w:rFonts w:eastAsia="Times New Roman" w:cs="Times New Roman"/>
          <w:kern w:val="0"/>
          <w14:ligatures w14:val="none"/>
        </w:rPr>
        <w:br/>
        <w:t>7.2 Correlation and Analytics</w:t>
      </w:r>
      <w:r w:rsidRPr="002E6449">
        <w:rPr>
          <w:rFonts w:eastAsia="Times New Roman" w:cs="Times New Roman"/>
          <w:kern w:val="0"/>
          <w14:ligatures w14:val="none"/>
        </w:rPr>
        <w:br/>
        <w:t>7.3 Application</w:t>
      </w:r>
      <w:r w:rsidRPr="002E6449">
        <w:rPr>
          <w:rFonts w:eastAsia="Times New Roman" w:cs="Times New Roman"/>
          <w:kern w:val="0"/>
          <w14:ligatures w14:val="none"/>
        </w:rPr>
        <w:noBreakHyphen/>
        <w:t>to</w:t>
      </w:r>
      <w:r w:rsidRPr="002E6449">
        <w:rPr>
          <w:rFonts w:eastAsia="Times New Roman" w:cs="Times New Roman"/>
          <w:kern w:val="0"/>
          <w14:ligatures w14:val="none"/>
        </w:rPr>
        <w:noBreakHyphen/>
        <w:t>Application Visibility</w:t>
      </w:r>
      <w:r w:rsidRPr="002E6449">
        <w:rPr>
          <w:rFonts w:eastAsia="Times New Roman" w:cs="Times New Roman"/>
          <w:kern w:val="0"/>
          <w14:ligatures w14:val="none"/>
        </w:rPr>
        <w:br/>
        <w:t>7.4 SLA Dashboards</w:t>
      </w:r>
      <w:r w:rsidRPr="002E6449">
        <w:rPr>
          <w:rFonts w:eastAsia="Times New Roman" w:cs="Times New Roman"/>
          <w:kern w:val="0"/>
          <w14:ligatures w14:val="none"/>
        </w:rPr>
        <w:br/>
        <w:t>7.5 Identity</w:t>
      </w:r>
      <w:r w:rsidRPr="002E6449">
        <w:rPr>
          <w:rFonts w:eastAsia="Times New Roman" w:cs="Times New Roman"/>
          <w:kern w:val="0"/>
          <w14:ligatures w14:val="none"/>
        </w:rPr>
        <w:noBreakHyphen/>
        <w:t>Aware Flow Logs</w:t>
      </w:r>
      <w:r w:rsidRPr="002E6449">
        <w:rPr>
          <w:rFonts w:eastAsia="Times New Roman" w:cs="Times New Roman"/>
          <w:kern w:val="0"/>
          <w14:ligatures w14:val="none"/>
        </w:rPr>
        <w:br/>
        <w:t>7.6 Closed</w:t>
      </w:r>
      <w:r w:rsidRPr="002E6449">
        <w:rPr>
          <w:rFonts w:eastAsia="Times New Roman" w:cs="Times New Roman"/>
          <w:kern w:val="0"/>
          <w14:ligatures w14:val="none"/>
        </w:rPr>
        <w:noBreakHyphen/>
        <w:t>Loop Automation and Drift Detection</w:t>
      </w:r>
    </w:p>
    <w:p w14:paraId="07629927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2A77311">
          <v:rect id="_x0000_i1033" style="width:0;height:1.5pt" o:hralign="center" o:hrstd="t" o:hr="t" fillcolor="#a0a0a0" stroked="f"/>
        </w:pict>
      </w:r>
    </w:p>
    <w:p w14:paraId="6C9A1254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Implementation Roadmap</w:t>
      </w:r>
    </w:p>
    <w:p w14:paraId="6DBE2450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8.1 Short</w:t>
      </w:r>
      <w:r w:rsidRPr="002E6449">
        <w:rPr>
          <w:rFonts w:eastAsia="Times New Roman" w:cs="Times New Roman"/>
          <w:kern w:val="0"/>
          <w14:ligatures w14:val="none"/>
        </w:rPr>
        <w:noBreakHyphen/>
        <w:t>Term (30–90 Days)</w:t>
      </w:r>
      <w:r w:rsidRPr="002E6449">
        <w:rPr>
          <w:rFonts w:eastAsia="Times New Roman" w:cs="Times New Roman"/>
          <w:kern w:val="0"/>
          <w14:ligatures w14:val="none"/>
        </w:rPr>
        <w:br/>
        <w:t>8.2 Medium</w:t>
      </w:r>
      <w:r w:rsidRPr="002E6449">
        <w:rPr>
          <w:rFonts w:eastAsia="Times New Roman" w:cs="Times New Roman"/>
          <w:kern w:val="0"/>
          <w14:ligatures w14:val="none"/>
        </w:rPr>
        <w:noBreakHyphen/>
        <w:t>Term (3–9 Months)</w:t>
      </w:r>
      <w:r w:rsidRPr="002E6449">
        <w:rPr>
          <w:rFonts w:eastAsia="Times New Roman" w:cs="Times New Roman"/>
          <w:kern w:val="0"/>
          <w14:ligatures w14:val="none"/>
        </w:rPr>
        <w:br/>
        <w:t>8.3 Long</w:t>
      </w:r>
      <w:r w:rsidRPr="002E6449">
        <w:rPr>
          <w:rFonts w:eastAsia="Times New Roman" w:cs="Times New Roman"/>
          <w:kern w:val="0"/>
          <w14:ligatures w14:val="none"/>
        </w:rPr>
        <w:noBreakHyphen/>
        <w:t>Term (9–18 Months)</w:t>
      </w:r>
    </w:p>
    <w:p w14:paraId="3283FE62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CF63EC6">
          <v:rect id="_x0000_i1034" style="width:0;height:1.5pt" o:hralign="center" o:hrstd="t" o:hr="t" fillcolor="#a0a0a0" stroked="f"/>
        </w:pict>
      </w:r>
    </w:p>
    <w:p w14:paraId="0CC2D00B" w14:textId="77777777" w:rsidR="002E6449" w:rsidRPr="002E6449" w:rsidRDefault="002E6449" w:rsidP="002E644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E644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Appendices</w:t>
      </w:r>
    </w:p>
    <w:p w14:paraId="28B3F2B1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>9.1 Glossary of Terms</w:t>
      </w:r>
      <w:r w:rsidRPr="002E6449">
        <w:rPr>
          <w:rFonts w:eastAsia="Times New Roman" w:cs="Times New Roman"/>
          <w:kern w:val="0"/>
          <w14:ligatures w14:val="none"/>
        </w:rPr>
        <w:br/>
        <w:t>9.2 Reference Diagrams</w:t>
      </w:r>
      <w:r w:rsidRPr="002E6449">
        <w:rPr>
          <w:rFonts w:eastAsia="Times New Roman" w:cs="Times New Roman"/>
          <w:kern w:val="0"/>
          <w14:ligatures w14:val="none"/>
        </w:rPr>
        <w:br/>
        <w:t>9.3 Policy Templates</w:t>
      </w:r>
      <w:r w:rsidRPr="002E6449">
        <w:rPr>
          <w:rFonts w:eastAsia="Times New Roman" w:cs="Times New Roman"/>
          <w:kern w:val="0"/>
          <w14:ligatures w14:val="none"/>
        </w:rPr>
        <w:br/>
        <w:t>9.4 Application Identity Schema</w:t>
      </w:r>
      <w:r w:rsidRPr="002E6449">
        <w:rPr>
          <w:rFonts w:eastAsia="Times New Roman" w:cs="Times New Roman"/>
          <w:kern w:val="0"/>
          <w14:ligatures w14:val="none"/>
        </w:rPr>
        <w:br/>
        <w:t>9.5 Example Runbooks</w:t>
      </w:r>
    </w:p>
    <w:p w14:paraId="1A7228B9" w14:textId="77777777" w:rsidR="002E6449" w:rsidRPr="002E6449" w:rsidRDefault="00000000" w:rsidP="002E644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DD3057A">
          <v:rect id="_x0000_i1035" style="width:0;height:1.5pt" o:hralign="center" o:hrstd="t" o:hr="t" fillcolor="#a0a0a0" stroked="f"/>
        </w:pict>
      </w:r>
    </w:p>
    <w:p w14:paraId="2891126E" w14:textId="77777777" w:rsidR="002E6449" w:rsidRPr="002E6449" w:rsidRDefault="002E6449" w:rsidP="002E644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E6449">
        <w:rPr>
          <w:rFonts w:eastAsia="Times New Roman" w:cs="Times New Roman"/>
          <w:kern w:val="0"/>
          <w14:ligatures w14:val="none"/>
        </w:rPr>
        <w:t xml:space="preserve">If you want, I can now turn this Table of Contents into a </w:t>
      </w:r>
      <w:r w:rsidRPr="002E6449">
        <w:rPr>
          <w:rFonts w:eastAsia="Times New Roman" w:cs="Times New Roman"/>
          <w:b/>
          <w:bCs/>
          <w:kern w:val="0"/>
          <w14:ligatures w14:val="none"/>
        </w:rPr>
        <w:t>formatted Word</w:t>
      </w:r>
      <w:r w:rsidRPr="002E6449">
        <w:rPr>
          <w:rFonts w:eastAsia="Times New Roman" w:cs="Times New Roman"/>
          <w:b/>
          <w:bCs/>
          <w:kern w:val="0"/>
          <w14:ligatures w14:val="none"/>
        </w:rPr>
        <w:noBreakHyphen/>
        <w:t xml:space="preserve">ready front </w:t>
      </w:r>
      <w:proofErr w:type="gramStart"/>
      <w:r w:rsidRPr="002E6449">
        <w:rPr>
          <w:rFonts w:eastAsia="Times New Roman" w:cs="Times New Roman"/>
          <w:b/>
          <w:bCs/>
          <w:kern w:val="0"/>
          <w14:ligatures w14:val="none"/>
        </w:rPr>
        <w:t>matter</w:t>
      </w:r>
      <w:r w:rsidRPr="002E6449">
        <w:rPr>
          <w:rFonts w:eastAsia="Times New Roman" w:cs="Times New Roman"/>
          <w:kern w:val="0"/>
          <w14:ligatures w14:val="none"/>
        </w:rPr>
        <w:t>, or</w:t>
      </w:r>
      <w:proofErr w:type="gramEnd"/>
      <w:r w:rsidRPr="002E6449">
        <w:rPr>
          <w:rFonts w:eastAsia="Times New Roman" w:cs="Times New Roman"/>
          <w:kern w:val="0"/>
          <w14:ligatures w14:val="none"/>
        </w:rPr>
        <w:t xml:space="preserve"> begin expanding the next major section you want to draft.</w:t>
      </w:r>
    </w:p>
    <w:p w14:paraId="536739D7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3"/>
    <w:rsid w:val="0012742D"/>
    <w:rsid w:val="00226713"/>
    <w:rsid w:val="002E6449"/>
    <w:rsid w:val="00851DED"/>
    <w:rsid w:val="00861E69"/>
    <w:rsid w:val="00871DF6"/>
    <w:rsid w:val="00DC5A2A"/>
    <w:rsid w:val="00E64456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7F35"/>
  <w15:chartTrackingRefBased/>
  <w15:docId w15:val="{A5096394-7987-4D3D-B1DF-71B1EA406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2658</Characters>
  <Application>Microsoft Office Word</Application>
  <DocSecurity>0</DocSecurity>
  <Lines>100</Lines>
  <Paragraphs>27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2026-02-25T13:12:00Z</dcterms:created>
  <dcterms:modified xsi:type="dcterms:W3CDTF">2026-02-25T16:05:00Z</dcterms:modified>
</cp:coreProperties>
</file>