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2.png" ContentType="image/png"/>
  <Override PartName="/word/media/rId66.png" ContentType="image/png"/>
  <Override PartName="/word/media/rId70.png" ContentType="image/png"/>
  <Override PartName="/word/media/rId79.png" ContentType="image/png"/>
  <Override PartName="/word/media/rId57.png" ContentType="image/png"/>
  <Override PartName="/word/media/rId21.png" ContentType="image/png"/>
  <Override PartName="/word/media/rId30.png" ContentType="image/png"/>
  <Override PartName="/word/media/rId35.png" ContentType="image/png"/>
  <Override PartName="/word/media/rId45.png" ContentType="image/png"/>
  <Override PartName="/word/media/rId50.png" ContentType="image/png"/>
  <Override PartName="/word/media/rId60.png" ContentType="image/png"/>
  <Override PartName="/word/media/rId85.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06</w:t>
      </w:r>
      <w:r>
        <w:t xml:space="preserve"> </w:t>
      </w:r>
      <w:r>
        <w:t xml:space="preserve">—</w:t>
      </w:r>
      <w:r>
        <w:t xml:space="preserve"> </w:t>
      </w:r>
      <w:r>
        <w:t xml:space="preserve">Federal</w:t>
      </w:r>
      <w:r>
        <w:t xml:space="preserve"> </w:t>
      </w:r>
      <w:r>
        <w:t xml:space="preserve">Telecommunications</w:t>
      </w:r>
      <w:r>
        <w:t xml:space="preserve"> </w:t>
      </w:r>
      <w:r>
        <w:t xml:space="preserve">Modernization</w:t>
      </w:r>
    </w:p>
    <w:p>
      <w:pPr>
        <w:pStyle w:val="Subtitle"/>
      </w:pPr>
      <w:r>
        <w:t xml:space="preserve">Amazon</w:t>
      </w:r>
      <w:r>
        <w:t xml:space="preserve"> </w:t>
      </w:r>
      <w:r>
        <w:t xml:space="preserve">Connect,</w:t>
      </w:r>
      <w:r>
        <w:t xml:space="preserve"> </w:t>
      </w:r>
      <w:r>
        <w:t xml:space="preserve">Teams</w:t>
      </w:r>
      <w:r>
        <w:t xml:space="preserve"> </w:t>
      </w:r>
      <w:r>
        <w:t xml:space="preserve">Phone,</w:t>
      </w:r>
      <w:r>
        <w:t xml:space="preserve"> </w:t>
      </w:r>
      <w:r>
        <w:t xml:space="preserve">and</w:t>
      </w:r>
      <w:r>
        <w:t xml:space="preserve"> </w:t>
      </w:r>
      <w:r>
        <w:t xml:space="preserve">the</w:t>
      </w:r>
      <w:r>
        <w:t xml:space="preserve"> </w:t>
      </w:r>
      <w:r>
        <w:t xml:space="preserve">Network</w:t>
      </w:r>
      <w:r>
        <w:t xml:space="preserve"> </w:t>
      </w:r>
      <w:r>
        <w:t xml:space="preserve">Architecture</w:t>
      </w:r>
      <w:r>
        <w:t xml:space="preserve"> </w:t>
      </w:r>
      <w:r>
        <w:t xml:space="preserve">That</w:t>
      </w:r>
      <w:r>
        <w:t xml:space="preserve"> </w:t>
      </w:r>
      <w:r>
        <w:t xml:space="preserve">Must</w:t>
      </w:r>
      <w:r>
        <w:t xml:space="preserve"> </w:t>
      </w:r>
      <w:r>
        <w:t xml:space="preserve">Support</w:t>
      </w:r>
      <w:r>
        <w:t xml:space="preserve"> </w:t>
      </w:r>
      <w:r>
        <w:t xml:space="preserve">Them</w:t>
      </w:r>
    </w:p>
    <w:p>
      <w:pPr>
        <w:pStyle w:val="Author"/>
      </w:pPr>
      <w:r>
        <w:t xml:space="preserve">Michael</w:t>
      </w:r>
      <w:r>
        <w:t xml:space="preserve"> </w:t>
      </w:r>
      <w:r>
        <w:t xml:space="preserve">Stratton</w:t>
      </w:r>
    </w:p>
    <w:p>
      <w:pPr>
        <w:pStyle w:val="Date"/>
      </w:pPr>
      <w:r>
        <w:t xml:space="preserve">2026-06-29</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Cs/>
          <w:b/>
        </w:rPr>
        <w:t xml:space="preserve">Four things this document establishes:</w:t>
      </w:r>
    </w:p>
    <w:p>
      <w:pPr>
        <w:numPr>
          <w:ilvl w:val="0"/>
          <w:numId w:val="1001"/>
        </w:numPr>
      </w:pPr>
      <w:r>
        <w:rPr>
          <w:bCs/>
          <w:b/>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Cs/>
          <w:b/>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Cs/>
          <w:b/>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Cs/>
          <w:b/>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24" w:name="the-n8nn-the-front-door-to-the-agency"/>
    <w:p>
      <w:pPr>
        <w:pStyle w:val="Heading1"/>
      </w:pPr>
      <w:r>
        <w:t xml:space="preserve">The N8NN: The Front Door to the Agency</w:t>
      </w:r>
    </w:p>
    <w:p>
      <w:pPr>
        <w:pStyle w:val="CaptionedFigure"/>
      </w:pPr>
      <w:r>
        <w:drawing>
          <wp:inline>
            <wp:extent cx="5334000" cy="2844800"/>
            <wp:effectExtent b="0" l="0" r="0" t="0"/>
            <wp:docPr descr="The N8NN Call Journey: From Citizen to Agent" title="" id="22" name="Picture"/>
            <a:graphic>
              <a:graphicData uri="http://schemas.openxmlformats.org/drawingml/2006/picture">
                <pic:pic>
                  <pic:nvPicPr>
                    <pic:cNvPr descr="figs/tc-fig-07-citizen-journey.png" id="23" name="Picture"/>
                    <pic:cNvPicPr>
                      <a:picLocks noChangeArrowheads="1" noChangeAspect="1"/>
                    </pic:cNvPicPr>
                  </pic:nvPicPr>
                  <pic:blipFill>
                    <a:blip r:embed="rId2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Cs/>
          <w:b/>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Cs/>
          <w:b/>
        </w:rPr>
        <w:t xml:space="preserve">That is why network modernization must begin with voice: voice is the canary.</w:t>
      </w:r>
    </w:p>
    <w:bookmarkEnd w:id="24"/>
    <w:bookmarkStart w:id="34" w:name="Xca87ad3e66249f197630568f46fbf6f37ec629f"/>
    <w:p>
      <w:pPr>
        <w:pStyle w:val="Heading1"/>
      </w:pPr>
      <w:r>
        <w:t xml:space="preserve">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26" name="Picture"/>
            <a:graphic>
              <a:graphicData uri="http://schemas.openxmlformats.org/drawingml/2006/picture">
                <pic:pic>
                  <pic:nvPicPr>
                    <pic:cNvPr descr="figs/tc-fig-01-voice-quality.png" id="27" name="Picture"/>
                    <pic:cNvPicPr>
                      <a:picLocks noChangeArrowheads="1" noChangeAspect="1"/>
                    </pic:cNvPicPr>
                  </pic:nvPicPr>
                  <pic:blipFill>
                    <a:blip r:embed="rId2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28" w:name="itu-t-g.114-the-one-way-delay-limit"/>
    <w:p>
      <w:pPr>
        <w:pStyle w:val="Heading2"/>
      </w:pPr>
      <w:r>
        <w:t xml:space="preserve">ITU-T G.114: The One-Way Delay Limit</w:t>
      </w:r>
    </w:p>
    <w:p>
      <w:pPr>
        <w:pStyle w:val="FirstParagraph"/>
      </w:pPr>
      <w:r>
        <w:t xml:space="preserve">ITU-T G.114 is the international standard governing one-way delay in voice communications. Its specification:</w:t>
      </w:r>
      <w:r>
        <w:t xml:space="preserve"> </w:t>
      </w:r>
      <w:r>
        <w:rPr>
          <w:bCs/>
          <w:b/>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Cs/>
          <w:b/>
        </w:rPr>
        <w:t xml:space="preserve">50–80 ms of budget for the network itself.</w:t>
      </w:r>
      <w:r>
        <w:t xml:space="preserve"> </w:t>
      </w:r>
      <w:r>
        <w:t xml:space="preserve">That is the target.</w:t>
      </w:r>
    </w:p>
    <w:bookmarkEnd w:id="28"/>
    <w:bookmarkStart w:id="29" w:name="Xf57f72c6e8a3ffa36d8cca3ce9684e69654893e"/>
    <w:p>
      <w:pPr>
        <w:pStyle w:val="Heading2"/>
      </w:pPr>
      <w:r>
        <w:t xml:space="preserve">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R-Factor</w:t>
            </w:r>
          </w:p>
        </w:tc>
        <w:tc>
          <w:tcPr/>
          <w:p>
            <w:pPr>
              <w:pStyle w:val="Compact"/>
              <w:jc w:val="left"/>
            </w:pPr>
            <w:r>
              <w:t xml:space="preserve">MOS</w:t>
            </w:r>
          </w:p>
        </w:tc>
        <w:tc>
          <w:tcPr/>
          <w:p>
            <w:pPr>
              <w:pStyle w:val="Compact"/>
              <w:jc w:val="left"/>
            </w:pPr>
            <w:r>
              <w:t xml:space="preserve">Quality</w:t>
            </w:r>
          </w:p>
        </w:tc>
        <w:tc>
          <w:tcPr/>
          <w:p>
            <w:pPr>
              <w:pStyle w:val="Compact"/>
              <w:jc w:val="left"/>
            </w:pPr>
            <w:r>
              <w:t xml:space="preserve">User Perception</w:t>
            </w:r>
          </w:p>
        </w:tc>
      </w:tr>
      <w:tr>
        <w:tc>
          <w:tcPr/>
          <w:p>
            <w:pPr>
              <w:pStyle w:val="Compact"/>
              <w:jc w:val="left"/>
            </w:pPr>
            <w:r>
              <w:t xml:space="preserve">90–100</w:t>
            </w:r>
          </w:p>
        </w:tc>
        <w:tc>
          <w:tcPr/>
          <w:p>
            <w:pPr>
              <w:pStyle w:val="Compact"/>
              <w:jc w:val="left"/>
            </w:pPr>
            <w:r>
              <w:t xml:space="preserve">4.3–5.0</w:t>
            </w:r>
          </w:p>
        </w:tc>
        <w:tc>
          <w:tcPr/>
          <w:p>
            <w:pPr>
              <w:pStyle w:val="Compact"/>
              <w:jc w:val="left"/>
            </w:pPr>
            <w:r>
              <w:t xml:space="preserve">Excellent</w:t>
            </w:r>
          </w:p>
        </w:tc>
        <w:tc>
          <w:tcPr/>
          <w:p>
            <w:pPr>
              <w:pStyle w:val="Compact"/>
              <w:jc w:val="left"/>
            </w:pPr>
            <w:r>
              <w:t xml:space="preserve">Imperceptible impairment</w:t>
            </w:r>
          </w:p>
        </w:tc>
      </w:tr>
      <w:tr>
        <w:tc>
          <w:tcPr/>
          <w:p>
            <w:pPr>
              <w:pStyle w:val="Compact"/>
              <w:jc w:val="left"/>
            </w:pPr>
            <w:r>
              <w:t xml:space="preserve">80–90</w:t>
            </w:r>
          </w:p>
        </w:tc>
        <w:tc>
          <w:tcPr/>
          <w:p>
            <w:pPr>
              <w:pStyle w:val="Compact"/>
              <w:jc w:val="left"/>
            </w:pPr>
            <w:r>
              <w:t xml:space="preserve">4.0–4.3</w:t>
            </w:r>
          </w:p>
        </w:tc>
        <w:tc>
          <w:tcPr/>
          <w:p>
            <w:pPr>
              <w:pStyle w:val="Compact"/>
              <w:jc w:val="left"/>
            </w:pPr>
            <w:r>
              <w:t xml:space="preserve">Good</w:t>
            </w:r>
          </w:p>
        </w:tc>
        <w:tc>
          <w:tcPr/>
          <w:p>
            <w:pPr>
              <w:pStyle w:val="Compact"/>
              <w:jc w:val="left"/>
            </w:pPr>
            <w:r>
              <w:t xml:space="preserve">Perceptible but not annoying</w:t>
            </w:r>
          </w:p>
        </w:tc>
      </w:tr>
      <w:tr>
        <w:tc>
          <w:tcPr/>
          <w:p>
            <w:pPr>
              <w:pStyle w:val="Compact"/>
              <w:jc w:val="left"/>
            </w:pPr>
            <w:r>
              <w:t xml:space="preserve">70–80</w:t>
            </w:r>
          </w:p>
        </w:tc>
        <w:tc>
          <w:tcPr/>
          <w:p>
            <w:pPr>
              <w:pStyle w:val="Compact"/>
              <w:jc w:val="left"/>
            </w:pPr>
            <w:r>
              <w:t xml:space="preserve">3.6–4.0</w:t>
            </w:r>
          </w:p>
        </w:tc>
        <w:tc>
          <w:tcPr/>
          <w:p>
            <w:pPr>
              <w:pStyle w:val="Compact"/>
              <w:jc w:val="left"/>
            </w:pPr>
            <w:r>
              <w:t xml:space="preserve">Fair</w:t>
            </w:r>
          </w:p>
        </w:tc>
        <w:tc>
          <w:tcPr/>
          <w:p>
            <w:pPr>
              <w:pStyle w:val="Compact"/>
              <w:jc w:val="left"/>
            </w:pPr>
            <w:r>
              <w:t xml:space="preserve">Slightly annoying</w:t>
            </w:r>
          </w:p>
        </w:tc>
      </w:tr>
      <w:tr>
        <w:tc>
          <w:tcPr/>
          <w:p>
            <w:pPr>
              <w:pStyle w:val="Compact"/>
              <w:jc w:val="left"/>
            </w:pPr>
            <w:r>
              <w:t xml:space="preserve">60–70</w:t>
            </w:r>
          </w:p>
        </w:tc>
        <w:tc>
          <w:tcPr/>
          <w:p>
            <w:pPr>
              <w:pStyle w:val="Compact"/>
              <w:jc w:val="left"/>
            </w:pPr>
            <w:r>
              <w:t xml:space="preserve">3.1–3.6</w:t>
            </w:r>
          </w:p>
        </w:tc>
        <w:tc>
          <w:tcPr/>
          <w:p>
            <w:pPr>
              <w:pStyle w:val="Compact"/>
              <w:jc w:val="left"/>
            </w:pPr>
            <w:r>
              <w:t xml:space="preserve">Poor</w:t>
            </w:r>
          </w:p>
        </w:tc>
        <w:tc>
          <w:tcPr/>
          <w:p>
            <w:pPr>
              <w:pStyle w:val="Compact"/>
              <w:jc w:val="left"/>
            </w:pPr>
            <w:r>
              <w:t xml:space="preserve">Annoying</w:t>
            </w:r>
          </w:p>
        </w:tc>
      </w:tr>
      <w:tr>
        <w:tc>
          <w:tcPr/>
          <w:p>
            <w:pPr>
              <w:pStyle w:val="Compact"/>
              <w:jc w:val="left"/>
            </w:pPr>
            <w:r>
              <w:t xml:space="preserve">Below 60</w:t>
            </w:r>
          </w:p>
        </w:tc>
        <w:tc>
          <w:tcPr/>
          <w:p>
            <w:pPr>
              <w:pStyle w:val="Compact"/>
              <w:jc w:val="left"/>
            </w:pPr>
            <w:r>
              <w:t xml:space="preserve">Below 3.1</w:t>
            </w:r>
          </w:p>
        </w:tc>
        <w:tc>
          <w:tcPr/>
          <w:p>
            <w:pPr>
              <w:pStyle w:val="Compact"/>
              <w:jc w:val="left"/>
            </w:pPr>
            <w:r>
              <w:t xml:space="preserve">Bad</w:t>
            </w:r>
          </w:p>
        </w:tc>
        <w:tc>
          <w:tcPr/>
          <w:p>
            <w:pPr>
              <w:pStyle w:val="Compact"/>
              <w:jc w:val="lef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29"/>
    <w:bookmarkStart w:id="33" w:name="jitter-and-packet-loss"/>
    <w:p>
      <w:pPr>
        <w:pStyle w:val="Heading2"/>
      </w:pPr>
      <w:r>
        <w:t xml:space="preserve">Jitter and Packet Loss</w:t>
      </w:r>
    </w:p>
    <w:p>
      <w:pPr>
        <w:pStyle w:val="CaptionedFigure"/>
      </w:pPr>
      <w:r>
        <w:drawing>
          <wp:inline>
            <wp:extent cx="5334000" cy="2726266"/>
            <wp:effectExtent b="0" l="0" r="0" t="0"/>
            <wp:docPr descr="Voice Packet Arrival: What Network Conditions Sound Like" title="" id="31" name="Picture"/>
            <a:graphic>
              <a:graphicData uri="http://schemas.openxmlformats.org/drawingml/2006/picture">
                <pic:pic>
                  <pic:nvPicPr>
                    <pic:cNvPr descr="figs/tc-fig-08-packet-jitter.png" id="32" name="Picture"/>
                    <pic:cNvPicPr>
                      <a:picLocks noChangeArrowheads="1" noChangeAspect="1"/>
                    </pic:cNvPicPr>
                  </pic:nvPicPr>
                  <pic:blipFill>
                    <a:blip r:embed="rId30"/>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Cs/>
          <w:b/>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Cs/>
          <w:b/>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33"/>
    <w:bookmarkEnd w:id="34"/>
    <w:bookmarkStart w:id="54" w:name="Xe69dcf64720bd173cbba48f84c4f0f805c11880"/>
    <w:p>
      <w:pPr>
        <w:pStyle w:val="Heading1"/>
      </w:pPr>
      <w:r>
        <w:t xml:space="preserve">Amazon Connect: Architecture, .com Exception, and Network Dependencies</w:t>
      </w:r>
    </w:p>
    <w:bookmarkStart w:id="38" w:name="platform-overview"/>
    <w:p>
      <w:pPr>
        <w:pStyle w:val="Heading2"/>
      </w:pPr>
      <w:r>
        <w:t xml:space="preserve">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us vs. AWS Commercial .com — The Authorized Exception" title="" id="36" name="Picture"/>
            <a:graphic>
              <a:graphicData uri="http://schemas.openxmlformats.org/drawingml/2006/picture">
                <pic:pic>
                  <pic:nvPicPr>
                    <pic:cNvPr descr="figs/tc-fig-09-aws-exception.png" id="37" name="Picture"/>
                    <pic:cNvPicPr>
                      <a:picLocks noChangeArrowheads="1" noChangeAspect="1"/>
                    </pic:cNvPicPr>
                  </pic:nvPicPr>
                  <pic:blipFill>
                    <a:blip r:embed="rId3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.us vs. AWS Commercial .com — The Authorized Exception</w:t>
      </w:r>
    </w:p>
    <w:bookmarkEnd w:id="38"/>
    <w:bookmarkStart w:id="39" w:name="X57dc57e6d8d433f201474365cce1ca7682cef30"/>
    <w:p>
      <w:pPr>
        <w:pStyle w:val="Heading2"/>
      </w:pPr>
      <w:r>
        <w:t xml:space="preserve">The .us vs. .com Decision and the Authorized Exception</w:t>
      </w:r>
    </w:p>
    <w:p>
      <w:pPr>
        <w:pStyle w:val="FirstParagraph"/>
      </w:pPr>
      <w:r>
        <w:t xml:space="preserve">AWS structures its federal cloud offerings differently from Microsoft and Oracle:</w:t>
      </w:r>
    </w:p>
    <w:tbl>
      <w:tblPr>
        <w:tblStyle w:val="Table"/>
        <w:tblW w:type="pct" w:w="5000"/>
        <w:tblLook w:firstRow="1" w:lastRow="0" w:firstColumn="0" w:lastColumn="0" w:noHBand="0" w:noVBand="0" w:val="0020"/>
        <w:jc w:val="start"/>
      </w:tblPr>
      <w:tblGrid>
        <w:gridCol w:w="1414"/>
        <w:gridCol w:w="3394"/>
        <w:gridCol w:w="3111"/>
      </w:tblGrid>
      <w:tr>
        <w:trPr>
          <w:tblHeader w:val="true"/>
        </w:trPr>
        <w:tc>
          <w:tcPr/>
          <w:p>
            <w:pPr>
              <w:pStyle w:val="Compact"/>
              <w:jc w:val="left"/>
            </w:pPr>
            <w:r>
              <w:t xml:space="preserve">Provider</w:t>
            </w:r>
          </w:p>
        </w:tc>
        <w:tc>
          <w:tcPr/>
          <w:p>
            <w:pPr>
              <w:pStyle w:val="Compact"/>
              <w:jc w:val="left"/>
            </w:pPr>
            <w:r>
              <w:t xml:space="preserve">Moderate Delivery Model</w:t>
            </w:r>
          </w:p>
        </w:tc>
        <w:tc>
          <w:tcPr/>
          <w:p>
            <w:pPr>
              <w:pStyle w:val="Compact"/>
              <w:jc w:val="left"/>
            </w:pPr>
            <w:r>
              <w:t xml:space="preserve">High / Sovereign Model</w:t>
            </w:r>
          </w:p>
        </w:tc>
      </w:tr>
      <w:tr>
        <w:tc>
          <w:tcPr/>
          <w:p>
            <w:pPr>
              <w:pStyle w:val="Compact"/>
              <w:jc w:val="left"/>
            </w:pPr>
            <w:r>
              <w:t xml:space="preserve">AWS</w:t>
            </w:r>
          </w:p>
        </w:tc>
        <w:tc>
          <w:tcPr/>
          <w:p>
            <w:pPr>
              <w:pStyle w:val="Compact"/>
              <w:jc w:val="left"/>
            </w:pPr>
            <w:r>
              <w:t xml:space="preserve">.us infrastructure (separate government regions)</w:t>
            </w:r>
          </w:p>
        </w:tc>
        <w:tc>
          <w:tcPr/>
          <w:p>
            <w:pPr>
              <w:pStyle w:val="Compact"/>
              <w:jc w:val="left"/>
            </w:pPr>
            <w:r>
              <w:t xml:space="preserve">GovCloud (.gov); physically separate, screened personnel</w:t>
            </w:r>
          </w:p>
        </w:tc>
      </w:tr>
      <w:tr>
        <w:tc>
          <w:tcPr/>
          <w:p>
            <w:pPr>
              <w:pStyle w:val="Compact"/>
              <w:jc w:val="left"/>
            </w:pPr>
            <w:r>
              <w:t xml:space="preserve">Microsoft</w:t>
            </w:r>
          </w:p>
        </w:tc>
        <w:tc>
          <w:tcPr/>
          <w:p>
            <w:pPr>
              <w:pStyle w:val="Compact"/>
              <w:jc w:val="left"/>
            </w:pPr>
            <w:r>
              <w:t xml:space="preserve">Partitioned .com (GCC Moderate on Azure Commercial)</w:t>
            </w:r>
          </w:p>
        </w:tc>
        <w:tc>
          <w:tcPr/>
          <w:p>
            <w:pPr>
              <w:pStyle w:val="Compact"/>
              <w:jc w:val="left"/>
            </w:pPr>
            <w:r>
              <w:t xml:space="preserve">GCC High / DoD on physically separate infrastructure</w:t>
            </w:r>
          </w:p>
        </w:tc>
      </w:tr>
      <w:tr>
        <w:tc>
          <w:tcPr/>
          <w:p>
            <w:pPr>
              <w:pStyle w:val="Compact"/>
              <w:jc w:val="left"/>
            </w:pPr>
            <w:r>
              <w:t xml:space="preserve">Oracle</w:t>
            </w:r>
          </w:p>
        </w:tc>
        <w:tc>
          <w:tcPr/>
          <w:p>
            <w:pPr>
              <w:pStyle w:val="Compact"/>
              <w:jc w:val="left"/>
            </w:pPr>
            <w:r>
              <w:t xml:space="preserve">Partitioned .com (OCI Moderate)</w:t>
            </w:r>
          </w:p>
        </w:tc>
        <w:tc>
          <w:tcPr/>
          <w:p>
            <w:pPr>
              <w:pStyle w:val="Compact"/>
              <w:jc w:val="left"/>
            </w:pPr>
            <w:r>
              <w:t xml:space="preserve">OCI Government Cloud (separate)</w:t>
            </w:r>
          </w:p>
        </w:tc>
      </w:tr>
    </w:tbl>
    <w:p>
      <w:pPr>
        <w:pStyle w:val="BodyText"/>
      </w:pPr>
      <w:r>
        <w:t xml:space="preserve">Amazon Connect is available on the AWS .us infrastructure. At the time the agency evaluated platforms for the N8NN contact center, the .us version presented operational capability gaps relative to the commercial (.com) version in three categories:</w:t>
      </w:r>
    </w:p>
    <w:p>
      <w:pPr>
        <w:numPr>
          <w:ilvl w:val="0"/>
          <w:numId w:val="1002"/>
        </w:numPr>
        <w:pStyle w:val="Compact"/>
      </w:pPr>
      <w:r>
        <w:rPr>
          <w:bCs/>
          <w:b/>
        </w:rPr>
        <w:t xml:space="preserve">AI-assisted contact center capabilities:</w:t>
      </w:r>
      <w:r>
        <w:t xml:space="preserve"> </w:t>
      </w:r>
      <w:r>
        <w:t xml:space="preserve">Contact Lens (real-time speech transcription, sentiment analysis, supervisor alerting) and Amazon Q agent assist availability lagged .us at time of evaluation.</w:t>
      </w:r>
    </w:p>
    <w:p>
      <w:pPr>
        <w:numPr>
          <w:ilvl w:val="0"/>
          <w:numId w:val="1002"/>
        </w:numPr>
        <w:pStyle w:val="Compact"/>
      </w:pPr>
      <w:r>
        <w:rPr>
          <w:bCs/>
          <w:b/>
        </w:rPr>
        <w:t xml:space="preserve">Third-party integration ecosystem:</w:t>
      </w:r>
      <w:r>
        <w:t xml:space="preserve"> </w:t>
      </w:r>
      <w:r>
        <w:t xml:space="preserve">AWS Marketplace integrations for CRM connectors, workforce management, and reporting were predominantly certified for commercial Connect.</w:t>
      </w:r>
    </w:p>
    <w:p>
      <w:pPr>
        <w:numPr>
          <w:ilvl w:val="0"/>
          <w:numId w:val="1002"/>
        </w:numPr>
        <w:pStyle w:val="Compact"/>
      </w:pPr>
      <w:r>
        <w:rPr>
          <w:bCs/>
          <w:b/>
        </w:rPr>
        <w:t xml:space="preserve">Operational tooling and support maturity:</w:t>
      </w:r>
      <w:r>
        <w:t xml:space="preserve"> </w:t>
      </w:r>
      <w:r>
        <w:t xml:space="preserve">AWS support procedures and feature release cadence in .us lagged commercial, creating a growing capability gap.</w:t>
      </w:r>
    </w:p>
    <w:p>
      <w:pPr>
        <w:pStyle w:val="BlockText"/>
      </w:pPr>
      <w:r>
        <w:rPr>
          <w:bCs/>
          <w:b/>
        </w:rPr>
        <w:t xml:space="preserve">Current evaluation required before any new agency deployment.</w:t>
      </w:r>
      <w:r>
        <w:t xml:space="preserve"> </w:t>
      </w:r>
      <w:r>
        <w:t xml:space="preserve">AWS continuously updates its .us infrastructure. The capability gaps identified at the time of this agency’s evaluation may have closed. Any agency evaluating Amazon Connect for a new deployment</w:t>
      </w:r>
      <w:r>
        <w:t xml:space="preserve"> </w:t>
      </w:r>
      <w:r>
        <w:rPr>
          <w:bCs/>
          <w:b/>
        </w:rPr>
        <w:t xml:space="preserve">must conduct a current-state evaluation of .us Connect against its specific requirements</w:t>
      </w:r>
      <w:r>
        <w:t xml:space="preserve"> </w:t>
      </w:r>
      <w:r>
        <w:t xml:space="preserve">before concluding that a .com exception is necessary.</w:t>
      </w:r>
    </w:p>
    <w:bookmarkEnd w:id="39"/>
    <w:bookmarkStart w:id="40" w:name="Xde52b6885aeff57b147d7451abbc6886e45847a"/>
    <w:p>
      <w:pPr>
        <w:pStyle w:val="Heading2"/>
      </w:pPr>
      <w:r>
        <w:t xml:space="preserve">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40"/>
    <w:bookmarkStart w:id="41" w:name="the-call-path-from-citizen-to-agent"/>
    <w:p>
      <w:pPr>
        <w:pStyle w:val="Heading2"/>
      </w:pPr>
      <w:r>
        <w:t xml:space="preserve">The Call Path: From Citizen to Agent</w:t>
      </w:r>
    </w:p>
    <w:p>
      <w:pPr>
        <w:numPr>
          <w:ilvl w:val="0"/>
          <w:numId w:val="1003"/>
        </w:numPr>
        <w:pStyle w:val="Compact"/>
      </w:pPr>
      <w:r>
        <w:t xml:space="preserve">Citizen dials the N8NN from any PSTN telephone</w:t>
      </w:r>
    </w:p>
    <w:p>
      <w:pPr>
        <w:numPr>
          <w:ilvl w:val="0"/>
          <w:numId w:val="1003"/>
        </w:numPr>
        <w:pStyle w:val="Compact"/>
      </w:pPr>
      <w:r>
        <w:t xml:space="preserve">Call terminates at an AWS voice connector into Amazon Connect on AWS commercial</w:t>
      </w:r>
    </w:p>
    <w:p>
      <w:pPr>
        <w:numPr>
          <w:ilvl w:val="0"/>
          <w:numId w:val="1003"/>
        </w:numPr>
        <w:pStyle w:val="Compact"/>
      </w:pPr>
      <w:r>
        <w:t xml:space="preserve">Contact flow answers, runs IVR, and routes to a queue</w:t>
      </w:r>
    </w:p>
    <w:p>
      <w:pPr>
        <w:numPr>
          <w:ilvl w:val="0"/>
          <w:numId w:val="1003"/>
        </w:numPr>
        <w:pStyle w:val="Compact"/>
      </w:pPr>
      <w:r>
        <w:t xml:space="preserve">Agent selected; Connect establishes WebRTC session to the agent’s browser</w:t>
      </w:r>
    </w:p>
    <w:p>
      <w:pPr>
        <w:numPr>
          <w:ilvl w:val="0"/>
          <w:numId w:val="1003"/>
        </w:numPr>
        <w:pStyle w:val="Compact"/>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41"/>
    <w:bookmarkStart w:id="48" w:name="the-mpls-hairpin-applied-to-the-n8nn"/>
    <w:p>
      <w:pPr>
        <w:pStyle w:val="Heading2"/>
      </w:pPr>
      <w:r>
        <w:t xml:space="preserve">The MPLS Hairpin Applied to the N8NN</w:t>
      </w:r>
    </w:p>
    <w:p>
      <w:pPr>
        <w:pStyle w:val="CaptionedFigure"/>
      </w:pPr>
      <w:r>
        <w:drawing>
          <wp:inline>
            <wp:extent cx="5334000" cy="2933700"/>
            <wp:effectExtent b="0" l="0" r="0" t="0"/>
            <wp:docPr descr="MPLS Hairpin vs. Local Breakout: Before and After" title="" id="43" name="Picture"/>
            <a:graphic>
              <a:graphicData uri="http://schemas.openxmlformats.org/drawingml/2006/picture">
                <pic:pic>
                  <pic:nvPicPr>
                    <pic:cNvPr descr="figs/tc-fig-02-mpls-vs-breakout.png" id="44" name="Picture"/>
                    <pic:cNvPicPr>
                      <a:picLocks noChangeArrowheads="1" noChangeAspect="1"/>
                    </pic:cNvPicPr>
                  </pic:nvPicPr>
                  <pic:blipFill>
                    <a:blip r:embed="rId42"/>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Cs/>
          <w:b/>
        </w:rPr>
        <w:t xml:space="preserve">Portland → MPLS → Washington → internet → AWS us-west-2 (.com) → Amazon Connect</w:t>
      </w:r>
    </w:p>
    <w:p>
      <w:pPr>
        <w:pStyle w:val="BodyText"/>
      </w:pPr>
      <w:r>
        <w:t xml:space="preserve">One-way network latency: 80–110 ms. G.114 network budget: 75 ms.</w:t>
      </w:r>
      <w:r>
        <w:t xml:space="preserve"> </w:t>
      </w:r>
      <w:r>
        <w:rPr>
          <w:bCs/>
          <w:b/>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Cs/>
          <w:b/>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46" name="Picture"/>
            <a:graphic>
              <a:graphicData uri="http://schemas.openxmlformats.org/drawingml/2006/picture">
                <pic:pic>
                  <pic:nvPicPr>
                    <pic:cNvPr descr="figs/tc-fig-10-webrtc-path.png" id="47" name="Picture"/>
                    <pic:cNvPicPr>
                      <a:picLocks noChangeArrowheads="1" noChangeAspect="1"/>
                    </pic:cNvPicPr>
                  </pic:nvPicPr>
                  <pic:blipFill>
                    <a:blip r:embed="rId4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48"/>
    <w:bookmarkStart w:id="49" w:name="webrtc-network-requirements"/>
    <w:p>
      <w:pPr>
        <w:pStyle w:val="Heading2"/>
      </w:pPr>
      <w:r>
        <w:t xml:space="preserve">WebRTC Network Requirements</w:t>
      </w:r>
    </w:p>
    <w:tbl>
      <w:tblPr>
        <w:tblStyle w:val="Table"/>
        <w:tblW w:type="pct" w:w="5000"/>
        <w:tblLook w:firstRow="1" w:lastRow="0" w:firstColumn="0" w:lastColumn="0" w:noHBand="0" w:noVBand="0" w:val="0020"/>
        <w:jc w:val="start"/>
      </w:tblPr>
      <w:tblGrid>
        <w:gridCol w:w="2810"/>
        <w:gridCol w:w="3321"/>
        <w:gridCol w:w="1788"/>
      </w:tblGrid>
      <w:tr>
        <w:trPr>
          <w:tblHeader w:val="true"/>
        </w:trPr>
        <w:tc>
          <w:tcPr/>
          <w:p>
            <w:pPr>
              <w:pStyle w:val="Compact"/>
              <w:jc w:val="left"/>
            </w:pPr>
            <w:r>
              <w:t xml:space="preserve">Parameter</w:t>
            </w:r>
          </w:p>
        </w:tc>
        <w:tc>
          <w:tcPr/>
          <w:p>
            <w:pPr>
              <w:pStyle w:val="Compact"/>
              <w:jc w:val="left"/>
            </w:pPr>
            <w:r>
              <w:t xml:space="preserve">Requirement</w:t>
            </w:r>
          </w:p>
        </w:tc>
        <w:tc>
          <w:tcPr/>
          <w:p>
            <w:pPr>
              <w:pStyle w:val="Compact"/>
              <w:jc w:val="left"/>
            </w:pPr>
            <w:r>
              <w:t xml:space="preserve">Notes</w:t>
            </w:r>
          </w:p>
        </w:tc>
      </w:tr>
      <w:tr>
        <w:tc>
          <w:tcPr/>
          <w:p>
            <w:pPr>
              <w:pStyle w:val="Compact"/>
              <w:jc w:val="left"/>
            </w:pPr>
            <w:r>
              <w:t xml:space="preserve">One-way delay</w:t>
            </w:r>
          </w:p>
        </w:tc>
        <w:tc>
          <w:tcPr/>
          <w:p>
            <w:pPr>
              <w:pStyle w:val="Compact"/>
              <w:jc w:val="left"/>
            </w:pPr>
            <w:r>
              <w:t xml:space="preserve">≤75 ms network budget</w:t>
            </w:r>
          </w:p>
        </w:tc>
        <w:tc>
          <w:tcPr/>
          <w:p>
            <w:pPr>
              <w:pStyle w:val="Compact"/>
              <w:jc w:val="left"/>
            </w:pPr>
            <w:r>
              <w:t xml:space="preserve">G.114 limit minus codec and jitter buffer overhead</w:t>
            </w:r>
          </w:p>
        </w:tc>
      </w:tr>
      <w:tr>
        <w:tc>
          <w:tcPr/>
          <w:p>
            <w:pPr>
              <w:pStyle w:val="Compact"/>
              <w:jc w:val="left"/>
            </w:pPr>
            <w:r>
              <w:t xml:space="preserve">Jitter</w:t>
            </w:r>
          </w:p>
        </w:tc>
        <w:tc>
          <w:tcPr/>
          <w:p>
            <w:pPr>
              <w:pStyle w:val="Compact"/>
              <w:jc w:val="left"/>
            </w:pPr>
            <w:r>
              <w:t xml:space="preserve">&lt;30 ms</w:t>
            </w:r>
          </w:p>
        </w:tc>
        <w:tc>
          <w:tcPr/>
          <w:p>
            <w:pPr>
              <w:pStyle w:val="Compact"/>
              <w:jc w:val="left"/>
            </w:pPr>
            <w:r>
              <w:t xml:space="preserve">Above this, buffer compensation breaches delay budget</w:t>
            </w:r>
          </w:p>
        </w:tc>
      </w:tr>
      <w:tr>
        <w:tc>
          <w:tcPr/>
          <w:p>
            <w:pPr>
              <w:pStyle w:val="Compact"/>
              <w:jc w:val="left"/>
            </w:pPr>
            <w:r>
              <w:t xml:space="preserve">Packet loss</w:t>
            </w:r>
          </w:p>
        </w:tc>
        <w:tc>
          <w:tcPr/>
          <w:p>
            <w:pPr>
              <w:pStyle w:val="Compact"/>
              <w:jc w:val="left"/>
            </w:pPr>
            <w:r>
              <w:t xml:space="preserve">&lt;1%</w:t>
            </w:r>
          </w:p>
        </w:tc>
        <w:tc>
          <w:tcPr/>
          <w:p>
            <w:pPr>
              <w:pStyle w:val="Compact"/>
              <w:jc w:val="left"/>
            </w:pPr>
            <w:r>
              <w:t xml:space="preserve">Above 1% audible; above 3% unintelligible</w:t>
            </w:r>
          </w:p>
        </w:tc>
      </w:tr>
      <w:tr>
        <w:tc>
          <w:tcPr/>
          <w:p>
            <w:pPr>
              <w:pStyle w:val="Compact"/>
              <w:jc w:val="left"/>
            </w:pPr>
            <w:r>
              <w:t xml:space="preserve">Bandwidth per agent</w:t>
            </w:r>
          </w:p>
        </w:tc>
        <w:tc>
          <w:tcPr/>
          <w:p>
            <w:pPr>
              <w:pStyle w:val="Compact"/>
              <w:jc w:val="left"/>
            </w:pPr>
            <w:r>
              <w:t xml:space="preserve">~100 Kbps</w:t>
            </w:r>
          </w:p>
        </w:tc>
        <w:tc>
          <w:tcPr/>
          <w:p>
            <w:pPr>
              <w:pStyle w:val="Compact"/>
              <w:jc w:val="left"/>
            </w:pPr>
            <w:r>
              <w:t xml:space="preserve">Opus codec including RTP overhead</w:t>
            </w:r>
          </w:p>
        </w:tc>
      </w:tr>
      <w:tr>
        <w:tc>
          <w:tcPr/>
          <w:p>
            <w:pPr>
              <w:pStyle w:val="Compact"/>
              <w:jc w:val="left"/>
            </w:pPr>
            <w:r>
              <w:t xml:space="preserve">Protocol</w:t>
            </w:r>
          </w:p>
        </w:tc>
        <w:tc>
          <w:tcPr/>
          <w:p>
            <w:pPr>
              <w:pStyle w:val="Compact"/>
              <w:jc w:val="left"/>
            </w:pPr>
            <w:r>
              <w:t xml:space="preserve">RTP/SRTP over UDP</w:t>
            </w:r>
          </w:p>
        </w:tc>
        <w:tc>
          <w:tcPr/>
          <w:p>
            <w:pPr>
              <w:pStyle w:val="Compact"/>
              <w:jc w:val="left"/>
            </w:pPr>
            <w:r>
              <w:t xml:space="preserve">TCP fallback degrades quality; avoid</w:t>
            </w:r>
          </w:p>
        </w:tc>
      </w:tr>
      <w:tr>
        <w:tc>
          <w:tcPr/>
          <w:p>
            <w:pPr>
              <w:pStyle w:val="Compact"/>
              <w:jc w:val="left"/>
            </w:pPr>
            <w:r>
              <w:t xml:space="preserve">DSCP marking</w:t>
            </w:r>
          </w:p>
        </w:tc>
        <w:tc>
          <w:tcPr/>
          <w:p>
            <w:pPr>
              <w:pStyle w:val="Compact"/>
              <w:jc w:val="left"/>
            </w:pPr>
            <w:r>
              <w:t xml:space="preserve">EF (46)</w:t>
            </w:r>
          </w:p>
        </w:tc>
        <w:tc>
          <w:tcPr/>
          <w:p>
            <w:pPr>
              <w:pStyle w:val="Compact"/>
              <w:jc w:val="left"/>
            </w:pPr>
            <w:r>
              <w:t xml:space="preserve">SD-WAN must honor, not remark</w:t>
            </w:r>
          </w:p>
        </w:tc>
      </w:tr>
      <w:tr>
        <w:tc>
          <w:tcPr/>
          <w:p>
            <w:pPr>
              <w:pStyle w:val="Compact"/>
              <w:jc w:val="left"/>
            </w:pPr>
            <w:r>
              <w:t xml:space="preserve">NAT traversal</w:t>
            </w:r>
          </w:p>
        </w:tc>
        <w:tc>
          <w:tcPr/>
          <w:p>
            <w:pPr>
              <w:pStyle w:val="Compact"/>
              <w:jc w:val="left"/>
            </w:pPr>
            <w:r>
              <w:t xml:space="preserve">STUN/TURN</w:t>
            </w:r>
          </w:p>
        </w:tc>
        <w:tc>
          <w:tcPr/>
          <w:p>
            <w:pPr>
              <w:pStyle w:val="Compact"/>
              <w:jc w:val="left"/>
            </w:pPr>
            <w:r>
              <w:t xml:space="preserve">Direct UDP path preferred; TURN relay adds latency</w:t>
            </w:r>
          </w:p>
        </w:tc>
      </w:tr>
      <w:tr>
        <w:tc>
          <w:tcPr/>
          <w:p>
            <w:pPr>
              <w:pStyle w:val="Compact"/>
              <w:jc w:val="left"/>
            </w:pPr>
            <w:r>
              <w:t xml:space="preserve">Firewall</w:t>
            </w:r>
          </w:p>
        </w:tc>
        <w:tc>
          <w:tcPr/>
          <w:p>
            <w:pPr>
              <w:pStyle w:val="Compact"/>
              <w:jc w:val="left"/>
            </w:pPr>
            <w:r>
              <w:t xml:space="preserve">UDP 3478, 443 outbound</w:t>
            </w:r>
          </w:p>
        </w:tc>
        <w:tc>
          <w:tcPr/>
          <w:p>
            <w:pPr>
              <w:pStyle w:val="Compact"/>
              <w:jc w:val="left"/>
            </w:pPr>
            <w:r>
              <w:t xml:space="preserve">Must reach AWS .com endpoints without hairpin inspection delay</w:t>
            </w:r>
          </w:p>
        </w:tc>
      </w:tr>
    </w:tbl>
    <w:bookmarkEnd w:id="49"/>
    <w:bookmarkStart w:id="53" w:name="Xbed96861338ac2e20a810f098fa52474470f4ce"/>
    <w:p>
      <w:pPr>
        <w:pStyle w:val="Heading2"/>
      </w:pPr>
      <w:r>
        <w:t xml:space="preserve">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51" name="Picture"/>
            <a:graphic>
              <a:graphicData uri="http://schemas.openxmlformats.org/drawingml/2006/picture">
                <pic:pic>
                  <pic:nvPicPr>
                    <pic:cNvPr descr="figs/tc-fig-11-asymmetric-routing.png" id="52" name="Picture"/>
                    <pic:cNvPicPr>
                      <a:picLocks noChangeArrowheads="1" noChangeAspect="1"/>
                    </pic:cNvPicPr>
                  </pic:nvPicPr>
                  <pic:blipFill>
                    <a:blip r:embed="rId5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Cs/>
          <w:b/>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Cs/>
          <w:b/>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w:t>
      </w:r>
      <w:r>
        <w:t xml:space="preserve">the phone system is broken.</w:t>
      </w:r>
      <w:r>
        <w:t xml:space="preserve">”</w:t>
      </w:r>
      <w:r>
        <w:t xml:space="preserve"> </w:t>
      </w:r>
      <w:r>
        <w:t xml:space="preserve">A Teams Phone call that fails at SIP signaling will be attributed to</w:t>
      </w:r>
      <w:r>
        <w:t xml:space="preserve"> </w:t>
      </w:r>
      <w:r>
        <w:t xml:space="preserve">“</w:t>
      </w:r>
      <w:r>
        <w:t xml:space="preserve">SBC misconfiguration.</w:t>
      </w:r>
      <w:r>
        <w:t xml:space="preserve">”</w:t>
      </w:r>
      <w:r>
        <w:t xml:space="preserve"> </w:t>
      </w:r>
      <w:r>
        <w:t xml:space="preserve">The diagnostic path requires capturing TCP session establishment and verifying that both directions traverse the same stateful devices.</w:t>
      </w:r>
    </w:p>
    <w:p>
      <w:pPr>
        <w:pStyle w:val="FirstParagraph"/>
      </w:pPr>
      <w:r>
        <w:rPr>
          <w:bCs/>
          <w:b/>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53"/>
    <w:bookmarkEnd w:id="54"/>
    <w:bookmarkStart w:id="65" w:name="X839c1c655003bd3897e8b5851a50b9508e76f4d"/>
    <w:p>
      <w:pPr>
        <w:pStyle w:val="Heading1"/>
      </w:pPr>
      <w:r>
        <w:t xml:space="preserve">Microsoft Teams Phone: Replacing the Legacy PBX in GCC Moderate</w:t>
      </w:r>
    </w:p>
    <w:bookmarkStart w:id="55" w:name="what-teams-phone-is"/>
    <w:p>
      <w:pPr>
        <w:pStyle w:val="Heading2"/>
      </w:pPr>
      <w:r>
        <w:t xml:space="preserve">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Cs/>
          <w:b/>
        </w:rPr>
        <w:t xml:space="preserve">Fixing the network for Teams meetings fixes it for Teams Phone simultaneously.</w:t>
      </w:r>
    </w:p>
    <w:bookmarkEnd w:id="55"/>
    <w:bookmarkStart w:id="56" w:name="X6ece0fcf0855462989a3ddd91807ca0d93f5e19"/>
    <w:p>
      <w:pPr>
        <w:pStyle w:val="Heading2"/>
      </w:pPr>
      <w:r>
        <w:t xml:space="preserve">PSTN Connectivity: Direct Routing and the SBC</w:t>
      </w:r>
    </w:p>
    <w:p>
      <w:pPr>
        <w:pStyle w:val="FirstParagraph"/>
      </w:pPr>
      <w:r>
        <w:t xml:space="preserve">Connecting Teams Phone to the PSTN requires one of two approaches:</w:t>
      </w:r>
    </w:p>
    <w:p>
      <w:pPr>
        <w:pStyle w:val="BodyText"/>
      </w:pPr>
      <w:r>
        <w:rPr>
          <w:bCs/>
          <w:b/>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Cs/>
          <w:b/>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Cs/>
          <w:b/>
        </w:rPr>
        <w:t xml:space="preserve">SBC deployment guidance:</w:t>
      </w:r>
      <w:r>
        <w:t xml:space="preserve"> </w:t>
      </w:r>
      <w:r>
        <w:t xml:space="preserve">Two deployment models are viable.</w:t>
      </w:r>
      <w:r>
        <w:t xml:space="preserve"> </w:t>
      </w:r>
      <w:r>
        <w:rPr>
          <w:bCs/>
          <w:b/>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Cs/>
          <w:b/>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Cs/>
          <w:b/>
        </w:rPr>
        <w:t xml:space="preserve">The cloud SBC used with a FedRAMP Moderate system must itself hold a FedRAMP Moderate or High authorization</w:t>
      </w:r>
      <w:r>
        <w:t xml:space="preserve"> </w:t>
      </w:r>
      <w:r>
        <w:t xml:space="preserve">— confirm before procurement.</w:t>
      </w:r>
    </w:p>
    <w:bookmarkEnd w:id="56"/>
    <w:bookmarkStart w:id="63" w:name="e911-federal-legal-requirements"/>
    <w:p>
      <w:pPr>
        <w:pStyle w:val="Heading2"/>
      </w:pPr>
      <w:r>
        <w:t xml:space="preserve">E911: Federal Legal Requirements</w:t>
      </w:r>
    </w:p>
    <w:p>
      <w:pPr>
        <w:pStyle w:val="CaptionedFigure"/>
      </w:pPr>
      <w:r>
        <w:drawing>
          <wp:inline>
            <wp:extent cx="5334000" cy="2755900"/>
            <wp:effectExtent b="0" l="0" r="0" t="0"/>
            <wp:docPr descr="E911 Compliance and Teams Phone GCC Boundary" title="" id="58" name="Picture"/>
            <a:graphic>
              <a:graphicData uri="http://schemas.openxmlformats.org/drawingml/2006/picture">
                <pic:pic>
                  <pic:nvPicPr>
                    <pic:cNvPr descr="figs/tc-fig-06-e911-boundary.png" id="59" name="Picture"/>
                    <pic:cNvPicPr>
                      <a:picLocks noChangeArrowheads="1" noChangeAspect="1"/>
                    </pic:cNvPicPr>
                  </pic:nvPicPr>
                  <pic:blipFill>
                    <a:blip r:embed="rId57"/>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Cs/>
          <w:b/>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Cs/>
          <w:b/>
        </w:rPr>
        <w:t xml:space="preserve">Ray Baum’s Act (2018):</w:t>
      </w:r>
      <w:r>
        <w:t xml:space="preserve"> </w:t>
      </w:r>
      <w:r>
        <w:t xml:space="preserve">The</w:t>
      </w:r>
      <w:r>
        <w:t xml:space="preserve"> </w:t>
      </w:r>
      <w:r>
        <w:t xml:space="preserve">“</w:t>
      </w:r>
      <w:r>
        <w:t xml:space="preserve">dispatchable location</w:t>
      </w:r>
      <w:r>
        <w:t xml:space="preserve">”</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Cs/>
          <w:b/>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61" name="Picture"/>
            <a:graphic>
              <a:graphicData uri="http://schemas.openxmlformats.org/drawingml/2006/picture">
                <pic:pic>
                  <pic:nvPicPr>
                    <pic:cNvPr descr="figs/tc-fig-12-pbx-migration.png" id="62" name="Picture"/>
                    <pic:cNvPicPr>
                      <a:picLocks noChangeArrowheads="1" noChangeAspect="1"/>
                    </pic:cNvPicPr>
                  </pic:nvPicPr>
                  <pic:blipFill>
                    <a:blip r:embed="rId60"/>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63"/>
    <w:bookmarkStart w:id="64" w:name="Xc6d6f0f9ab976088fca5f667c98e6f2686f49b2"/>
    <w:p>
      <w:pPr>
        <w:pStyle w:val="Heading2"/>
      </w:pPr>
      <w:r>
        <w:t xml:space="preserve">Legacy PBX Migration: Number Porting and Transition</w:t>
      </w:r>
    </w:p>
    <w:p>
      <w:pPr>
        <w:pStyle w:val="FirstParagraph"/>
      </w:pPr>
      <w:r>
        <w:rPr>
          <w:bCs/>
          <w:b/>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Cs/>
          <w:b/>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Cs/>
          <w:b/>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Cs/>
          <w:b/>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64"/>
    <w:bookmarkEnd w:id="65"/>
    <w:bookmarkStart w:id="78" w:name="one-investment-two-platforms"/>
    <w:p>
      <w:pPr>
        <w:pStyle w:val="Heading1"/>
      </w:pPr>
      <w:r>
        <w:t xml:space="preserve">One Investment: Two Platforms</w:t>
      </w:r>
    </w:p>
    <w:bookmarkStart w:id="69" w:name="the-architecture-both-platforms-require"/>
    <w:p>
      <w:pPr>
        <w:pStyle w:val="Heading2"/>
      </w:pPr>
      <w:r>
        <w:t xml:space="preserve">The Architecture Both Platforms Require</w:t>
      </w:r>
    </w:p>
    <w:p>
      <w:pPr>
        <w:pStyle w:val="CaptionedFigure"/>
      </w:pPr>
      <w:r>
        <w:drawing>
          <wp:inline>
            <wp:extent cx="5334000" cy="3022600"/>
            <wp:effectExtent b="0" l="0" r="0" t="0"/>
            <wp:docPr descr="One SD-WAN Investment: Two Voice Platforms" title="" id="67" name="Picture"/>
            <a:graphic>
              <a:graphicData uri="http://schemas.openxmlformats.org/drawingml/2006/picture">
                <pic:pic>
                  <pic:nvPicPr>
                    <pic:cNvPr descr="figs/tc-fig-03-dual-platform-hub.png" id="68" name="Picture"/>
                    <pic:cNvPicPr>
                      <a:picLocks noChangeArrowheads="1" noChangeAspect="1"/>
                    </pic:cNvPicPr>
                  </pic:nvPicPr>
                  <pic:blipFill>
                    <a:blip r:embed="rId66"/>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w:t>
      </w:r>
      <w:r>
        <w:t xml:space="preserve">add a DIA circuit.</w:t>
      </w:r>
      <w:r>
        <w:t xml:space="preserve">”</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69"/>
    <w:bookmarkStart w:id="74" w:name="X119a6ef9ab3643d048ae2abef2403893680628b"/>
    <w:p>
      <w:pPr>
        <w:pStyle w:val="Heading2"/>
      </w:pPr>
      <w:r>
        <w:t xml:space="preserve">The Hybrid Agent: Two Simultaneous DSCP EF Streams</w:t>
      </w:r>
    </w:p>
    <w:p>
      <w:pPr>
        <w:pStyle w:val="CaptionedFigure"/>
      </w:pPr>
      <w:r>
        <w:drawing>
          <wp:inline>
            <wp:extent cx="5334000" cy="2755900"/>
            <wp:effectExtent b="0" l="0" r="0" t="0"/>
            <wp:docPr descr="Hybrid Agent: Dual Concurrent Voice Streams" title="" id="71" name="Picture"/>
            <a:graphic>
              <a:graphicData uri="http://schemas.openxmlformats.org/drawingml/2006/picture">
                <pic:pic>
                  <pic:nvPicPr>
                    <pic:cNvPr descr="figs/tc-fig-04-hybrid-agent.png" id="72" name="Picture"/>
                    <pic:cNvPicPr>
                      <a:picLocks noChangeArrowheads="1" noChangeAspect="1"/>
                    </pic:cNvPicPr>
                  </pic:nvPicPr>
                  <pic:blipFill>
                    <a:blip r:embed="rId70"/>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Cs/>
          <w:b/>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73" w:name="headset-and-browser-configuration"/>
    <w:p>
      <w:pPr>
        <w:pStyle w:val="Heading3"/>
      </w:pPr>
      <w:r>
        <w:t xml:space="preserve">Headset and Browser Configuration</w:t>
      </w:r>
    </w:p>
    <w:p>
      <w:pPr>
        <w:pStyle w:val="FirstParagraph"/>
      </w:pPr>
      <w:r>
        <w:rPr>
          <w:bCs/>
          <w:b/>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Cs/>
          <w:b/>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73"/>
    <w:bookmarkEnd w:id="74"/>
    <w:bookmarkStart w:id="75" w:name="Xd43b70dd148dff0e4376593b87afb1af30bd473"/>
    <w:p>
      <w:pPr>
        <w:pStyle w:val="Heading2"/>
      </w:pPr>
      <w:r>
        <w:t xml:space="preserve">Per-DSCP Steering for the Hybrid Agent Workstation</w:t>
      </w:r>
    </w:p>
    <w:p>
      <w:pPr>
        <w:pStyle w:val="FirstParagraph"/>
      </w:pPr>
      <w:r>
        <w:t xml:space="preserve">A hybrid agent workstation generates three simultaneous traffic classes during active calls:</w:t>
      </w:r>
    </w:p>
    <w:p>
      <w:pPr>
        <w:numPr>
          <w:ilvl w:val="0"/>
          <w:numId w:val="1004"/>
        </w:numPr>
        <w:pStyle w:val="Compact"/>
      </w:pPr>
      <w:r>
        <w:rPr>
          <w:bCs/>
          <w:b/>
        </w:rPr>
        <w:t xml:space="preserve">Amazon Connect voice (DSCP EF):</w:t>
      </w:r>
      <w:r>
        <w:t xml:space="preserve"> </w:t>
      </w:r>
      <w:r>
        <w:t xml:space="preserve">citizen call audio. Lowest-latency path, unconditionally. FEC enabled if path loss ≥0.5%.</w:t>
      </w:r>
    </w:p>
    <w:p>
      <w:pPr>
        <w:numPr>
          <w:ilvl w:val="0"/>
          <w:numId w:val="1004"/>
        </w:numPr>
        <w:pStyle w:val="Compact"/>
      </w:pPr>
      <w:r>
        <w:rPr>
          <w:bCs/>
          <w:b/>
        </w:rPr>
        <w:t xml:space="preserve">Teams Phone voice (DSCP EF):</w:t>
      </w:r>
      <w:r>
        <w:t xml:space="preserve"> </w:t>
      </w:r>
      <w:r>
        <w:t xml:space="preserve">supervisor or internal call audio. Same lowest-latency path.</w:t>
      </w:r>
    </w:p>
    <w:p>
      <w:pPr>
        <w:numPr>
          <w:ilvl w:val="0"/>
          <w:numId w:val="1004"/>
        </w:numPr>
        <w:pStyle w:val="Compact"/>
      </w:pPr>
      <w:r>
        <w:rPr>
          <w:bCs/>
          <w:b/>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75"/>
    <w:bookmarkStart w:id="76" w:name="sd-wan-and-sase-stack-architecture"/>
    <w:p>
      <w:pPr>
        <w:pStyle w:val="Heading2"/>
      </w:pPr>
      <w:r>
        <w:t xml:space="preserve">SD-WAN and SASE Stack Architecture</w:t>
      </w:r>
    </w:p>
    <w:p>
      <w:pPr>
        <w:pStyle w:val="FirstParagraph"/>
      </w:pPr>
      <w:r>
        <w:t xml:space="preserve">The telecommunications modernization in this book requires three distinct components that operate at different layers and are frequently conflated:</w:t>
      </w:r>
    </w:p>
    <w:p>
      <w:pPr>
        <w:pStyle w:val="TableCaption"/>
      </w:pPr>
      <w:r>
        <w:t xml:space="preserve">SD-WAN and SASE Stack Components</w:t>
      </w:r>
      <w:r>
        <w:t xml:space="preserve"> </w:t>
      </w:r>
      <w:r>
        <w:rPr>
          <w:iCs/>
          <w:i/>
        </w:rPr>
        <w:t xml:space="preserve">(agency selection pending for all three)</w:t>
      </w:r>
      <w:r>
        <w:t xml:space="preserve"> </w:t>
      </w:r>
      <w:r>
        <w:t xml:space="preserve">{.striped .hover}</w:t>
      </w:r>
    </w:p>
    <w:tbl>
      <w:tblPr>
        <w:tblStyle w:val="Table"/>
        <w:tblW w:type="pct" w:w="5000"/>
        <w:tblLook w:firstRow="1" w:lastRow="0" w:firstColumn="0" w:lastColumn="0" w:noHBand="0" w:noVBand="0" w:val="0020"/>
        <w:jc w:val="start"/>
        <w:tblCaption w:val="SD-WAN and SASE Stack Components (agency selection pending for all three) {.striped .hover}"/>
      </w:tblPr>
      <w:tblGrid>
        <w:gridCol w:w="1675"/>
        <w:gridCol w:w="1066"/>
        <w:gridCol w:w="1523"/>
        <w:gridCol w:w="3655"/>
      </w:tblGrid>
      <w:tr>
        <w:trPr>
          <w:tblHeader w:val="true"/>
        </w:trPr>
        <w:tc>
          <w:tcPr/>
          <w:p>
            <w:pPr>
              <w:pStyle w:val="Compact"/>
              <w:jc w:val="left"/>
            </w:pPr>
            <w:r>
              <w:t xml:space="preserve">Component</w:t>
            </w:r>
          </w:p>
        </w:tc>
        <w:tc>
          <w:tcPr/>
          <w:p>
            <w:pPr>
              <w:pStyle w:val="Compact"/>
              <w:jc w:val="left"/>
            </w:pPr>
            <w:r>
              <w:t xml:space="preserve">Layer</w:t>
            </w:r>
          </w:p>
        </w:tc>
        <w:tc>
          <w:tcPr/>
          <w:p>
            <w:pPr>
              <w:pStyle w:val="Compact"/>
              <w:jc w:val="left"/>
            </w:pPr>
            <w:r>
              <w:t xml:space="preserve">Function</w:t>
            </w:r>
          </w:p>
        </w:tc>
        <w:tc>
          <w:tcPr/>
          <w:p>
            <w:pPr>
              <w:pStyle w:val="Compact"/>
              <w:jc w:val="left"/>
            </w:pPr>
            <w:r>
              <w:t xml:space="preserve">Representative vendors</w:t>
            </w:r>
          </w:p>
        </w:tc>
      </w:tr>
      <w:tr>
        <w:tc>
          <w:tcPr/>
          <w:p>
            <w:pPr>
              <w:pStyle w:val="Compact"/>
              <w:jc w:val="left"/>
            </w:pPr>
            <w:r>
              <w:rPr>
                <w:bCs/>
                <w:b/>
              </w:rPr>
              <w:t xml:space="preserve">SD-WAN overlay</w:t>
            </w:r>
          </w:p>
        </w:tc>
        <w:tc>
          <w:tcPr/>
          <w:p>
            <w:pPr>
              <w:pStyle w:val="Compact"/>
              <w:jc w:val="left"/>
            </w:pPr>
            <w:r>
              <w:t xml:space="preserve">Layer 3 — Network</w:t>
            </w:r>
          </w:p>
        </w:tc>
        <w:tc>
          <w:tcPr/>
          <w:p>
            <w:pPr>
              <w:pStyle w:val="Compact"/>
              <w:jc w:val="left"/>
            </w:pPr>
            <w:r>
              <w:t xml:space="preserve">IPsec encrypted transport; intelligent path selection; QoS traffic classification; DIA local breakout</w:t>
            </w:r>
          </w:p>
        </w:tc>
        <w:tc>
          <w:tcPr/>
          <w:p>
            <w:pPr>
              <w:pStyle w:val="Compact"/>
              <w:jc w:val="left"/>
            </w:pPr>
            <w:r>
              <w:t xml:space="preserve">Cisco Catalyst SD-WAN / VMware VeloCloud (Broadcom) / Palo Alto SD-WAN</w:t>
            </w:r>
          </w:p>
        </w:tc>
      </w:tr>
      <w:tr>
        <w:tc>
          <w:tcPr/>
          <w:p>
            <w:pPr>
              <w:pStyle w:val="Compact"/>
              <w:jc w:val="left"/>
            </w:pPr>
            <w:r>
              <w:rPr>
                <w:bCs/>
                <w:b/>
              </w:rPr>
              <w:t xml:space="preserve">SASE SSE</w:t>
            </w:r>
            <w:r>
              <w:t xml:space="preserve"> </w:t>
            </w:r>
            <w:r>
              <w:t xml:space="preserve">(Secure Service Edge)</w:t>
            </w:r>
          </w:p>
        </w:tc>
        <w:tc>
          <w:tcPr/>
          <w:p>
            <w:pPr>
              <w:pStyle w:val="Compact"/>
              <w:jc w:val="left"/>
            </w:pPr>
            <w:r>
              <w:t xml:space="preserve">Layer 7 — Application</w:t>
            </w:r>
          </w:p>
        </w:tc>
        <w:tc>
          <w:tcPr/>
          <w:p>
            <w:pPr>
              <w:pStyle w:val="Compact"/>
              <w:jc w:val="left"/>
            </w:pPr>
            <w:r>
              <w:t xml:space="preserve">SWG, CASB, FWaaS, SSL/TLS inspection; TIC 3.0 security capabilities catalog</w:t>
            </w:r>
          </w:p>
        </w:tc>
        <w:tc>
          <w:tcPr/>
          <w:p>
            <w:pPr>
              <w:pStyle w:val="Compact"/>
              <w:jc w:val="left"/>
            </w:pPr>
            <w:r>
              <w:t xml:space="preserve">Zscaler Internet Access (ZIA) / Netskope SSE / Palo Alto Prisma Access</w:t>
            </w:r>
          </w:p>
        </w:tc>
      </w:tr>
      <w:tr>
        <w:tc>
          <w:tcPr/>
          <w:p>
            <w:pPr>
              <w:pStyle w:val="Compact"/>
              <w:jc w:val="left"/>
            </w:pPr>
            <w:r>
              <w:rPr>
                <w:bCs/>
                <w:b/>
              </w:rPr>
              <w:t xml:space="preserve">ZTNA</w:t>
            </w:r>
            <w:r>
              <w:t xml:space="preserve"> </w:t>
            </w:r>
            <w:r>
              <w:t xml:space="preserve">(Zero Trust Network Access)</w:t>
            </w:r>
          </w:p>
        </w:tc>
        <w:tc>
          <w:tcPr/>
          <w:p>
            <w:pPr>
              <w:pStyle w:val="Compact"/>
              <w:jc w:val="left"/>
            </w:pPr>
            <w:r>
              <w:t xml:space="preserve">Layer 7 — Application</w:t>
            </w:r>
          </w:p>
        </w:tc>
        <w:tc>
          <w:tcPr/>
          <w:p>
            <w:pPr>
              <w:pStyle w:val="Compact"/>
              <w:jc w:val="left"/>
            </w:pPr>
            <w:r>
              <w:t xml:space="preserve">Per-application micro-tunnels; device posture enforcement; least-privilege session access</w:t>
            </w:r>
          </w:p>
        </w:tc>
        <w:tc>
          <w:tcPr/>
          <w:p>
            <w:pPr>
              <w:pStyle w:val="Compact"/>
              <w:jc w:val="left"/>
            </w:pPr>
            <w:r>
              <w:t xml:space="preserve">Zscaler Private Access (ZPA) / Netskope Private Access / Palo Alto Prisma Access ZTNA</w:t>
            </w:r>
          </w:p>
        </w:tc>
      </w:tr>
    </w:tbl>
    <w:p>
      <w:pPr>
        <w:pStyle w:val="BodyText"/>
      </w:pPr>
      <w:r>
        <w:t xml:space="preserve">SD-WAN and SASE SSE are distinct products procured separately (though some vendors bundle them). The SD-WAN overlay closes SC-8 (network-layer encryption on DIA circuits) and SI-4 (application-layer telemetry on transport). The SASE SSE stack closes AC-4 (information flow enforcement), SC-7 (boundary protection), SI-3 (malware protection via SSL inspection), AU-2/AU-12 (per-session audit records), and CA-7 (continuous monitoring). Neither substitutes for the other; both are required to satisfy TIC 3.0 and the controls cited in this book.</w:t>
      </w:r>
    </w:p>
    <w:bookmarkEnd w:id="76"/>
    <w:bookmarkStart w:id="77" w:name="vendor-selection-pending"/>
    <w:p>
      <w:pPr>
        <w:pStyle w:val="Heading2"/>
      </w:pPr>
      <w:r>
        <w:t xml:space="preserve">Vendor Selection Pending</w:t>
      </w:r>
    </w:p>
    <w:p>
      <w:pPr>
        <w:pStyle w:val="FirstParagraph"/>
      </w:pPr>
      <w:r>
        <w:t xml:space="preserve">The shortlists above reflect FedRAMP authorization status and federal use-case alignment at time of writing. Agency procurement authority, current FedRAMP Marketplace listings, and environment-specific testing must inform final selection. OIS should participate in vendor evaluation for all three components.</w:t>
      </w:r>
    </w:p>
    <w:bookmarkEnd w:id="77"/>
    <w:bookmarkEnd w:id="78"/>
    <w:bookmarkStart w:id="82" w:name="X50c43ddecf199ebf91917431a313350dc266772"/>
    <w:p>
      <w:pPr>
        <w:pStyle w:val="Heading1"/>
      </w:pPr>
      <w:r>
        <w:t xml:space="preserve">Why Direct Internet Access Alone Does Not Satisfy NIST Controls</w:t>
      </w:r>
    </w:p>
    <w:p>
      <w:pPr>
        <w:pStyle w:val="CaptionedFigure"/>
      </w:pPr>
      <w:r>
        <w:drawing>
          <wp:inline>
            <wp:extent cx="5334000" cy="2933700"/>
            <wp:effectExtent b="0" l="0" r="0" t="0"/>
            <wp:docPr descr="DIA Enables — SASE Achieves: NIST Control Stack" title="" id="80" name="Picture"/>
            <a:graphic>
              <a:graphicData uri="http://schemas.openxmlformats.org/drawingml/2006/picture">
                <pic:pic>
                  <pic:nvPicPr>
                    <pic:cNvPr descr="figs/tc-fig-05-sase-stack.png" id="81" name="Picture"/>
                    <pic:cNvPicPr>
                      <a:picLocks noChangeArrowheads="1" noChangeAspect="1"/>
                    </pic:cNvPicPr>
                  </pic:nvPicPr>
                  <pic:blipFill>
                    <a:blip r:embed="rId79"/>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t>
      </w:r>
      <w:r>
        <w:t xml:space="preserve">we will add DIA at field offices,</w:t>
      </w:r>
      <w:r>
        <w:t xml:space="preserve">”</w:t>
      </w:r>
      <w:r>
        <w:t xml:space="preserve"> </w:t>
      </w:r>
      <w:r>
        <w:t xml:space="preserve">the technical response must be precise: DIA is a pipe. It solves the geographic hairpin problem. It does not solve any NIST control requirement.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NIST Control</w:t>
            </w:r>
          </w:p>
        </w:tc>
        <w:tc>
          <w:tcPr/>
          <w:p>
            <w:pPr>
              <w:pStyle w:val="Compact"/>
              <w:jc w:val="left"/>
            </w:pPr>
            <w:r>
              <w:t xml:space="preserve">Requirement</w:t>
            </w:r>
          </w:p>
        </w:tc>
        <w:tc>
          <w:tcPr/>
          <w:p>
            <w:pPr>
              <w:pStyle w:val="Compact"/>
              <w:jc w:val="left"/>
            </w:pPr>
            <w:r>
              <w:t xml:space="preserve">What Provides It</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CASB — application-layer identification</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SWG — application-layer inspection and malware scanning</w:t>
            </w:r>
          </w:p>
        </w:tc>
      </w:tr>
      <w:tr>
        <w:tc>
          <w:tcPr/>
          <w:p>
            <w:pPr>
              <w:pStyle w:val="Compact"/>
              <w:jc w:val="left"/>
            </w:pPr>
            <w:r>
              <w:t xml:space="preserve">SC-8</w:t>
            </w:r>
          </w:p>
        </w:tc>
        <w:tc>
          <w:tcPr/>
          <w:p>
            <w:pPr>
              <w:pStyle w:val="Compact"/>
              <w:jc w:val="left"/>
            </w:pPr>
            <w:r>
              <w:t xml:space="preserve">Transmission Confidentiality and Integrity</w:t>
            </w:r>
          </w:p>
        </w:tc>
        <w:tc>
          <w:tcPr/>
          <w:p>
            <w:pPr>
              <w:pStyle w:val="Compact"/>
              <w:jc w:val="left"/>
            </w:pPr>
            <w:r>
              <w:t xml:space="preserve">SD-WAN IPsec tunnel — network-layer encryption</w:t>
            </w:r>
          </w:p>
        </w:tc>
      </w:tr>
      <w:tr>
        <w:tc>
          <w:tcPr/>
          <w:p>
            <w:pPr>
              <w:pStyle w:val="Compact"/>
              <w:jc w:val="left"/>
            </w:pPr>
            <w:r>
              <w:t xml:space="preserve">SI-3</w:t>
            </w:r>
          </w:p>
        </w:tc>
        <w:tc>
          <w:tcPr/>
          <w:p>
            <w:pPr>
              <w:pStyle w:val="Compact"/>
              <w:jc w:val="left"/>
            </w:pPr>
            <w:r>
              <w:t xml:space="preserve">Malware Protection</w:t>
            </w:r>
          </w:p>
        </w:tc>
        <w:tc>
          <w:tcPr/>
          <w:p>
            <w:pPr>
              <w:pStyle w:val="Compact"/>
              <w:jc w:val="left"/>
            </w:pPr>
            <w:r>
              <w:t xml:space="preserve">SWG — SSL inspection and malware scanning</w:t>
            </w:r>
          </w:p>
        </w:tc>
      </w:tr>
      <w:tr>
        <w:tc>
          <w:tcPr/>
          <w:p>
            <w:pPr>
              <w:pStyle w:val="Compact"/>
              <w:jc w:val="left"/>
            </w:pPr>
            <w:r>
              <w:t xml:space="preserve">SI-4</w:t>
            </w:r>
          </w:p>
        </w:tc>
        <w:tc>
          <w:tcPr/>
          <w:p>
            <w:pPr>
              <w:pStyle w:val="Compact"/>
              <w:jc w:val="left"/>
            </w:pPr>
            <w:r>
              <w:t xml:space="preserve">System Monitoring</w:t>
            </w:r>
          </w:p>
        </w:tc>
        <w:tc>
          <w:tcPr/>
          <w:p>
            <w:pPr>
              <w:pStyle w:val="Compact"/>
              <w:jc w:val="left"/>
            </w:pPr>
            <w:r>
              <w:t xml:space="preserve">AAN — application-layer telemetry, behavioral analysis</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AAN logging — user, device, app, action, data type, timestamp</w:t>
            </w:r>
          </w:p>
        </w:tc>
      </w:tr>
      <w:tr>
        <w:tc>
          <w:tcPr/>
          <w:p>
            <w:pPr>
              <w:pStyle w:val="Compact"/>
              <w:jc w:val="left"/>
            </w:pPr>
            <w:r>
              <w:t xml:space="preserve">CA-7</w:t>
            </w:r>
          </w:p>
        </w:tc>
        <w:tc>
          <w:tcPr/>
          <w:p>
            <w:pPr>
              <w:pStyle w:val="Compact"/>
              <w:jc w:val="left"/>
            </w:pPr>
            <w:r>
              <w:t xml:space="preserve">Continuous Monitoring</w:t>
            </w:r>
          </w:p>
        </w:tc>
        <w:tc>
          <w:tcPr/>
          <w:p>
            <w:pPr>
              <w:pStyle w:val="Compact"/>
              <w:jc w:val="left"/>
            </w:pPr>
            <w:r>
              <w:t xml:space="preserve">SASE stack — per-session identity, posture, access records</w:t>
            </w:r>
          </w:p>
        </w:tc>
      </w:tr>
    </w:tbl>
    <w:p>
      <w:pPr>
        <w:pStyle w:val="BlockText"/>
      </w:pPr>
      <w:r>
        <w:rPr>
          <w:bCs/>
          <w:b/>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Cs/>
          <w:i/>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Cs/>
          <w:b/>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82"/>
    <w:bookmarkStart w:id="84" w:name="Xc2560083c76569be9743a47f334c5a0f3d3f7e2"/>
    <w:p>
      <w:pPr>
        <w:pStyle w:val="Heading1"/>
      </w:pPr>
      <w:r>
        <w:t xml:space="preserve">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Cs/>
          <w:i/>
        </w:rPr>
        <w:t xml:space="preserve">needs</w:t>
      </w:r>
      <w:r>
        <w:t xml:space="preserve"> </w:t>
      </w:r>
      <w:r>
        <w:t xml:space="preserve">DIA at field offices. It does not answer whether the agency</w:t>
      </w:r>
      <w:r>
        <w:t xml:space="preserve"> </w:t>
      </w:r>
      <w:r>
        <w:rPr>
          <w:iCs/>
          <w:i/>
        </w:rPr>
        <w:t xml:space="preserve">may have</w:t>
      </w:r>
      <w:r>
        <w:t xml:space="preserve"> </w:t>
      </w:r>
      <w:r>
        <w:t xml:space="preserve">it. That is a policy question, and the policy is TIC 3.0.</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Cs/>
          <w:b/>
        </w:rPr>
        <w:t xml:space="preserve">TIC 3.0 Security Capabilities Catalog</w:t>
      </w:r>
      <w:r>
        <w:t xml:space="preserve">, and the place they must be applied is the</w:t>
      </w:r>
      <w:r>
        <w:t xml:space="preserve"> </w:t>
      </w:r>
      <w:r>
        <w:rPr>
          <w:bCs/>
          <w:b/>
        </w:rPr>
        <w:t xml:space="preserve">policy enforcement point (PEP)</w:t>
      </w:r>
      <w:r>
        <w:t xml:space="preserve"> </w:t>
      </w:r>
      <w:r>
        <w:t xml:space="preserve">governing each traffic path.</w:t>
      </w:r>
    </w:p>
    <w:bookmarkStart w:id="83" w:name="Xf792461b15ccbbb54b15b5402bbf9475c6529ad"/>
    <w:p>
      <w:pPr>
        <w:pStyle w:val="Heading2"/>
      </w:pPr>
      <w:r>
        <w:t xml:space="preserve">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TIC 3.0 Use Case</w:t>
            </w:r>
          </w:p>
        </w:tc>
        <w:tc>
          <w:tcPr/>
          <w:p>
            <w:pPr>
              <w:pStyle w:val="Compact"/>
              <w:jc w:val="left"/>
            </w:pPr>
            <w:r>
              <w:t xml:space="preserve">Agency Population</w:t>
            </w:r>
          </w:p>
        </w:tc>
        <w:tc>
          <w:tcPr/>
          <w:p>
            <w:pPr>
              <w:pStyle w:val="Compact"/>
              <w:jc w:val="left"/>
            </w:pPr>
            <w:r>
              <w:t xml:space="preserve">Traffic Path It Governs</w:t>
            </w:r>
          </w:p>
        </w:tc>
        <w:tc>
          <w:tcPr/>
          <w:p>
            <w:pPr>
              <w:pStyle w:val="Compact"/>
              <w:jc w:val="left"/>
            </w:pPr>
            <w:r>
              <w:t xml:space="preserve">Where the PEP Must Be</w:t>
            </w:r>
          </w:p>
        </w:tc>
      </w:tr>
      <w:tr>
        <w:tc>
          <w:tcPr/>
          <w:p>
            <w:pPr>
              <w:pStyle w:val="Compact"/>
              <w:jc w:val="left"/>
            </w:pPr>
            <w:r>
              <w:rPr>
                <w:bCs/>
                <w:b/>
              </w:rPr>
              <w:t xml:space="preserve">Branch Office</w:t>
            </w:r>
          </w:p>
        </w:tc>
        <w:tc>
          <w:tcPr/>
          <w:p>
            <w:pPr>
              <w:pStyle w:val="Compact"/>
              <w:jc w:val="left"/>
            </w:pPr>
            <w:r>
              <w:t xml:space="preserve">Field office agents on Amazon Connect and Teams Phone</w:t>
            </w:r>
          </w:p>
        </w:tc>
        <w:tc>
          <w:tcPr/>
          <w:p>
            <w:pPr>
              <w:pStyle w:val="Compact"/>
              <w:jc w:val="left"/>
            </w:pPr>
            <w:r>
              <w:t xml:space="preserve">Field office → local DIA → AWS .com / M365 GCC</w:t>
            </w:r>
          </w:p>
        </w:tc>
        <w:tc>
          <w:tcPr/>
          <w:p>
            <w:pPr>
              <w:pStyle w:val="Compact"/>
              <w:jc w:val="left"/>
            </w:pPr>
            <w:r>
              <w:t xml:space="preserve">At or near the branch egress: SD-WAN edge + SASE security services</w:t>
            </w:r>
          </w:p>
        </w:tc>
      </w:tr>
      <w:tr>
        <w:tc>
          <w:tcPr/>
          <w:p>
            <w:pPr>
              <w:pStyle w:val="Compact"/>
              <w:jc w:val="left"/>
            </w:pPr>
            <w:r>
              <w:rPr>
                <w:bCs/>
                <w:b/>
              </w:rPr>
              <w:t xml:space="preserve">Remote User</w:t>
            </w:r>
          </w:p>
        </w:tc>
        <w:tc>
          <w:tcPr/>
          <w:p>
            <w:pPr>
              <w:pStyle w:val="Compact"/>
              <w:jc w:val="left"/>
            </w:pPr>
            <w:r>
              <w:t xml:space="preserve">Teleworking agents and staff on agency or managed devices</w:t>
            </w:r>
          </w:p>
        </w:tc>
        <w:tc>
          <w:tcPr/>
          <w:p>
            <w:pPr>
              <w:pStyle w:val="Compact"/>
              <w:jc w:val="left"/>
            </w:pPr>
            <w:r>
              <w:t xml:space="preserve">Home network → internet → cloud voice platforms</w:t>
            </w:r>
          </w:p>
        </w:tc>
        <w:tc>
          <w:tcPr/>
          <w:p>
            <w:pPr>
              <w:pStyle w:val="Compact"/>
              <w:jc w:val="left"/>
            </w:pPr>
            <w:r>
              <w:t xml:space="preserve">Cloud-delivered SASE PoP the user’s traffic traverses; ZTNA replacing VPN</w:t>
            </w:r>
          </w:p>
        </w:tc>
      </w:tr>
    </w:tbl>
    <w:p>
      <w:pPr>
        <w:pStyle w:val="BodyText"/>
      </w:pPr>
      <w:r>
        <w:t xml:space="preserve">Both use cases</w:t>
      </w:r>
      <w:r>
        <w:t xml:space="preserve"> </w:t>
      </w:r>
      <w:r>
        <w:rPr>
          <w:iCs/>
          <w:i/>
        </w:rPr>
        <w:t xml:space="preserve">permit</w:t>
      </w:r>
      <w:r>
        <w:t xml:space="preserve"> </w:t>
      </w:r>
      <w:r>
        <w:t xml:space="preserve">traffic to leave for the internet without hairpinning through a TIC access point. Neither use case permits the traffic to leave</w:t>
      </w:r>
      <w:r>
        <w:t xml:space="preserve"> </w:t>
      </w:r>
      <w:r>
        <w:rPr>
          <w:iCs/>
          <w:i/>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Cs/>
          <w:b/>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Cs/>
          <w:b/>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Cs/>
          <w:i/>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Cs/>
          <w:b/>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83"/>
    <w:bookmarkEnd w:id="84"/>
    <w:bookmarkStart w:id="95" w:name="Xdff915852ecfb7099a0dce077831b9d7635e7fa"/>
    <w:p>
      <w:pPr>
        <w:pStyle w:val="Heading1"/>
      </w:pPr>
      <w:r>
        <w:t xml:space="preserve">FedRAMP Boundary Considerations for Telecommunications</w:t>
      </w:r>
    </w:p>
    <w:p>
      <w:pPr>
        <w:pStyle w:val="CaptionedFigure"/>
      </w:pPr>
      <w:r>
        <w:drawing>
          <wp:inline>
            <wp:extent cx="5334000" cy="2726266"/>
            <wp:effectExtent b="0" l="0" r="0" t="0"/>
            <wp:docPr descr="FedRAMP 20x Consolidated Rules: Telecommunications Implications" title="" id="86" name="Picture"/>
            <a:graphic>
              <a:graphicData uri="http://schemas.openxmlformats.org/drawingml/2006/picture">
                <pic:pic>
                  <pic:nvPicPr>
                    <pic:cNvPr descr="figs/tc-fig-13-fedramp-20x-telecom.png" id="87" name="Picture"/>
                    <pic:cNvPicPr>
                      <a:picLocks noChangeArrowheads="1" noChangeAspect="1"/>
                    </pic:cNvPicPr>
                  </pic:nvPicPr>
                  <pic:blipFill>
                    <a:blip r:embed="rId8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88" w:name="sec-fedramp-20x-telecom"/>
    <w:p>
      <w:pPr>
        <w:pStyle w:val="Heading2"/>
      </w:pPr>
      <w:r>
        <w:t xml:space="preserve">FedRAMP 20x Consolidated Rules — June 2026 Update</w:t>
      </w:r>
    </w:p>
    <w:p>
      <w:pPr>
        <w:pStyle w:val="FirstParagraph"/>
      </w:pPr>
      <w:r>
        <w:t xml:space="preserve">FedRAMP published its</w:t>
      </w:r>
      <w:r>
        <w:t xml:space="preserve"> </w:t>
      </w:r>
      <w:r>
        <w:rPr>
          <w:bCs/>
          <w:b/>
        </w:rPr>
        <w:t xml:space="preserve">Consolidated Rules for 2026</w:t>
      </w:r>
      <w:r>
        <w:t xml:space="preserve"> </w:t>
      </w:r>
      <w:r>
        <w:t xml:space="preserve">on June 25, 2026. Three key implications for agencies operating Amazon Connect and Teams Phone:</w:t>
      </w:r>
    </w:p>
    <w:p>
      <w:pPr>
        <w:pStyle w:val="BodyText"/>
      </w:pPr>
      <w:r>
        <w:rPr>
          <w:bCs/>
          <w:b/>
        </w:rPr>
        <w:t xml:space="preserve">Timeline agencies must track:</w:t>
      </w:r>
    </w:p>
    <w:tbl>
      <w:tblPr>
        <w:tblStyle w:val="Table"/>
        <w:tblW w:type="pct" w:w="5000"/>
        <w:tblLook w:firstRow="1" w:lastRow="0" w:firstColumn="0" w:lastColumn="0" w:noHBand="0" w:noVBand="0" w:val="0020"/>
        <w:jc w:val="start"/>
      </w:tblPr>
      <w:tblGrid>
        <w:gridCol w:w="1080"/>
        <w:gridCol w:w="1260"/>
        <w:gridCol w:w="558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Telecommunications Implication</w:t>
            </w:r>
          </w:p>
        </w:tc>
      </w:tr>
      <w:tr>
        <w:tc>
          <w:tcPr/>
          <w:p>
            <w:pPr>
              <w:pStyle w:val="Compact"/>
              <w:jc w:val="left"/>
            </w:pPr>
            <w:r>
              <w:t xml:space="preserve">July 28, 2026</w:t>
            </w:r>
          </w:p>
        </w:tc>
        <w:tc>
          <w:tcPr/>
          <w:p>
            <w:pPr>
              <w:pStyle w:val="Compact"/>
              <w:jc w:val="left"/>
            </w:pPr>
            <w:r>
              <w:t xml:space="preserve">FedRAMP Ready submissions cease</w:t>
            </w:r>
          </w:p>
        </w:tc>
        <w:tc>
          <w:tcPr/>
          <w:p>
            <w:pPr>
              <w:pStyle w:val="Compact"/>
              <w:jc w:val="left"/>
            </w:pPr>
            <w:r>
              <w:t xml:space="preserve">No new Ready pathway for Connect or SBC vendors</w:t>
            </w:r>
          </w:p>
        </w:tc>
      </w:tr>
      <w:tr>
        <w:tc>
          <w:tcPr/>
          <w:p>
            <w:pPr>
              <w:pStyle w:val="Compact"/>
              <w:jc w:val="left"/>
            </w:pPr>
            <w:r>
              <w:t xml:space="preserve">August 3, 2026</w:t>
            </w:r>
          </w:p>
        </w:tc>
        <w:tc>
          <w:tcPr/>
          <w:p>
            <w:pPr>
              <w:pStyle w:val="Compact"/>
              <w:jc w:val="left"/>
            </w:pPr>
            <w:r>
              <w:t xml:space="preserve">Class A pipeline opens</w:t>
            </w:r>
          </w:p>
        </w:tc>
        <w:tc>
          <w:tcPr/>
          <w:p>
            <w:pPr>
              <w:pStyle w:val="Compact"/>
              <w:jc w:val="left"/>
            </w:pPr>
            <w:r>
              <w:t xml:space="preserve">Evaluate whether Connect .com falls under Class A</w:t>
            </w:r>
          </w:p>
        </w:tc>
      </w:tr>
      <w:tr>
        <w:tc>
          <w:tcPr/>
          <w:p>
            <w:pPr>
              <w:pStyle w:val="Compact"/>
              <w:jc w:val="left"/>
            </w:pPr>
            <w:r>
              <w:t xml:space="preserve">August 31, 2026</w:t>
            </w:r>
          </w:p>
        </w:tc>
        <w:tc>
          <w:tcPr/>
          <w:p>
            <w:pPr>
              <w:pStyle w:val="Compact"/>
              <w:jc w:val="left"/>
            </w:pPr>
            <w:r>
              <w:t xml:space="preserve">Class B and C open</w:t>
            </w:r>
          </w:p>
        </w:tc>
        <w:tc>
          <w:tcPr/>
          <w:p>
            <w:pPr>
              <w:pStyle w:val="Compact"/>
              <w:jc w:val="left"/>
            </w:pPr>
            <w:r>
              <w:t xml:space="preserve">Multi-platform unified comms likely Class B or C</w:t>
            </w:r>
          </w:p>
        </w:tc>
      </w:tr>
      <w:tr>
        <w:tc>
          <w:tcPr/>
          <w:p>
            <w:pPr>
              <w:pStyle w:val="Compact"/>
              <w:jc w:val="left"/>
            </w:pPr>
            <w:r>
              <w:t xml:space="preserve">January 1, 2027</w:t>
            </w:r>
          </w:p>
        </w:tc>
        <w:tc>
          <w:tcPr/>
          <w:p>
            <w:pPr>
              <w:pStyle w:val="Compact"/>
              <w:jc w:val="left"/>
            </w:pPr>
            <w:r>
              <w:t xml:space="preserve">Consolidated Rules mandatory</w:t>
            </w:r>
          </w:p>
        </w:tc>
        <w:tc>
          <w:tcPr/>
          <w:p>
            <w:pPr>
              <w:pStyle w:val="Compact"/>
              <w:jc w:val="left"/>
            </w:pPr>
            <w:r>
              <w:t xml:space="preserve">All ConMon evidence must align to 20x KSI format</w:t>
            </w:r>
          </w:p>
        </w:tc>
      </w:tr>
      <w:tr>
        <w:tc>
          <w:tcPr/>
          <w:p>
            <w:pPr>
              <w:pStyle w:val="Compact"/>
              <w:jc w:val="left"/>
            </w:pPr>
            <w:r>
              <w:t xml:space="preserve">June 11, 2027</w:t>
            </w:r>
          </w:p>
        </w:tc>
        <w:tc>
          <w:tcPr/>
          <w:p>
            <w:pPr>
              <w:pStyle w:val="Compact"/>
              <w:jc w:val="left"/>
            </w:pPr>
            <w:r>
              <w:t xml:space="preserve">No new Rev5 certifications</w:t>
            </w:r>
          </w:p>
        </w:tc>
        <w:tc>
          <w:tcPr/>
          <w:p>
            <w:pPr>
              <w:pStyle w:val="Compact"/>
              <w:jc w:val="left"/>
            </w:pPr>
            <w:r>
              <w:t xml:space="preserve">Plan for 20x pathway on next ATO cycle</w:t>
            </w:r>
          </w:p>
        </w:tc>
      </w:tr>
    </w:tbl>
    <w:p>
      <w:pPr>
        <w:pStyle w:val="BodyText"/>
      </w:pPr>
      <w:r>
        <w:rPr>
          <w:bCs/>
          <w:b/>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numPr>
          <w:ilvl w:val="0"/>
          <w:numId w:val="1005"/>
        </w:numPr>
        <w:pStyle w:val="Compact"/>
      </w:pPr>
      <w:r>
        <w:rPr>
          <w:bCs/>
          <w:b/>
        </w:rPr>
        <w:t xml:space="preserve">Call audit logs</w:t>
      </w:r>
      <w:r>
        <w:t xml:space="preserve"> </w:t>
      </w:r>
      <w:r>
        <w:t xml:space="preserve">(AU-12): every agent session, call recording access, and contact flow execution must generate structured, queryable records — not just archived log files</w:t>
      </w:r>
    </w:p>
    <w:p>
      <w:pPr>
        <w:numPr>
          <w:ilvl w:val="0"/>
          <w:numId w:val="1005"/>
        </w:numPr>
        <w:pStyle w:val="Compact"/>
      </w:pPr>
      <w:r>
        <w:rPr>
          <w:bCs/>
          <w:b/>
        </w:rPr>
        <w:t xml:space="preserve">Federated authentication events</w:t>
      </w:r>
      <w:r>
        <w:t xml:space="preserve"> </w:t>
      </w:r>
      <w:r>
        <w:t xml:space="preserve">(IA-8): Entra ID → Amazon Connect SAML assertions must produce KSI-verifiable authentication telemetry</w:t>
      </w:r>
    </w:p>
    <w:p>
      <w:pPr>
        <w:numPr>
          <w:ilvl w:val="0"/>
          <w:numId w:val="1005"/>
        </w:numPr>
        <w:pStyle w:val="Compact"/>
      </w:pPr>
      <w:r>
        <w:rPr>
          <w:bCs/>
          <w:b/>
        </w:rPr>
        <w:t xml:space="preserve">Boundary traffic logs</w:t>
      </w:r>
      <w:r>
        <w:t xml:space="preserve"> </w:t>
      </w:r>
      <w:r>
        <w:t xml:space="preserve">(SA-9): API calls crossing the .com boundary (CRM integration, recording access, contact flow analytics) must be captured in machine-readable format</w:t>
      </w:r>
    </w:p>
    <w:p>
      <w:pPr>
        <w:numPr>
          <w:ilvl w:val="0"/>
          <w:numId w:val="1005"/>
        </w:numPr>
        <w:pStyle w:val="Compact"/>
      </w:pPr>
      <w:r>
        <w:rPr>
          <w:bCs/>
          <w:b/>
        </w:rPr>
        <w:t xml:space="preserve">ATO exception documentation</w:t>
      </w:r>
      <w:r>
        <w:t xml:space="preserve">: The .com exception itself must be maintained in a format compatible with 20x continuous review rather than point-in-time SSP snapshots</w:t>
      </w:r>
    </w:p>
    <w:p>
      <w:pPr>
        <w:pStyle w:val="FirstParagraph"/>
      </w:pPr>
      <w:r>
        <w:rPr>
          <w:bCs/>
          <w:b/>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Cs/>
          <w:i/>
        </w:rPr>
        <w:t xml:space="preserve">agency’s</w:t>
      </w:r>
      <w:r>
        <w:t xml:space="preserve"> </w:t>
      </w:r>
      <w:r>
        <w:t xml:space="preserve">continuous monitoring evidence — voice quality monitoring, E911 testing records, SBC boundary documentation — align to machine-readable KSI format.</w:t>
      </w:r>
    </w:p>
    <w:p>
      <w:pPr>
        <w:pStyle w:val="BodyText"/>
      </w:pPr>
      <w:r>
        <w:rPr>
          <w:bCs/>
          <w:b/>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Cs/>
          <w:b/>
        </w:rPr>
        <w:t xml:space="preserve">The network investment that enables Amazon Connect to meet G.114 is simultaneously the compliance evidence generator for FedRAMP 20x continuous monitoring.</w:t>
      </w:r>
      <w:r>
        <w:t xml:space="preserve"> </w:t>
      </w:r>
      <w:r>
        <w:t xml:space="preserve">These are not separate investments.</w:t>
      </w:r>
    </w:p>
    <w:bookmarkEnd w:id="88"/>
    <w:bookmarkStart w:id="89" w:name="X7409e10531376a3c99a5e9f5e98c45fb0a0a3d0"/>
    <w:p>
      <w:pPr>
        <w:pStyle w:val="Heading2"/>
      </w:pPr>
      <w:r>
        <w:t xml:space="preserve">Amazon Connect: .com Boundary Documentation Requirements</w:t>
      </w:r>
    </w:p>
    <w:p>
      <w:pPr>
        <w:pStyle w:val="FirstParagraph"/>
      </w:pPr>
      <w:r>
        <w:t xml:space="preserve">The agency’s use of Amazon Connect on AWS commercial (.com) requires specific boundary documentation:</w:t>
      </w:r>
    </w:p>
    <w:p>
      <w:pPr>
        <w:numPr>
          <w:ilvl w:val="0"/>
          <w:numId w:val="1006"/>
        </w:numPr>
        <w:pStyle w:val="Compact"/>
      </w:pPr>
      <w:r>
        <w:rPr>
          <w:bCs/>
          <w:b/>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numPr>
          <w:ilvl w:val="0"/>
          <w:numId w:val="1006"/>
        </w:numPr>
        <w:pStyle w:val="Compact"/>
      </w:pPr>
      <w:r>
        <w:rPr>
          <w:bCs/>
          <w:b/>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numPr>
          <w:ilvl w:val="0"/>
          <w:numId w:val="1006"/>
        </w:numPr>
        <w:pStyle w:val="Compact"/>
      </w:pPr>
      <w:r>
        <w:rPr>
          <w:bCs/>
          <w:b/>
        </w:rPr>
        <w:t xml:space="preserve">CRM and case management integration:</w:t>
      </w:r>
      <w:r>
        <w:t xml:space="preserve"> </w:t>
      </w:r>
      <w:r>
        <w:t xml:space="preserve">API calls between Amazon Connect contact flows and agency systems cross the .com boundary. The data flow diagram in the SSP must trace these calls.</w:t>
      </w:r>
    </w:p>
    <w:p>
      <w:pPr>
        <w:numPr>
          <w:ilvl w:val="0"/>
          <w:numId w:val="1006"/>
        </w:numPr>
        <w:pStyle w:val="Compact"/>
      </w:pPr>
      <w:r>
        <w:rPr>
          <w:bCs/>
          <w:b/>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numPr>
          <w:ilvl w:val="0"/>
          <w:numId w:val="1006"/>
        </w:numPr>
        <w:pStyle w:val="Compact"/>
      </w:pPr>
      <w:r>
        <w:rPr>
          <w:bCs/>
          <w:b/>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89"/>
    <w:bookmarkStart w:id="90" w:name="teams-phone-gcc-boundary-and-pstn"/>
    <w:p>
      <w:pPr>
        <w:pStyle w:val="Heading2"/>
      </w:pPr>
      <w:r>
        <w:t xml:space="preserve">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90"/>
    <w:bookmarkStart w:id="94" w:name="X6519cabc81b3848456687843ce47cf45a8be6c7"/>
    <w:p>
      <w:pPr>
        <w:pStyle w:val="Heading2"/>
      </w:pPr>
      <w:r>
        <w:t xml:space="preserve">Amazon Connect vs. Teams Phone: Complementary, Not Competing</w:t>
      </w:r>
    </w:p>
    <w:tbl>
      <w:tblPr>
        <w:tblStyle w:val="Table"/>
        <w:tblW w:type="pct" w:w="5000"/>
        <w:tblLook w:firstRow="1" w:lastRow="0" w:firstColumn="0" w:lastColumn="0" w:noHBand="0" w:noVBand="0" w:val="0020"/>
        <w:jc w:val="start"/>
      </w:tblPr>
      <w:tblGrid>
        <w:gridCol w:w="1001"/>
        <w:gridCol w:w="3459"/>
        <w:gridCol w:w="3459"/>
      </w:tblGrid>
      <w:tr>
        <w:trPr>
          <w:tblHeader w:val="true"/>
        </w:trPr>
        <w:tc>
          <w:tcPr/>
          <w:p>
            <w:pPr>
              <w:pStyle w:val="Compact"/>
              <w:jc w:val="left"/>
            </w:pPr>
            <w:r>
              <w:t xml:space="preserve">Dimension</w:t>
            </w:r>
          </w:p>
        </w:tc>
        <w:tc>
          <w:tcPr/>
          <w:p>
            <w:pPr>
              <w:pStyle w:val="Compact"/>
              <w:jc w:val="left"/>
            </w:pPr>
            <w:r>
              <w:t xml:space="preserve">Amazon Connect (N8NN Contact Center)</w:t>
            </w:r>
          </w:p>
        </w:tc>
        <w:tc>
          <w:tcPr/>
          <w:p>
            <w:pPr>
              <w:pStyle w:val="Compact"/>
              <w:jc w:val="left"/>
            </w:pPr>
            <w:r>
              <w:t xml:space="preserve">Microsoft Teams Phone (Internal UC)</w:t>
            </w:r>
          </w:p>
        </w:tc>
      </w:tr>
      <w:tr>
        <w:tc>
          <w:tcPr/>
          <w:p>
            <w:pPr>
              <w:pStyle w:val="Compact"/>
              <w:jc w:val="left"/>
            </w:pPr>
            <w:r>
              <w:t xml:space="preserve">Primary function</w:t>
            </w:r>
          </w:p>
        </w:tc>
        <w:tc>
          <w:tcPr/>
          <w:p>
            <w:pPr>
              <w:pStyle w:val="Compact"/>
              <w:jc w:val="left"/>
            </w:pPr>
            <w:r>
              <w:t xml:space="preserve">Citizen-facing inbound contact center</w:t>
            </w:r>
          </w:p>
        </w:tc>
        <w:tc>
          <w:tcPr/>
          <w:p>
            <w:pPr>
              <w:pStyle w:val="Compact"/>
              <w:jc w:val="left"/>
            </w:pPr>
            <w:r>
              <w:t xml:space="preserve">Employee-to-employee and PSTN calling</w:t>
            </w:r>
          </w:p>
        </w:tc>
      </w:tr>
      <w:tr>
        <w:tc>
          <w:tcPr/>
          <w:p>
            <w:pPr>
              <w:pStyle w:val="Compact"/>
              <w:jc w:val="left"/>
            </w:pPr>
            <w:r>
              <w:t xml:space="preserve">Users</w:t>
            </w:r>
          </w:p>
        </w:tc>
        <w:tc>
          <w:tcPr/>
          <w:p>
            <w:pPr>
              <w:pStyle w:val="Compact"/>
              <w:jc w:val="left"/>
            </w:pPr>
            <w:r>
              <w:t xml:space="preserve">Contact center agents, supervisors</w:t>
            </w:r>
          </w:p>
        </w:tc>
        <w:tc>
          <w:tcPr/>
          <w:p>
            <w:pPr>
              <w:pStyle w:val="Compact"/>
              <w:jc w:val="left"/>
            </w:pPr>
            <w:r>
              <w:t xml:space="preserve">All agency employees</w:t>
            </w:r>
          </w:p>
        </w:tc>
      </w:tr>
      <w:tr>
        <w:tc>
          <w:tcPr/>
          <w:p>
            <w:pPr>
              <w:pStyle w:val="Compact"/>
              <w:jc w:val="left"/>
            </w:pPr>
            <w:r>
              <w:t xml:space="preserve">Call volume</w:t>
            </w:r>
          </w:p>
        </w:tc>
        <w:tc>
          <w:tcPr/>
          <w:p>
            <w:pPr>
              <w:pStyle w:val="Compact"/>
              <w:jc w:val="left"/>
            </w:pPr>
            <w:r>
              <w:t xml:space="preserve">High-volume inbound (thousands concurrent at peak)</w:t>
            </w:r>
          </w:p>
        </w:tc>
        <w:tc>
          <w:tcPr/>
          <w:p>
            <w:pPr>
              <w:pStyle w:val="Compact"/>
              <w:jc w:val="left"/>
            </w:pPr>
            <w:r>
              <w:t xml:space="preserve">Standard enterprise PBX volume</w:t>
            </w:r>
          </w:p>
        </w:tc>
      </w:tr>
      <w:tr>
        <w:tc>
          <w:tcPr/>
          <w:p>
            <w:pPr>
              <w:pStyle w:val="Compact"/>
              <w:jc w:val="left"/>
            </w:pPr>
            <w:r>
              <w:t xml:space="preserve">IVR / routing</w:t>
            </w:r>
          </w:p>
        </w:tc>
        <w:tc>
          <w:tcPr/>
          <w:p>
            <w:pPr>
              <w:pStyle w:val="Compact"/>
              <w:jc w:val="left"/>
            </w:pPr>
            <w:r>
              <w:t xml:space="preserve">Sophisticated contact flows, skills-based routing, queuing</w:t>
            </w:r>
          </w:p>
        </w:tc>
        <w:tc>
          <w:tcPr/>
          <w:p>
            <w:pPr>
              <w:pStyle w:val="Compact"/>
              <w:jc w:val="left"/>
            </w:pPr>
            <w:r>
              <w:t xml:space="preserve">Auto attendants and call queues</w:t>
            </w:r>
          </w:p>
        </w:tc>
      </w:tr>
      <w:tr>
        <w:tc>
          <w:tcPr/>
          <w:p>
            <w:pPr>
              <w:pStyle w:val="Compact"/>
              <w:jc w:val="left"/>
            </w:pPr>
            <w:r>
              <w:t xml:space="preserve">AI capabilities</w:t>
            </w:r>
          </w:p>
        </w:tc>
        <w:tc>
          <w:tcPr/>
          <w:p>
            <w:pPr>
              <w:pStyle w:val="Compact"/>
              <w:jc w:val="left"/>
            </w:pPr>
            <w:r>
              <w:t xml:space="preserve">Contact Lens (transcription, sentiment, analytics), Amazon Q agent assist</w:t>
            </w:r>
          </w:p>
        </w:tc>
        <w:tc>
          <w:tcPr/>
          <w:p>
            <w:pPr>
              <w:pStyle w:val="Compact"/>
              <w:jc w:val="left"/>
            </w:pPr>
            <w:r>
              <w:t xml:space="preserve">Teams transcription, voicemail transcription (GCC availability varies)</w:t>
            </w:r>
          </w:p>
        </w:tc>
      </w:tr>
      <w:tr>
        <w:tc>
          <w:tcPr/>
          <w:p>
            <w:pPr>
              <w:pStyle w:val="Compact"/>
              <w:jc w:val="left"/>
            </w:pPr>
            <w:r>
              <w:t xml:space="preserve">Agent interface</w:t>
            </w:r>
          </w:p>
        </w:tc>
        <w:tc>
          <w:tcPr/>
          <w:p>
            <w:pPr>
              <w:pStyle w:val="Compact"/>
              <w:jc w:val="left"/>
            </w:pPr>
            <w:r>
              <w:t xml:space="preserve">Browser-based Contact Control Panel (WebRTC)</w:t>
            </w:r>
          </w:p>
        </w:tc>
        <w:tc>
          <w:tcPr/>
          <w:p>
            <w:pPr>
              <w:pStyle w:val="Compact"/>
              <w:jc w:val="left"/>
            </w:pPr>
            <w:r>
              <w:t xml:space="preserve">Teams desktop client or browser</w:t>
            </w:r>
          </w:p>
        </w:tc>
      </w:tr>
      <w:tr>
        <w:tc>
          <w:tcPr/>
          <w:p>
            <w:pPr>
              <w:pStyle w:val="Compact"/>
              <w:jc w:val="left"/>
            </w:pPr>
            <w:r>
              <w:t xml:space="preserve">Recording</w:t>
            </w:r>
          </w:p>
        </w:tc>
        <w:tc>
          <w:tcPr/>
          <w:p>
            <w:pPr>
              <w:pStyle w:val="Compact"/>
              <w:jc w:val="left"/>
            </w:pPr>
            <w:r>
              <w:t xml:space="preserve">S3 on AWS .com; SA-9 boundary documentation required</w:t>
            </w:r>
          </w:p>
        </w:tc>
        <w:tc>
          <w:tcPr/>
          <w:p>
            <w:pPr>
              <w:pStyle w:val="Compact"/>
              <w:jc w:val="left"/>
            </w:pPr>
            <w:r>
              <w:t xml:space="preserve">GCC-boundary-compliant storage</w:t>
            </w:r>
          </w:p>
        </w:tc>
      </w:tr>
      <w:tr>
        <w:tc>
          <w:tcPr/>
          <w:p>
            <w:pPr>
              <w:pStyle w:val="Compact"/>
              <w:jc w:val="left"/>
            </w:pPr>
            <w:r>
              <w:t xml:space="preserve">Authorization</w:t>
            </w:r>
          </w:p>
        </w:tc>
        <w:tc>
          <w:tcPr/>
          <w:p>
            <w:pPr>
              <w:pStyle w:val="Compact"/>
              <w:jc w:val="left"/>
            </w:pPr>
            <w:r>
              <w:t xml:space="preserve">FedRAMP Moderate (AWS .com by specific agency exception)</w:t>
            </w:r>
          </w:p>
        </w:tc>
        <w:tc>
          <w:tcPr/>
          <w:p>
            <w:pPr>
              <w:pStyle w:val="Compact"/>
              <w:jc w:val="left"/>
            </w:pPr>
            <w:r>
              <w:t xml:space="preserve">FedRAMP Moderate (M365 GCC Moderate; partitioned .com)</w:t>
            </w:r>
          </w:p>
        </w:tc>
      </w:tr>
      <w:tr>
        <w:tc>
          <w:tcPr/>
          <w:p>
            <w:pPr>
              <w:pStyle w:val="Compact"/>
              <w:jc w:val="left"/>
            </w:pPr>
            <w:r>
              <w:t xml:space="preserve">PSTN connectivity</w:t>
            </w:r>
          </w:p>
        </w:tc>
        <w:tc>
          <w:tcPr/>
          <w:p>
            <w:pPr>
              <w:pStyle w:val="Compact"/>
              <w:jc w:val="left"/>
            </w:pPr>
            <w:r>
              <w:t xml:space="preserve">AWS Voice Connector</w:t>
            </w:r>
          </w:p>
        </w:tc>
        <w:tc>
          <w:tcPr/>
          <w:p>
            <w:pPr>
              <w:pStyle w:val="Compact"/>
              <w:jc w:val="left"/>
            </w:pPr>
            <w:r>
              <w:t xml:space="preserve">Direct Routing SBC or Calling Plans</w:t>
            </w:r>
          </w:p>
        </w:tc>
      </w:tr>
      <w:tr>
        <w:tc>
          <w:tcPr/>
          <w:p>
            <w:pPr>
              <w:pStyle w:val="Compact"/>
              <w:jc w:val="left"/>
            </w:pPr>
            <w:r>
              <w:t xml:space="preserve">Voice protocol</w:t>
            </w:r>
          </w:p>
        </w:tc>
        <w:tc>
          <w:tcPr/>
          <w:p>
            <w:pPr>
              <w:pStyle w:val="Compact"/>
              <w:jc w:val="left"/>
            </w:pPr>
            <w:r>
              <w:t xml:space="preserve">WebRTC / RTP / DSCP EF</w:t>
            </w:r>
          </w:p>
        </w:tc>
        <w:tc>
          <w:tcPr/>
          <w:p>
            <w:pPr>
              <w:pStyle w:val="Compact"/>
              <w:jc w:val="left"/>
            </w:pPr>
            <w:r>
              <w:t xml:space="preserve">WebRTC / RTP / DSCP EF</w:t>
            </w:r>
          </w:p>
        </w:tc>
      </w:tr>
      <w:tr>
        <w:tc>
          <w:tcPr/>
          <w:p>
            <w:pPr>
              <w:pStyle w:val="Compact"/>
              <w:jc w:val="left"/>
            </w:pPr>
            <w:r>
              <w:rPr>
                <w:bCs/>
                <w:b/>
              </w:rPr>
              <w:t xml:space="preserve">Network requirement</w:t>
            </w:r>
          </w:p>
        </w:tc>
        <w:tc>
          <w:tcPr/>
          <w:p>
            <w:pPr>
              <w:pStyle w:val="Compact"/>
              <w:jc w:val="left"/>
            </w:pPr>
            <w:r>
              <w:rPr>
                <w:bCs/>
                <w:b/>
              </w:rPr>
              <w:t xml:space="preserve">Identical: &lt;75 ms one-way, &lt;30 ms jitter, &lt;1% loss</w:t>
            </w:r>
          </w:p>
        </w:tc>
        <w:tc>
          <w:tcPr/>
          <w:p>
            <w:pPr>
              <w:pStyle w:val="Compact"/>
              <w:jc w:val="left"/>
            </w:pPr>
            <w:r>
              <w:rPr>
                <w:bCs/>
                <w:b/>
              </w:rPr>
              <w:t xml:space="preserve">Identical: &lt;75 ms one-way, &lt;30 ms jitter, &lt;1% loss</w:t>
            </w:r>
          </w:p>
        </w:tc>
      </w:tr>
      <w:tr>
        <w:tc>
          <w:tcPr/>
          <w:p>
            <w:pPr>
              <w:pStyle w:val="Compact"/>
              <w:jc w:val="left"/>
            </w:pPr>
            <w:r>
              <w:rPr>
                <w:bCs/>
                <w:b/>
              </w:rPr>
              <w:t xml:space="preserve">SD-WAN solution</w:t>
            </w:r>
          </w:p>
        </w:tc>
        <w:tc>
          <w:tcPr/>
          <w:p>
            <w:pPr>
              <w:pStyle w:val="Compact"/>
              <w:jc w:val="left"/>
            </w:pPr>
            <w:r>
              <w:rPr>
                <w:bCs/>
                <w:b/>
              </w:rPr>
              <w:t xml:space="preserve">Identical: local breakout, DSCP EF steering, multipath, FEC</w:t>
            </w:r>
          </w:p>
        </w:tc>
        <w:tc>
          <w:tcPr/>
          <w:p>
            <w:pPr>
              <w:pStyle w:val="Compact"/>
              <w:jc w:val="left"/>
            </w:pPr>
            <w:r>
              <w:rPr>
                <w:bCs/>
                <w:b/>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Cs/>
          <w:b/>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92" name="Picture"/>
            <a:graphic>
              <a:graphicData uri="http://schemas.openxmlformats.org/drawingml/2006/picture">
                <pic:pic>
                  <pic:nvPicPr>
                    <pic:cNvPr descr="figs/tc-fig-14-implementation-gantt.png" id="93" name="Picture"/>
                    <pic:cNvPicPr>
                      <a:picLocks noChangeArrowheads="1" noChangeAspect="1"/>
                    </pic:cNvPicPr>
                  </pic:nvPicPr>
                  <pic:blipFill>
                    <a:blip r:embed="rId9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94"/>
    <w:bookmarkEnd w:id="95"/>
    <w:bookmarkStart w:id="100" w:name="implementation-roadmap"/>
    <w:p>
      <w:pPr>
        <w:pStyle w:val="Heading1"/>
      </w:pPr>
      <w:r>
        <w:t xml:space="preserve">Implementation Roadmap</w:t>
      </w:r>
    </w:p>
    <w:p>
      <w:pPr>
        <w:pStyle w:val="BlockText"/>
      </w:pPr>
      <w:r>
        <w:rPr>
          <w:bCs/>
          <w:b/>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96" w:name="phase-1-network-foundation-months-13"/>
    <w:p>
      <w:pPr>
        <w:pStyle w:val="Heading2"/>
      </w:pPr>
      <w:r>
        <w:t xml:space="preserve">Phase 1 — Network Foundation (Months 1–3)</w:t>
      </w:r>
    </w:p>
    <w:p>
      <w:pPr>
        <w:numPr>
          <w:ilvl w:val="0"/>
          <w:numId w:val="1007"/>
        </w:numPr>
        <w:pStyle w:val="Compact"/>
      </w:pPr>
      <w:r>
        <w:t xml:space="preserve">Deploy SD-WAN at all field offices with contact center agents or significant phone populations</w:t>
      </w:r>
    </w:p>
    <w:p>
      <w:pPr>
        <w:numPr>
          <w:ilvl w:val="0"/>
          <w:numId w:val="1007"/>
        </w:numPr>
        <w:pStyle w:val="Compact"/>
      </w:pPr>
      <w:r>
        <w:t xml:space="preserve">Configure local internet breakout for Amazon Connect (.com AWS IP ranges/FQDNs) and Microsoft 365 GCC endpoints</w:t>
      </w:r>
    </w:p>
    <w:p>
      <w:pPr>
        <w:numPr>
          <w:ilvl w:val="0"/>
          <w:numId w:val="1007"/>
        </w:numPr>
        <w:pStyle w:val="Compact"/>
      </w:pPr>
      <w:r>
        <w:t xml:space="preserve">Enable per-DSCP steering: DSCP EF → lowest-latency path; standard HTTPS → highest-throughput path</w:t>
      </w:r>
    </w:p>
    <w:p>
      <w:pPr>
        <w:numPr>
          <w:ilvl w:val="0"/>
          <w:numId w:val="1007"/>
        </w:numPr>
        <w:pStyle w:val="Compact"/>
      </w:pPr>
      <w:r>
        <w:t xml:space="preserve">Enable FEC on any path with measured loss rate ≥0.5%</w:t>
      </w:r>
    </w:p>
    <w:p>
      <w:pPr>
        <w:numPr>
          <w:ilvl w:val="0"/>
          <w:numId w:val="1007"/>
        </w:numPr>
        <w:pStyle w:val="Compact"/>
      </w:pPr>
      <w:r>
        <w:t xml:space="preserve">Verify direct outbound UDP to Amazon Connect and GCC endpoints without hairpin or deep inspection delay</w:t>
      </w:r>
    </w:p>
    <w:p>
      <w:pPr>
        <w:numPr>
          <w:ilvl w:val="0"/>
          <w:numId w:val="1007"/>
        </w:numPr>
        <w:pStyle w:val="Compact"/>
      </w:pPr>
      <w:r>
        <w:rPr>
          <w:bCs/>
          <w:b/>
        </w:rPr>
        <w:t xml:space="preserve">Measure and document G.114 compliance at each agent location before proceeding to Phase 2</w:t>
      </w:r>
    </w:p>
    <w:p>
      <w:pPr>
        <w:numPr>
          <w:ilvl w:val="0"/>
          <w:numId w:val="1007"/>
        </w:numPr>
        <w:pStyle w:val="Compact"/>
      </w:pPr>
      <w:r>
        <w:t xml:space="preserve">Size DSCP EF capacity for peak hybrid agent load: (max concurrent hybrid agents) × 200 Kbps</w:t>
      </w:r>
    </w:p>
    <w:bookmarkEnd w:id="96"/>
    <w:bookmarkStart w:id="97" w:name="Xfdd51caf3fe6a11d0a4df23f20af5ae637d7021"/>
    <w:p>
      <w:pPr>
        <w:pStyle w:val="Heading2"/>
      </w:pPr>
      <w:r>
        <w:t xml:space="preserve">Phase 2 — Amazon Connect Deployment (Months 2–5)</w:t>
      </w:r>
    </w:p>
    <w:p>
      <w:pPr>
        <w:numPr>
          <w:ilvl w:val="0"/>
          <w:numId w:val="1008"/>
        </w:numPr>
        <w:pStyle w:val="Compact"/>
      </w:pPr>
      <w:r>
        <w:t xml:space="preserve">Confirm .com exception is current in ATO; update SSP SA-9 for Amazon Connect with current architecture</w:t>
      </w:r>
    </w:p>
    <w:p>
      <w:pPr>
        <w:numPr>
          <w:ilvl w:val="0"/>
          <w:numId w:val="1008"/>
        </w:numPr>
        <w:pStyle w:val="Compact"/>
      </w:pPr>
      <w:r>
        <w:t xml:space="preserve">Design and build contact flows replicating and improving current N8NN IVR routing</w:t>
      </w:r>
    </w:p>
    <w:p>
      <w:pPr>
        <w:numPr>
          <w:ilvl w:val="0"/>
          <w:numId w:val="1008"/>
        </w:numPr>
        <w:pStyle w:val="Compact"/>
      </w:pPr>
      <w:r>
        <w:t xml:space="preserve">Configure agent authentication via IdP federation (Entra ID GCC Moderate → Amazon Connect)</w:t>
      </w:r>
    </w:p>
    <w:p>
      <w:pPr>
        <w:numPr>
          <w:ilvl w:val="0"/>
          <w:numId w:val="1008"/>
        </w:numPr>
        <w:pStyle w:val="Compact"/>
      </w:pPr>
      <w:r>
        <w:t xml:space="preserve">Pilot with single queue and agent cohort; measure MOS, jitter, and loss from pilot locations</w:t>
      </w:r>
    </w:p>
    <w:p>
      <w:pPr>
        <w:numPr>
          <w:ilvl w:val="0"/>
          <w:numId w:val="1008"/>
        </w:numPr>
        <w:pStyle w:val="Compact"/>
      </w:pPr>
      <w:r>
        <w:t xml:space="preserve">Validate call recording pipeline to S3; confirm KMS key management, access controls, and AU-9 logging</w:t>
      </w:r>
    </w:p>
    <w:p>
      <w:pPr>
        <w:numPr>
          <w:ilvl w:val="0"/>
          <w:numId w:val="1008"/>
        </w:numPr>
        <w:pStyle w:val="Compact"/>
      </w:pPr>
      <w:r>
        <w:t xml:space="preserve">Validate CRM/case management integration; document data flow in SSP</w:t>
      </w:r>
    </w:p>
    <w:bookmarkEnd w:id="97"/>
    <w:bookmarkStart w:id="98" w:name="phase-3-teams-phone-deployment-months-48"/>
    <w:p>
      <w:pPr>
        <w:pStyle w:val="Heading2"/>
      </w:pPr>
      <w:r>
        <w:t xml:space="preserve">Phase 3 — Teams Phone Deployment (Months 4–8)</w:t>
      </w:r>
    </w:p>
    <w:p>
      <w:pPr>
        <w:numPr>
          <w:ilvl w:val="0"/>
          <w:numId w:val="1009"/>
        </w:numPr>
        <w:pStyle w:val="Compact"/>
      </w:pPr>
      <w:r>
        <w:t xml:space="preserve">Confirm Teams Phone feature availability in GCC tenant: Calling Plans availability, voicemail transcription, mobile calling</w:t>
      </w:r>
    </w:p>
    <w:p>
      <w:pPr>
        <w:numPr>
          <w:ilvl w:val="0"/>
          <w:numId w:val="1009"/>
        </w:numPr>
        <w:pStyle w:val="Compact"/>
      </w:pPr>
      <w:r>
        <w:t xml:space="preserve">Deploy and configure SBC (on-premises or cloud-hosted); validate Microsoft certification and FedRAMP authorization</w:t>
      </w:r>
    </w:p>
    <w:p>
      <w:pPr>
        <w:numPr>
          <w:ilvl w:val="0"/>
          <w:numId w:val="1009"/>
        </w:numPr>
        <w:pStyle w:val="Compact"/>
      </w:pPr>
      <w:r>
        <w:t xml:space="preserve">Configure E911 with dispatchable location for every office location; verify PSAP connectivity; document testing</w:t>
      </w:r>
    </w:p>
    <w:p>
      <w:pPr>
        <w:numPr>
          <w:ilvl w:val="0"/>
          <w:numId w:val="1009"/>
        </w:numPr>
        <w:pStyle w:val="Compact"/>
      </w:pPr>
      <w:r>
        <w:t xml:space="preserve">Inventory legacy PBX numbers: classify each as voice, fax, emergency, or special service</w:t>
      </w:r>
    </w:p>
    <w:p>
      <w:pPr>
        <w:numPr>
          <w:ilvl w:val="0"/>
          <w:numId w:val="1009"/>
        </w:numPr>
        <w:pStyle w:val="Compact"/>
      </w:pPr>
      <w:r>
        <w:t xml:space="preserve">Build Teams Call Queues and Auto Attendants replicating legacy PBX hunt groups and menus</w:t>
      </w:r>
    </w:p>
    <w:p>
      <w:pPr>
        <w:numPr>
          <w:ilvl w:val="0"/>
          <w:numId w:val="1009"/>
        </w:numPr>
        <w:pStyle w:val="Compact"/>
      </w:pPr>
      <w:r>
        <w:t xml:space="preserve">Port numbers in geographic tranches; maintain parallel PBX operation through each tranche</w:t>
      </w:r>
    </w:p>
    <w:bookmarkEnd w:id="98"/>
    <w:bookmarkStart w:id="99" w:name="X9d7b7ecc3f0b58540fc3182ad13f1c94567e114"/>
    <w:p>
      <w:pPr>
        <w:pStyle w:val="Heading2"/>
      </w:pPr>
      <w:r>
        <w:t xml:space="preserve">Phase 4 — Continuous Monitoring and FedRAMP 20x Alignment (Months 6+)</w:t>
      </w:r>
    </w:p>
    <w:p>
      <w:pPr>
        <w:numPr>
          <w:ilvl w:val="0"/>
          <w:numId w:val="1010"/>
        </w:numPr>
        <w:pStyle w:val="Compact"/>
      </w:pPr>
      <w:r>
        <w:t xml:space="preserve">Instrument SD-WAN dashboards to surface G.114 violations by location before they become citizen complaints</w:t>
      </w:r>
    </w:p>
    <w:p>
      <w:pPr>
        <w:numPr>
          <w:ilvl w:val="0"/>
          <w:numId w:val="1010"/>
        </w:numPr>
        <w:pStyle w:val="Compact"/>
      </w:pPr>
      <w:r>
        <w:t xml:space="preserve">Integrate Amazon Connect Call Analytics with agency SIEM for AU-12 continuous monitoring</w:t>
      </w:r>
    </w:p>
    <w:p>
      <w:pPr>
        <w:numPr>
          <w:ilvl w:val="0"/>
          <w:numId w:val="1010"/>
        </w:numPr>
        <w:pStyle w:val="Compact"/>
      </w:pPr>
      <w:r>
        <w:t xml:space="preserve">Establish MOS floor SLA (≥4.0) per agent location; alert when sustained MOS drops below threshold</w:t>
      </w:r>
    </w:p>
    <w:p>
      <w:pPr>
        <w:numPr>
          <w:ilvl w:val="0"/>
          <w:numId w:val="1010"/>
        </w:numPr>
        <w:pStyle w:val="Compact"/>
      </w:pPr>
      <w:r>
        <w:t xml:space="preserve">Review Amazon Connect .com exception at each ATO renewal; evaluate whether .us capability gaps have been resolved</w:t>
      </w:r>
    </w:p>
    <w:p>
      <w:pPr>
        <w:numPr>
          <w:ilvl w:val="0"/>
          <w:numId w:val="1010"/>
        </w:numPr>
        <w:pStyle w:val="Compact"/>
      </w:pPr>
      <w:r>
        <w:rPr>
          <w:bCs/>
          <w:b/>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99"/>
    <w:bookmarkEnd w:id="100"/>
    <w:bookmarkStart w:id="101" w:name="federal-framework-alignment"/>
    <w:p>
      <w:pPr>
        <w:pStyle w:val="Heading1"/>
      </w:pPr>
      <w:r>
        <w:t xml:space="preserve">Federal Framework Alignment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Requirement</w:t>
            </w:r>
          </w:p>
        </w:tc>
        <w:tc>
          <w:tcPr/>
          <w:p>
            <w:pPr>
              <w:pStyle w:val="Compact"/>
              <w:jc w:val="left"/>
            </w:pPr>
            <w:r>
              <w:t xml:space="preserve">Federal Mandate</w:t>
            </w:r>
          </w:p>
        </w:tc>
        <w:tc>
          <w:tcPr/>
          <w:p>
            <w:pPr>
              <w:pStyle w:val="Compact"/>
              <w:jc w:val="left"/>
            </w:pPr>
            <w:r>
              <w:t xml:space="preserve">Standard / Reference</w:t>
            </w:r>
          </w:p>
        </w:tc>
      </w:tr>
      <w:tr>
        <w:tc>
          <w:tcPr/>
          <w:p>
            <w:pPr>
              <w:pStyle w:val="Compact"/>
              <w:jc w:val="left"/>
            </w:pPr>
            <w:r>
              <w:t xml:space="preserve">Voice one-way delay ≤75 ms (network budget)</w:t>
            </w:r>
          </w:p>
        </w:tc>
        <w:tc>
          <w:tcPr/>
          <w:p>
            <w:pPr>
              <w:pStyle w:val="Compact"/>
              <w:jc w:val="left"/>
            </w:pPr>
            <w:r>
              <w:t xml:space="preserve">Agency SLA obligation; G.114</w:t>
            </w:r>
          </w:p>
        </w:tc>
        <w:tc>
          <w:tcPr/>
          <w:p>
            <w:pPr>
              <w:pStyle w:val="Compact"/>
              <w:jc w:val="left"/>
            </w:pPr>
            <w:r>
              <w:t xml:space="preserve">ITU-T G.114; ITU-T G.107 E-model</w:t>
            </w:r>
          </w:p>
        </w:tc>
      </w:tr>
      <w:tr>
        <w:tc>
          <w:tcPr/>
          <w:p>
            <w:pPr>
              <w:pStyle w:val="Compact"/>
              <w:jc w:val="left"/>
            </w:pPr>
            <w:r>
              <w:t xml:space="preserve">Jitter &lt;30 ms; packet loss &lt;1%</w:t>
            </w:r>
          </w:p>
        </w:tc>
        <w:tc>
          <w:tcPr/>
          <w:p>
            <w:pPr>
              <w:pStyle w:val="Compact"/>
              <w:jc w:val="left"/>
            </w:pPr>
            <w:r>
              <w:t xml:space="preserve">Agency SLA obligation</w:t>
            </w:r>
          </w:p>
        </w:tc>
        <w:tc>
          <w:tcPr/>
          <w:p>
            <w:pPr>
              <w:pStyle w:val="Compact"/>
              <w:jc w:val="left"/>
            </w:pPr>
            <w:r>
              <w:t xml:space="preserve">ITU-T G.107; RFC 3550 (RTP)</w:t>
            </w:r>
          </w:p>
        </w:tc>
      </w:tr>
      <w:tr>
        <w:tc>
          <w:tcPr/>
          <w:p>
            <w:pPr>
              <w:pStyle w:val="Compact"/>
              <w:jc w:val="left"/>
            </w:pPr>
            <w:r>
              <w:t xml:space="preserve">Amazon Connect on AWS .com; specific authorized exception</w:t>
            </w:r>
          </w:p>
        </w:tc>
        <w:tc>
          <w:tcPr/>
          <w:p>
            <w:pPr>
              <w:pStyle w:val="Compact"/>
              <w:jc w:val="left"/>
            </w:pPr>
            <w:r>
              <w:t xml:space="preserve">FedRAMP (FISMA); agency ATO</w:t>
            </w:r>
          </w:p>
        </w:tc>
        <w:tc>
          <w:tcPr/>
          <w:p>
            <w:pPr>
              <w:pStyle w:val="Compact"/>
              <w:jc w:val="left"/>
            </w:pPr>
            <w:r>
              <w:t xml:space="preserve">FedRAMP Moderate P-ATO; NIST SP 800-53 Rev 5 SA-9</w:t>
            </w:r>
          </w:p>
        </w:tc>
      </w:tr>
      <w:tr>
        <w:tc>
          <w:tcPr/>
          <w:p>
            <w:pPr>
              <w:pStyle w:val="Compact"/>
              <w:jc w:val="left"/>
            </w:pPr>
            <w:r>
              <w:t xml:space="preserve">Amazon Connect .com boundary documentation</w:t>
            </w:r>
          </w:p>
        </w:tc>
        <w:tc>
          <w:tcPr/>
          <w:p>
            <w:pPr>
              <w:pStyle w:val="Compact"/>
              <w:jc w:val="left"/>
            </w:pPr>
            <w:r>
              <w:t xml:space="preserve">FedRAMP; Privacy Act</w:t>
            </w:r>
          </w:p>
        </w:tc>
        <w:tc>
          <w:tcPr/>
          <w:p>
            <w:pPr>
              <w:pStyle w:val="Compact"/>
              <w:jc w:val="left"/>
            </w:pPr>
            <w:r>
              <w:t xml:space="preserve">NIST SP 800-53 Rev 5 SA-9, AU-9, SC-28; agency SSP</w:t>
            </w:r>
          </w:p>
        </w:tc>
      </w:tr>
      <w:tr>
        <w:tc>
          <w:tcPr/>
          <w:p>
            <w:pPr>
              <w:pStyle w:val="Compact"/>
              <w:jc w:val="left"/>
            </w:pPr>
            <w:r>
              <w:t xml:space="preserve">ATO exception maintenance at each renewal cycle</w:t>
            </w:r>
          </w:p>
        </w:tc>
        <w:tc>
          <w:tcPr/>
          <w:p>
            <w:pPr>
              <w:pStyle w:val="Compact"/>
              <w:jc w:val="left"/>
            </w:pPr>
            <w:r>
              <w:t xml:space="preserve">FedRAMP ConMon</w:t>
            </w:r>
          </w:p>
        </w:tc>
        <w:tc>
          <w:tcPr/>
          <w:p>
            <w:pPr>
              <w:pStyle w:val="Compact"/>
              <w:jc w:val="left"/>
            </w:pPr>
            <w:r>
              <w:t xml:space="preserve">NIST SP 800-37 Rev 2 CA-7; FedRAMP ConMon requirements</w:t>
            </w:r>
          </w:p>
        </w:tc>
      </w:tr>
      <w:tr>
        <w:tc>
          <w:tcPr/>
          <w:p>
            <w:pPr>
              <w:pStyle w:val="Compact"/>
              <w:jc w:val="left"/>
            </w:pPr>
            <w:r>
              <w:t xml:space="preserve">Teams Phone in GCC Moderate boundary</w:t>
            </w:r>
          </w:p>
        </w:tc>
        <w:tc>
          <w:tcPr/>
          <w:p>
            <w:pPr>
              <w:pStyle w:val="Compact"/>
              <w:jc w:val="left"/>
            </w:pPr>
            <w:r>
              <w:t xml:space="preserve">FedRAMP Moderate (M365 GCC)</w:t>
            </w:r>
          </w:p>
        </w:tc>
        <w:tc>
          <w:tcPr/>
          <w:p>
            <w:pPr>
              <w:pStyle w:val="Compact"/>
              <w:jc w:val="left"/>
            </w:pPr>
            <w:r>
              <w:t xml:space="preserve">Microsoft 365 GCC FedRAMP Moderate ATO</w:t>
            </w:r>
          </w:p>
        </w:tc>
      </w:tr>
      <w:tr>
        <w:tc>
          <w:tcPr/>
          <w:p>
            <w:pPr>
              <w:pStyle w:val="Compact"/>
              <w:jc w:val="left"/>
            </w:pPr>
            <w:r>
              <w:t xml:space="preserve">E911 direct dialing without prefix (Kari’s Law)</w:t>
            </w:r>
          </w:p>
        </w:tc>
        <w:tc>
          <w:tcPr/>
          <w:p>
            <w:pPr>
              <w:pStyle w:val="Compact"/>
              <w:jc w:val="left"/>
            </w:pPr>
            <w:r>
              <w:t xml:space="preserve">Kari’s Law (2018)</w:t>
            </w:r>
          </w:p>
        </w:tc>
        <w:tc>
          <w:tcPr/>
          <w:p>
            <w:pPr>
              <w:pStyle w:val="Compact"/>
              <w:jc w:val="left"/>
            </w:pPr>
            <w:r>
              <w:t xml:space="preserve">47 CFR §9.4; FCC rules</w:t>
            </w:r>
          </w:p>
        </w:tc>
      </w:tr>
      <w:tr>
        <w:tc>
          <w:tcPr/>
          <w:p>
            <w:pPr>
              <w:pStyle w:val="Compact"/>
              <w:jc w:val="left"/>
            </w:pPr>
            <w:r>
              <w:t xml:space="preserve">E911 dispatchable location (Ray Baum’s Act)</w:t>
            </w:r>
          </w:p>
        </w:tc>
        <w:tc>
          <w:tcPr/>
          <w:p>
            <w:pPr>
              <w:pStyle w:val="Compact"/>
              <w:jc w:val="left"/>
            </w:pPr>
            <w:r>
              <w:t xml:space="preserve">Ray Baum’s Act (2018)</w:t>
            </w:r>
          </w:p>
        </w:tc>
        <w:tc>
          <w:tcPr/>
          <w:p>
            <w:pPr>
              <w:pStyle w:val="Compact"/>
              <w:jc w:val="left"/>
            </w:pPr>
            <w:r>
              <w:t xml:space="preserve">47 CFR Part 9; FCC rules; NENA i3 standard</w:t>
            </w:r>
          </w:p>
        </w:tc>
      </w:tr>
      <w:tr>
        <w:tc>
          <w:tcPr/>
          <w:p>
            <w:pPr>
              <w:pStyle w:val="Compact"/>
              <w:jc w:val="left"/>
            </w:pPr>
            <w:r>
              <w:t xml:space="preserve">Local internet breakout for voice</w:t>
            </w:r>
          </w:p>
        </w:tc>
        <w:tc>
          <w:tcPr/>
          <w:p>
            <w:pPr>
              <w:pStyle w:val="Compact"/>
              <w:jc w:val="left"/>
            </w:pPr>
            <w:r>
              <w:t xml:space="preserve">TIC 3.0, OMB M-22-09</w:t>
            </w:r>
          </w:p>
        </w:tc>
        <w:tc>
          <w:tcPr/>
          <w:p>
            <w:pPr>
              <w:pStyle w:val="Compact"/>
              <w:jc w:val="left"/>
            </w:pPr>
            <w:r>
              <w:t xml:space="preserve">TIC 3.0 Use Case E; NIST SP 800-207</w:t>
            </w:r>
          </w:p>
        </w:tc>
      </w:tr>
      <w:tr>
        <w:tc>
          <w:tcPr/>
          <w:p>
            <w:pPr>
              <w:pStyle w:val="Compact"/>
              <w:jc w:val="left"/>
            </w:pPr>
            <w:r>
              <w:t xml:space="preserve">Per-DSCP steering for voice (DSCP EF)</w:t>
            </w:r>
          </w:p>
        </w:tc>
        <w:tc>
          <w:tcPr/>
          <w:p>
            <w:pPr>
              <w:pStyle w:val="Compact"/>
              <w:jc w:val="left"/>
            </w:pPr>
            <w:r>
              <w:t xml:space="preserve">OMB M-22-09 §4</w:t>
            </w:r>
          </w:p>
        </w:tc>
        <w:tc>
          <w:tcPr/>
          <w:p>
            <w:pPr>
              <w:pStyle w:val="Compact"/>
              <w:jc w:val="left"/>
            </w:pPr>
            <w:r>
              <w:t xml:space="preserve">RFC 3246 (DSCP EF); IETF RFC 4594</w:t>
            </w:r>
          </w:p>
        </w:tc>
      </w:tr>
      <w:tr>
        <w:tc>
          <w:tcPr/>
          <w:p>
            <w:pPr>
              <w:pStyle w:val="Compact"/>
              <w:jc w:val="left"/>
            </w:pPr>
            <w:r>
              <w:t xml:space="preserve">Active-active multipath; sub-second failover</w:t>
            </w:r>
          </w:p>
        </w:tc>
        <w:tc>
          <w:tcPr/>
          <w:p>
            <w:pPr>
              <w:pStyle w:val="Compact"/>
              <w:jc w:val="left"/>
            </w:pPr>
            <w:r>
              <w:t xml:space="preserve">TIC 3.0; OMB M-22-09</w:t>
            </w:r>
          </w:p>
        </w:tc>
        <w:tc>
          <w:tcPr/>
          <w:p>
            <w:pPr>
              <w:pStyle w:val="Compact"/>
              <w:jc w:val="left"/>
            </w:pPr>
            <w:r>
              <w:t xml:space="preserve">CISA ZTMM v2.0 Networks pillar</w:t>
            </w:r>
          </w:p>
        </w:tc>
      </w:tr>
      <w:tr>
        <w:tc>
          <w:tcPr/>
          <w:p>
            <w:pPr>
              <w:pStyle w:val="Compact"/>
              <w:jc w:val="left"/>
            </w:pPr>
            <w:r>
              <w:t xml:space="preserve">SBC as PSTN boundary interface</w:t>
            </w:r>
          </w:p>
        </w:tc>
        <w:tc>
          <w:tcPr/>
          <w:p>
            <w:pPr>
              <w:pStyle w:val="Compact"/>
              <w:jc w:val="left"/>
            </w:pPr>
            <w:r>
              <w:t xml:space="preserve">FedRAMP; agency SSP</w:t>
            </w:r>
          </w:p>
        </w:tc>
        <w:tc>
          <w:tcPr/>
          <w:p>
            <w:pPr>
              <w:pStyle w:val="Compact"/>
              <w:jc w:val="left"/>
            </w:pPr>
            <w:r>
              <w:t xml:space="preserve">NIST SP 800-53 Rev 5 SA-9; SC-7</w:t>
            </w:r>
          </w:p>
        </w:tc>
      </w:tr>
      <w:tr>
        <w:tc>
          <w:tcPr/>
          <w:p>
            <w:pPr>
              <w:pStyle w:val="Compact"/>
              <w:jc w:val="left"/>
            </w:pPr>
            <w:r>
              <w:t xml:space="preserve">Call recording access controls and audit logging</w:t>
            </w:r>
          </w:p>
        </w:tc>
        <w:tc>
          <w:tcPr/>
          <w:p>
            <w:pPr>
              <w:pStyle w:val="Compact"/>
              <w:jc w:val="left"/>
            </w:pPr>
            <w:r>
              <w:t xml:space="preserve">FedRAMP; Privacy Act</w:t>
            </w:r>
          </w:p>
        </w:tc>
        <w:tc>
          <w:tcPr/>
          <w:p>
            <w:pPr>
              <w:pStyle w:val="Compact"/>
              <w:jc w:val="left"/>
            </w:pPr>
            <w:r>
              <w:t xml:space="preserve">NIST SP 800-53 Rev 5 AU-9, SC-28; 5 U.S.C. §552a</w:t>
            </w:r>
          </w:p>
        </w:tc>
      </w:tr>
      <w:tr>
        <w:tc>
          <w:tcPr/>
          <w:p>
            <w:pPr>
              <w:pStyle w:val="Compact"/>
              <w:jc w:val="left"/>
            </w:pPr>
            <w:r>
              <w:t xml:space="preserve">Agent IdP federation across .com boundary</w:t>
            </w:r>
          </w:p>
        </w:tc>
        <w:tc>
          <w:tcPr/>
          <w:p>
            <w:pPr>
              <w:pStyle w:val="Compact"/>
              <w:jc w:val="left"/>
            </w:pPr>
            <w:r>
              <w:t xml:space="preserve">OMB M-22-09; FICAM</w:t>
            </w:r>
          </w:p>
        </w:tc>
        <w:tc>
          <w:tcPr/>
          <w:p>
            <w:pPr>
              <w:pStyle w:val="Compact"/>
              <w:jc w:val="left"/>
            </w:pPr>
            <w:r>
              <w:t xml:space="preserve">NIST SP 800-63; SAML 2.0 / OIDC federation documentation</w:t>
            </w:r>
          </w:p>
        </w:tc>
      </w:tr>
      <w:tr>
        <w:tc>
          <w:tcPr/>
          <w:p>
            <w:pPr>
              <w:pStyle w:val="Compact"/>
              <w:jc w:val="left"/>
            </w:pPr>
            <w:r>
              <w:t xml:space="preserve">Continuous call quality monitoring</w:t>
            </w:r>
          </w:p>
        </w:tc>
        <w:tc>
          <w:tcPr/>
          <w:p>
            <w:pPr>
              <w:pStyle w:val="Compact"/>
              <w:jc w:val="left"/>
            </w:pPr>
            <w:r>
              <w:t xml:space="preserve">FedRAMP ConMon; OMB A-130</w:t>
            </w:r>
          </w:p>
        </w:tc>
        <w:tc>
          <w:tcPr/>
          <w:p>
            <w:pPr>
              <w:pStyle w:val="Compact"/>
              <w:jc w:val="left"/>
            </w:pPr>
            <w:r>
              <w:t xml:space="preserve">NIST SP 800-37 Rev 2 CA-7; NIST SP 800-53 CA-7</w:t>
            </w:r>
          </w:p>
        </w:tc>
      </w:tr>
    </w:tbl>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9" Target="media/rId79.png" /><Relationship Type="http://schemas.openxmlformats.org/officeDocument/2006/relationships/image" Id="rId57" Target="media/rId57.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85" Target="media/rId85.png" /><Relationship Type="http://schemas.openxmlformats.org/officeDocument/2006/relationships/image" Id="rId91" Target="media/rId9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2026-07-06T13:54:04Z</dcterms:created>
  <dcterms:modified xsi:type="dcterms:W3CDTF">2026-07-06T13:54:04Z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2026-06-29</vt:lpwstr>
  </property>
  <property fmtid="{D5CDD505-2E9C-101B-9397-08002B2CF9AE}" pid="3" name="fig-align">
    <vt:lpwstr>center</vt:lpwstr>
  </property>
  <property fmtid="{D5CDD505-2E9C-101B-9397-08002B2CF9AE}" pid="4" name="format">
    <vt:lpwstr/>
  </property>
  <property fmtid="{D5CDD505-2E9C-101B-9397-08002B2CF9AE}" pid="5" name="out-width">
    <vt:lpwstr>100%</vt:lpwstr>
  </property>
  <property fmtid="{D5CDD505-2E9C-101B-9397-08002B2CF9AE}" pid="6" name="subtitle">
    <vt:lpwstr>Amazon Connect, Teams Phone, and the Network Architecture That Must Support Them</vt:lpwstr>
  </property>
</Properties>
</file>