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3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10</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10</w:t>
      </w:r>
    </w:p>
    <w:p>
      <w:pPr>
        <w:pStyle w:val="Subtitle"/>
      </w:pPr>
      <w:r>
        <w:t xml:space="preserve">Privileged</w:t>
      </w:r>
      <w:r>
        <w:t xml:space="preserve"> </w:t>
      </w:r>
      <w:r>
        <w:t xml:space="preserve">Access</w:t>
      </w:r>
      <w:r>
        <w:t xml:space="preserve"> </w:t>
      </w:r>
      <w:r>
        <w:t xml:space="preserve">Management:</w:t>
      </w:r>
      <w:r>
        <w:t xml:space="preserve"> </w:t>
      </w:r>
      <w:r>
        <w:t xml:space="preserve">Entra</w:t>
      </w:r>
      <w:r>
        <w:t xml:space="preserve"> </w:t>
      </w:r>
      <w:r>
        <w:t xml:space="preserve">PIM,</w:t>
      </w:r>
      <w:r>
        <w:t xml:space="preserve"> </w:t>
      </w:r>
      <w:r>
        <w:t xml:space="preserve">Just-in-Time</w:t>
      </w:r>
      <w:r>
        <w:t xml:space="preserve"> </w:t>
      </w:r>
      <w:r>
        <w:t xml:space="preserve">Access,</w:t>
      </w:r>
      <w:r>
        <w:t xml:space="preserve"> </w:t>
      </w:r>
      <w:r>
        <w:t xml:space="preserve">and</w:t>
      </w:r>
      <w:r>
        <w:t xml:space="preserve"> </w:t>
      </w:r>
      <w:r>
        <w:t xml:space="preserve">Privileged</w:t>
      </w:r>
      <w:r>
        <w:t xml:space="preserve"> </w:t>
      </w:r>
      <w:r>
        <w:t xml:space="preserve">Access</w:t>
      </w:r>
      <w:r>
        <w:t xml:space="preserve"> </w:t>
      </w:r>
      <w:r>
        <w:t xml:space="preserve">Workstations</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2,</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bookmarkStart w:id="21" w:name="what-this-document-addresses"/>
    <w:p>
      <w:pPr>
        <w:pStyle w:val="Heading1"/>
      </w:pPr>
      <w:r>
        <w:t xml:space="preserve">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Cs/>
          <w:i/>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w:t>
      </w:r>
      <w:r>
        <w:t xml:space="preserve">Standing</w:t>
      </w:r>
      <w:r>
        <w:t xml:space="preserve">”</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p>
      <w:pPr>
        <w:pStyle w:val="BodyText"/>
      </w:pPr>
      <w:r>
        <w:rPr>
          <w:bCs/>
          <w:b/>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bookmarkEnd w:id="21"/>
    <w:bookmarkStart w:id="28" w:name="the-standing-privilege-problem"/>
    <w:p>
      <w:pPr>
        <w:pStyle w:val="Heading1"/>
      </w:pPr>
      <w:r>
        <w:t xml:space="preserve">The Standing Privilege Problem</w:t>
      </w:r>
    </w:p>
    <w:bookmarkStart w:id="22" w:name="Xd3a60f78568d03bbde4109bfede25792c4de6c1"/>
    <w:p>
      <w:pPr>
        <w:pStyle w:val="Heading2"/>
      </w:pPr>
      <w:r>
        <w:t xml:space="preserve">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numPr>
          <w:ilvl w:val="0"/>
          <w:numId w:val="1001"/>
        </w:numPr>
        <w:pStyle w:val="Compact"/>
      </w:pPr>
      <w:r>
        <w:t xml:space="preserve">A compromised authentication token for a standing Global Admin grants Global Admin scope immediately, without any additional step.</w:t>
      </w:r>
    </w:p>
    <w:p>
      <w:pPr>
        <w:numPr>
          <w:ilvl w:val="0"/>
          <w:numId w:val="1001"/>
        </w:numPr>
        <w:pStyle w:val="Compact"/>
      </w:pPr>
      <w:r>
        <w:t xml:space="preserve">A successful MFA fatigue attack against a standing Privileged Role Administrator grants the ability to promote any account to any role.</w:t>
      </w:r>
    </w:p>
    <w:p>
      <w:pPr>
        <w:numPr>
          <w:ilvl w:val="0"/>
          <w:numId w:val="1001"/>
        </w:numPr>
        <w:pStyle w:val="Compact"/>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22"/>
    <w:bookmarkStart w:id="23" w:name="X1820991041c032d514ce13c2af977822ddee038"/>
    <w:p>
      <w:pPr>
        <w:pStyle w:val="Heading2"/>
      </w:pPr>
      <w:r>
        <w:t xml:space="preserve">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t>
      </w:r>
      <w:r>
        <w:t xml:space="preserve">we moved to Entra ID</w:t>
      </w:r>
      <w:r>
        <w:t xml:space="preserve">”</w:t>
      </w:r>
      <w:r>
        <w:t xml:space="preserve"> </w:t>
      </w:r>
      <w:r>
        <w:t xml:space="preserve">and treat the credential migration as the security outcome. It is a necessary precondition, not a sufficient outcome. Authorization scope reduction requires a distinct mechanism: PIM.</w:t>
      </w:r>
    </w:p>
    <w:bookmarkEnd w:id="23"/>
    <w:bookmarkStart w:id="27" w:name="Xf9e6daf1b34bf021916e30a128f36862b57d1d2"/>
    <w:p>
      <w:pPr>
        <w:pStyle w:val="Heading2"/>
      </w:pPr>
      <w:r>
        <w:t xml:space="preserve">Before and After: The Structural Comparison</w:t>
      </w:r>
    </w:p>
    <w:p>
      <w:pPr>
        <w:pStyle w:val="CaptionedFigure"/>
      </w:pPr>
      <w:r>
        <w:drawing>
          <wp:inline>
            <wp:extent cx="5334000" cy="2051538"/>
            <wp:effectExtent b="0" l="0" r="0" t="0"/>
            <wp:docPr descr="Before and after: standing Domain Admin with NTLM vs. JIT PIM activation flow showing the reduction in persistent exposure window" title="" id="25" name="Picture"/>
            <a:graphic>
              <a:graphicData uri="http://schemas.openxmlformats.org/drawingml/2006/picture">
                <pic:pic>
                  <pic:nvPicPr>
                    <pic:cNvPr descr="figs/pam-fig-01-standing-vs-jit.png" id="26" name="Picture"/>
                    <pic:cNvPicPr>
                      <a:picLocks noChangeArrowheads="1" noChangeAspect="1"/>
                    </pic:cNvPicPr>
                  </pic:nvPicPr>
                  <pic:blipFill>
                    <a:blip r:embed="rId24"/>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Before and after: standing Domain Admin with NTLM vs. JIT PIM activation flow showing the reduction in persistent exposure window</w:t>
      </w:r>
    </w:p>
    <w:p>
      <w:pPr>
        <w:pStyle w:val="BodyText"/>
      </w:pPr>
      <w:r>
        <w:rPr>
          <w:bCs/>
          <w:b/>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Cs/>
          <w:b/>
        </w:rPr>
        <w:t xml:space="preserve">After this document</w:t>
      </w:r>
      <w:r>
        <w:t xml:space="preserve"> </w:t>
      </w:r>
      <w:r>
        <w:t xml:space="preserve">— the same administrator holds no standing admin role. The Entra ID Global Admin assignment is</w:t>
      </w:r>
      <w:r>
        <w:t xml:space="preserve"> </w:t>
      </w:r>
      <w:r>
        <w:rPr>
          <w:iCs/>
          <w:i/>
        </w:rPr>
        <w:t xml:space="preserve">eligible</w:t>
      </w:r>
      <w:r>
        <w:t xml:space="preserve">, not</w:t>
      </w:r>
      <w:r>
        <w:t xml:space="preserve"> </w:t>
      </w:r>
      <w:r>
        <w:rPr>
          <w:iCs/>
          <w:i/>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p>
      <w:pPr>
        <w:pStyle w:val="BodyText"/>
      </w:pPr>
      <w:r>
        <w:rPr>
          <w:bCs/>
          <w:b/>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bookmarkEnd w:id="27"/>
    <w:bookmarkEnd w:id="28"/>
    <w:bookmarkStart w:id="37" w:name="entra-pim-architecture"/>
    <w:p>
      <w:pPr>
        <w:pStyle w:val="Heading1"/>
      </w:pPr>
      <w:r>
        <w:t xml:space="preserve">Entra PIM Architecture</w:t>
      </w:r>
    </w:p>
    <w:bookmarkStart w:id="29" w:name="core-concepts-eligible-vs.-active"/>
    <w:p>
      <w:pPr>
        <w:pStyle w:val="Heading2"/>
      </w:pPr>
      <w:r>
        <w:t xml:space="preserve">Core Concepts: Eligible vs. Active</w:t>
      </w:r>
    </w:p>
    <w:p>
      <w:pPr>
        <w:pStyle w:val="FirstParagraph"/>
      </w:pPr>
      <w:r>
        <w:t xml:space="preserve">Privileged Identity Management (PIM) introduces two assignment states for directory roles:</w:t>
      </w:r>
    </w:p>
    <w:p>
      <w:pPr>
        <w:pStyle w:val="BodyText"/>
      </w:pPr>
      <w:r>
        <w:rPr>
          <w:bCs/>
          <w:b/>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Cs/>
          <w:b/>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9"/>
    <w:bookmarkStart w:id="33" w:name="pim-activation-flow"/>
    <w:p>
      <w:pPr>
        <w:pStyle w:val="Heading2"/>
      </w:pPr>
      <w:r>
        <w:t xml:space="preserve">PIM Activation Flow</w:t>
      </w:r>
    </w:p>
    <w:p>
      <w:pPr>
        <w:pStyle w:val="CaptionedFigure"/>
      </w:pPr>
      <w:r>
        <w:drawing>
          <wp:inline>
            <wp:extent cx="5334000" cy="1641230"/>
            <wp:effectExtent b="0" l="0" r="0" t="0"/>
            <wp:docPr descr="PIM activation flow: request — MFA — approval — time-limited role — audit showing all steps and the resulting audit trail" title="" id="31" name="Picture"/>
            <a:graphic>
              <a:graphicData uri="http://schemas.openxmlformats.org/drawingml/2006/picture">
                <pic:pic>
                  <pic:nvPicPr>
                    <pic:cNvPr descr="figs/pam-fig-02-pim-activation-flow.png" id="32" name="Picture"/>
                    <pic:cNvPicPr>
                      <a:picLocks noChangeArrowheads="1" noChangeAspect="1"/>
                    </pic:cNvPicPr>
                  </pic:nvPicPr>
                  <pic:blipFill>
                    <a:blip r:embed="rId30"/>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PIM activation flow: request — MFA — approval — time-limited role — audit showing all steps and the resulting audit trail</w:t>
      </w:r>
    </w:p>
    <w:p>
      <w:pPr>
        <w:pStyle w:val="BodyText"/>
      </w:pPr>
      <w:r>
        <w:t xml:space="preserve">The activation flow has five stages:</w:t>
      </w:r>
    </w:p>
    <w:p>
      <w:pPr>
        <w:numPr>
          <w:ilvl w:val="0"/>
          <w:numId w:val="1002"/>
        </w:numPr>
      </w:pPr>
      <w:r>
        <w:rPr>
          <w:bCs/>
          <w:b/>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Cs/>
          <w:b/>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Cs/>
          <w:b/>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Cs/>
          <w:b/>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Cs/>
          <w:b/>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w:t>
      </w:r>
      <w:r>
        <w:t xml:space="preserve">PIM</w:t>
      </w:r>
      <w:r>
        <w:t xml:space="preserve">”</w:t>
      </w:r>
      <w:r>
        <w:t xml:space="preserve"> </w:t>
      </w:r>
      <w:r>
        <w:t xml:space="preserve">category. These entries are structured and queryable in Microsoft Sentinel (Defender for Cloud via the Entra connector) and in Log Analytics.</w:t>
      </w:r>
    </w:p>
    <w:bookmarkEnd w:id="33"/>
    <w:bookmarkStart w:id="34" w:name="roles-to-protect-with-pim"/>
    <w:p>
      <w:pPr>
        <w:pStyle w:val="Heading2"/>
      </w:pPr>
      <w:r>
        <w:t xml:space="preserve">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 {.striped .hover}</w:t>
      </w:r>
    </w:p>
    <w:tbl>
      <w:tblPr>
        <w:tblStyle w:val="Table"/>
        <w:tblW w:type="pct" w:w="5000"/>
        <w:tblLook w:firstRow="1" w:lastRow="0" w:firstColumn="0" w:lastColumn="0" w:noHBand="0" w:noVBand="0" w:val="0020"/>
        <w:jc w:val="start"/>
        <w:tblCaption w:val="Roles requiring PIM eligible-only assignment for all human accounts {.striped .hover}"/>
      </w:tblPr>
      <w:tblGrid>
        <w:gridCol w:w="1397"/>
        <w:gridCol w:w="1630"/>
        <w:gridCol w:w="4891"/>
      </w:tblGrid>
      <w:tr>
        <w:trPr>
          <w:tblHeader w:val="true"/>
        </w:trPr>
        <w:tc>
          <w:tcPr/>
          <w:p>
            <w:pPr>
              <w:pStyle w:val="Compact"/>
              <w:jc w:val="left"/>
            </w:pPr>
            <w:r>
              <w:t xml:space="preserve">Role</w:t>
            </w:r>
          </w:p>
        </w:tc>
        <w:tc>
          <w:tcPr/>
          <w:p>
            <w:pPr>
              <w:pStyle w:val="Compact"/>
              <w:jc w:val="left"/>
            </w:pPr>
            <w:r>
              <w:t xml:space="preserve">Scope</w:t>
            </w:r>
          </w:p>
        </w:tc>
        <w:tc>
          <w:tcPr/>
          <w:p>
            <w:pPr>
              <w:pStyle w:val="Compact"/>
              <w:jc w:val="left"/>
            </w:pPr>
            <w:r>
              <w:t xml:space="preserve">Risk if Compromised</w:t>
            </w:r>
          </w:p>
        </w:tc>
      </w:tr>
      <w:tr>
        <w:tc>
          <w:tcPr/>
          <w:p>
            <w:pPr>
              <w:pStyle w:val="Compact"/>
              <w:jc w:val="left"/>
            </w:pPr>
            <w:r>
              <w:t xml:space="preserve">Global Administrator</w:t>
            </w:r>
          </w:p>
        </w:tc>
        <w:tc>
          <w:tcPr/>
          <w:p>
            <w:pPr>
              <w:pStyle w:val="Compact"/>
              <w:jc w:val="left"/>
            </w:pPr>
            <w:r>
              <w:t xml:space="preserve">Full tenant</w:t>
            </w:r>
          </w:p>
        </w:tc>
        <w:tc>
          <w:tcPr/>
          <w:p>
            <w:pPr>
              <w:pStyle w:val="Compact"/>
              <w:jc w:val="left"/>
            </w:pPr>
            <w:r>
              <w:t xml:space="preserve">Modify any object, add credentials to any app, bypass all policies</w:t>
            </w:r>
          </w:p>
        </w:tc>
      </w:tr>
      <w:tr>
        <w:tc>
          <w:tcPr/>
          <w:p>
            <w:pPr>
              <w:pStyle w:val="Compact"/>
              <w:jc w:val="left"/>
            </w:pPr>
            <w:r>
              <w:t xml:space="preserve">Privileged Role Administrator</w:t>
            </w:r>
          </w:p>
        </w:tc>
        <w:tc>
          <w:tcPr/>
          <w:p>
            <w:pPr>
              <w:pStyle w:val="Compact"/>
              <w:jc w:val="left"/>
            </w:pPr>
            <w:r>
              <w:t xml:space="preserve">Role management</w:t>
            </w:r>
          </w:p>
        </w:tc>
        <w:tc>
          <w:tcPr/>
          <w:p>
            <w:pPr>
              <w:pStyle w:val="Compact"/>
              <w:jc w:val="left"/>
            </w:pPr>
            <w:r>
              <w:t xml:space="preserve">Promote any account to Global Admin, disable PIM</w:t>
            </w:r>
          </w:p>
        </w:tc>
      </w:tr>
      <w:tr>
        <w:tc>
          <w:tcPr/>
          <w:p>
            <w:pPr>
              <w:pStyle w:val="Compact"/>
              <w:jc w:val="left"/>
            </w:pPr>
            <w:r>
              <w:t xml:space="preserve">Security Administrator</w:t>
            </w:r>
          </w:p>
        </w:tc>
        <w:tc>
          <w:tcPr/>
          <w:p>
            <w:pPr>
              <w:pStyle w:val="Compact"/>
              <w:jc w:val="left"/>
            </w:pPr>
            <w:r>
              <w:t xml:space="preserve">Security settings</w:t>
            </w:r>
          </w:p>
        </w:tc>
        <w:tc>
          <w:tcPr/>
          <w:p>
            <w:pPr>
              <w:pStyle w:val="Compact"/>
              <w:jc w:val="left"/>
            </w:pPr>
            <w:r>
              <w:t xml:space="preserve">Modify Conditional Access, disable MFA, change Named Locations</w:t>
            </w:r>
          </w:p>
        </w:tc>
      </w:tr>
      <w:tr>
        <w:tc>
          <w:tcPr/>
          <w:p>
            <w:pPr>
              <w:pStyle w:val="Compact"/>
              <w:jc w:val="left"/>
            </w:pPr>
            <w:r>
              <w:t xml:space="preserve">Exchange Administrator</w:t>
            </w:r>
          </w:p>
        </w:tc>
        <w:tc>
          <w:tcPr/>
          <w:p>
            <w:pPr>
              <w:pStyle w:val="Compact"/>
              <w:jc w:val="left"/>
            </w:pPr>
            <w:r>
              <w:t xml:space="preserve">Exchange Online</w:t>
            </w:r>
          </w:p>
        </w:tc>
        <w:tc>
          <w:tcPr/>
          <w:p>
            <w:pPr>
              <w:pStyle w:val="Compact"/>
              <w:jc w:val="left"/>
            </w:pPr>
            <w:r>
              <w:t xml:space="preserve">Access any mailbox, create email forwarding rules</w:t>
            </w:r>
          </w:p>
        </w:tc>
      </w:tr>
      <w:tr>
        <w:tc>
          <w:tcPr/>
          <w:p>
            <w:pPr>
              <w:pStyle w:val="Compact"/>
              <w:jc w:val="left"/>
            </w:pPr>
            <w:r>
              <w:t xml:space="preserve">SharePoint Administrator</w:t>
            </w:r>
          </w:p>
        </w:tc>
        <w:tc>
          <w:tcPr/>
          <w:p>
            <w:pPr>
              <w:pStyle w:val="Compact"/>
              <w:jc w:val="left"/>
            </w:pPr>
            <w:r>
              <w:t xml:space="preserve">SharePoint Online</w:t>
            </w:r>
          </w:p>
        </w:tc>
        <w:tc>
          <w:tcPr/>
          <w:p>
            <w:pPr>
              <w:pStyle w:val="Compact"/>
              <w:jc w:val="left"/>
            </w:pPr>
            <w:r>
              <w:t xml:space="preserve">Access any site collection, modify permissions</w:t>
            </w:r>
          </w:p>
        </w:tc>
      </w:tr>
      <w:tr>
        <w:tc>
          <w:tcPr/>
          <w:p>
            <w:pPr>
              <w:pStyle w:val="Compact"/>
              <w:jc w:val="left"/>
            </w:pPr>
            <w:r>
              <w:t xml:space="preserve">Intune Administrator</w:t>
            </w:r>
          </w:p>
        </w:tc>
        <w:tc>
          <w:tcPr/>
          <w:p>
            <w:pPr>
              <w:pStyle w:val="Compact"/>
              <w:jc w:val="left"/>
            </w:pPr>
            <w:r>
              <w:t xml:space="preserve">Endpoint management</w:t>
            </w:r>
          </w:p>
        </w:tc>
        <w:tc>
          <w:tcPr/>
          <w:p>
            <w:pPr>
              <w:pStyle w:val="Compact"/>
              <w:jc w:val="left"/>
            </w:pPr>
            <w:r>
              <w:t xml:space="preserve">Push malicious config to all managed devices, disable compliance</w:t>
            </w:r>
          </w:p>
        </w:tc>
      </w:tr>
      <w:tr>
        <w:tc>
          <w:tcPr/>
          <w:p>
            <w:pPr>
              <w:pStyle w:val="Compact"/>
              <w:jc w:val="left"/>
            </w:pPr>
            <w:r>
              <w:t xml:space="preserve">Azure subscription Owner</w:t>
            </w:r>
          </w:p>
        </w:tc>
        <w:tc>
          <w:tcPr/>
          <w:p>
            <w:pPr>
              <w:pStyle w:val="Compact"/>
              <w:jc w:val="left"/>
            </w:pPr>
            <w:r>
              <w:t xml:space="preserve">Azure resources</w:t>
            </w:r>
          </w:p>
        </w:tc>
        <w:tc>
          <w:tcPr/>
          <w:p>
            <w:pPr>
              <w:pStyle w:val="Compact"/>
              <w:jc w:val="left"/>
            </w:pPr>
            <w:r>
              <w:t xml:space="preserve">Create, modify, delete any Azure resource including Arc servers</w:t>
            </w:r>
          </w:p>
        </w:tc>
      </w:tr>
      <w:tr>
        <w:tc>
          <w:tcPr/>
          <w:p>
            <w:pPr>
              <w:pStyle w:val="Compact"/>
              <w:jc w:val="left"/>
            </w:pPr>
            <w:r>
              <w:t xml:space="preserve">Azure subscription Contributor</w:t>
            </w:r>
          </w:p>
        </w:tc>
        <w:tc>
          <w:tcPr/>
          <w:p>
            <w:pPr>
              <w:pStyle w:val="Compact"/>
              <w:jc w:val="left"/>
            </w:pPr>
            <w:r>
              <w:t xml:space="preserve">Azure resources</w:t>
            </w:r>
          </w:p>
        </w:tc>
        <w:tc>
          <w:tcPr/>
          <w:p>
            <w:pPr>
              <w:pStyle w:val="Compact"/>
              <w:jc w:val="lef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4"/>
    <w:bookmarkStart w:id="35" w:name="X1b30f54ca0534d3ba40be7a4a3ff85534611b13"/>
    <w:p>
      <w:pPr>
        <w:pStyle w:val="Heading2"/>
      </w:pPr>
      <w:r>
        <w:t xml:space="preserve">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w:t>
      </w:r>
      <w:r>
        <w:rPr>
          <w:rStyle w:val="OperatorTok"/>
        </w:rPr>
        <w:t xml:space="preserve">-</w:t>
      </w:r>
      <w:r>
        <w:rPr>
          <w:rStyle w:val="NormalTok"/>
        </w:rPr>
        <w:t xml:space="preserve">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Keyword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'$roleId'"</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Keyword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w:t>
      </w:r>
      <w:r>
        <w:rPr>
          <w:rStyle w:val="NormalTok"/>
        </w:rPr>
        <w:t xml:space="preserve">eq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w:t>
      </w:r>
      <w:r>
        <w:rPr>
          <w:rStyle w:val="OperatorTok"/>
        </w:rPr>
        <w:t xml:space="preserve">-</w:t>
      </w:r>
      <w:r>
        <w:rPr>
          <w:rStyle w:val="NormalTok"/>
        </w:rPr>
        <w:t xml:space="preserve">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w:t>
      </w:r>
      <w:r>
        <w:rPr>
          <w:rStyle w:val="OperatorTok"/>
        </w:rPr>
        <w:t xml:space="preserve">-</w:t>
      </w:r>
      <w:r>
        <w:rPr>
          <w:rStyle w:val="NormalTok"/>
        </w:rPr>
        <w:t xml:space="preserve">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MgUser </w:t>
      </w:r>
      <w:r>
        <w:rPr>
          <w:rStyle w:val="OperatorTok"/>
        </w:rPr>
        <w:t xml:space="preserve">-</w:t>
      </w:r>
      <w:r>
        <w:rPr>
          <w:rStyle w:val="NormalTok"/>
        </w:rPr>
        <w:t xml:space="preserve">Filter </w:t>
      </w:r>
      <w:r>
        <w:rPr>
          <w:rStyle w:val="StringTok"/>
        </w:rPr>
        <w:t xml:space="preserve">"userPrincipalName eq '$UserUpn'"</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not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$UserUpn not found"</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'$($user.Id)' and roleDefinitionId eq '$RoleDefinitionId'"</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w:t>
      </w:r>
      <w:r>
        <w:rPr>
          <w:rStyle w:val="OperatorTok"/>
        </w:rPr>
        <w:t xml:space="preserve">-</w:t>
      </w:r>
      <w:r>
        <w:rPr>
          <w:rStyle w:val="NormalTok"/>
        </w:rPr>
        <w:t xml:space="preser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$UserUpn on role $RoleDefinitionId"</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w:t>
      </w:r>
      <w:r>
        <w:rPr>
          <w:rStyle w:val="OperatorTok"/>
        </w:rPr>
        <w:t xml:space="preserve">-</w:t>
      </w:r>
      <w:r>
        <w:rPr>
          <w:rStyle w:val="NormalTok"/>
        </w:rPr>
        <w:t xml:space="preserve">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$UserUpn on role $RoleDefinitionId"</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w:t>
      </w:r>
      <w:r>
        <w:rPr>
          <w:rStyle w:val="OperatorTok"/>
        </w:rPr>
        <w:t xml:space="preserve">-</w:t>
      </w:r>
      <w:r>
        <w:rPr>
          <w:rStyle w:val="NormalTok"/>
        </w:rPr>
        <w:t xml:space="preserve">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5"/>
    <w:bookmarkStart w:id="36" w:name="pim-policy-configuration"/>
    <w:p>
      <w:pPr>
        <w:pStyle w:val="Heading2"/>
      </w:pPr>
      <w:r>
        <w:t xml:space="preserve">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w:t>
      </w:r>
      <w:r>
        <w:rPr>
          <w:rStyle w:val="OperatorTok"/>
        </w:rPr>
        <w:t xml:space="preserve">-</w:t>
      </w:r>
      <w:r>
        <w:rPr>
          <w:rStyle w:val="NormalTok"/>
        </w:rPr>
        <w:t xml:space="preserve">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w:t>
      </w:r>
      <w:r>
        <w:rPr>
          <w:rStyle w:val="OperatorTok"/>
        </w:rPr>
        <w:t xml:space="preserve">-</w:t>
      </w:r>
      <w:r>
        <w:rPr>
          <w:rStyle w:val="NormalTok"/>
        </w:rPr>
        <w:t xml:space="preserve">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'$($_.Id)'"</w:t>
      </w:r>
      <w:r>
        <w:rPr>
          <w:rStyle w:val="OperatorTok"/>
        </w:rPr>
        <w:t xml:space="preserve">).</w:t>
      </w:r>
      <w:r>
        <w:rPr>
          <w:rStyle w:val="FunctionTok"/>
        </w:rPr>
        <w:t xml:space="preserve">RoleDefinitionId</w:t>
      </w:r>
      <w:r>
        <w:rPr>
          <w:rStyle w:val="NormalTok"/>
        </w:rPr>
        <w:t xml:space="preserve"> </w:t>
      </w:r>
      <w:r>
        <w:rPr>
          <w:rStyle w:val="OperatorTok"/>
        </w:rPr>
        <w:t xml:space="preserve">-</w:t>
      </w:r>
      <w:r>
        <w:rPr>
          <w:rStyle w:val="NormalTok"/>
        </w:rPr>
        <w:t xml:space="preserve">eq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1</w:t>
      </w:r>
      <w:r>
        <w:br/>
      </w:r>
      <w:r>
        <w:br/>
      </w:r>
      <w:r>
        <w:rPr>
          <w:rStyle w:val="FunctionTok"/>
        </w:rPr>
        <w:t xml:space="preserve">Write-Host</w:t>
      </w:r>
      <w:r>
        <w:rPr>
          <w:rStyle w:val="NormalTok"/>
        </w:rPr>
        <w:t xml:space="preserve"> </w:t>
      </w:r>
      <w:r>
        <w:rPr>
          <w:rStyle w:val="StringTok"/>
        </w:rPr>
        <w:t xml:space="preserve">"Policy ID for Global Administrator: $($policy.Id)"</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w:t>
      </w:r>
      <w:r>
        <w:rPr>
          <w:rStyle w:val="OperatorTok"/>
        </w:rPr>
        <w:t xml:space="preserve">-</w:t>
      </w:r>
      <w:r>
        <w:rPr>
          <w:rStyle w:val="NormalTok"/>
        </w:rPr>
        <w:t xml:space="preserv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p>
      <w:pPr>
        <w:pStyle w:val="FirstParagraph"/>
      </w:pPr>
      <w:r>
        <w:rPr>
          <w:bCs/>
          <w:b/>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bookmarkEnd w:id="36"/>
    <w:bookmarkEnd w:id="37"/>
    <w:bookmarkStart w:id="45" w:name="just-in-time-server-access"/>
    <w:p>
      <w:pPr>
        <w:pStyle w:val="Heading1"/>
      </w:pPr>
      <w:r>
        <w:t xml:space="preserve">Just-in-Time Server Access</w:t>
      </w:r>
    </w:p>
    <w:bookmarkStart w:id="38" w:name="the-standing-local-administrator-problem"/>
    <w:p>
      <w:pPr>
        <w:pStyle w:val="Heading2"/>
      </w:pPr>
      <w:r>
        <w:t xml:space="preserve">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Cs/>
          <w:i/>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38"/>
    <w:bookmarkStart w:id="42" w:name="arc-jit-ssh-and-rdp-architecture"/>
    <w:p>
      <w:pPr>
        <w:pStyle w:val="Heading2"/>
      </w:pPr>
      <w:r>
        <w:t xml:space="preserve">Arc JIT SSH and RDP Architecture</w:t>
      </w:r>
    </w:p>
    <w:p>
      <w:pPr>
        <w:pStyle w:val="FirstParagraph"/>
      </w:pPr>
      <w:r>
        <w:t xml:space="preserve">Azure Arc JIT access uses two distinct mechanisms depending on the protocol:</w:t>
      </w:r>
    </w:p>
    <w:p>
      <w:pPr>
        <w:pStyle w:val="BodyText"/>
      </w:pPr>
      <w:r>
        <w:rPr>
          <w:bCs/>
          <w:b/>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Cs/>
          <w:b/>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w:t>
      </w:r>
      <w:r>
        <w:t xml:space="preserve">Connect</w:t>
      </w:r>
      <w:r>
        <w:t xml:space="preserve">”</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numPr>
          <w:ilvl w:val="0"/>
          <w:numId w:val="1003"/>
        </w:numPr>
        <w:pStyle w:val="Compact"/>
      </w:pPr>
      <w:r>
        <w:t xml:space="preserve">Azure Arc agent installed and connected on the target host</w:t>
      </w:r>
    </w:p>
    <w:p>
      <w:pPr>
        <w:numPr>
          <w:ilvl w:val="0"/>
          <w:numId w:val="1003"/>
        </w:numPr>
        <w:pStyle w:val="Compact"/>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numPr>
          <w:ilvl w:val="0"/>
          <w:numId w:val="1003"/>
        </w:numPr>
        <w:pStyle w:val="Compact"/>
      </w:pPr>
      <w:r>
        <w:t xml:space="preserve">The target host’s Azure resource group and subscription scoped to the role assignment</w:t>
      </w:r>
    </w:p>
    <w:p>
      <w:pPr>
        <w:numPr>
          <w:ilvl w:val="0"/>
          <w:numId w:val="1003"/>
        </w:numPr>
        <w:pStyle w:val="Compact"/>
      </w:pPr>
      <w:r>
        <w:t xml:space="preserve">Network connectivity from the host to Arc endpoints (TCP 443 to management.azure.com and guestconfiguration endpoint)</w:t>
      </w:r>
    </w:p>
    <w:p>
      <w:pPr>
        <w:pStyle w:val="CaptionedFigure"/>
      </w:pPr>
      <w:r>
        <w:drawing>
          <wp:inline>
            <wp:extent cx="5334000" cy="2051538"/>
            <wp:effectExtent b="0" l="0" r="0" t="0"/>
            <wp:docPr descr="PAW trust model showing standard user device vs. PAW device vs. admin target with network paths and trust assertions at each boundary" title="" id="40" name="Picture"/>
            <a:graphic>
              <a:graphicData uri="http://schemas.openxmlformats.org/drawingml/2006/picture">
                <pic:pic>
                  <pic:nvPicPr>
                    <pic:cNvPr descr="figs/pam-fig-03-paw-trust-model.png" id="41" name="Picture"/>
                    <pic:cNvPicPr>
                      <a:picLocks noChangeArrowheads="1" noChangeAspect="1"/>
                    </pic:cNvPicPr>
                  </pic:nvPicPr>
                  <pic:blipFill>
                    <a:blip r:embed="rId39"/>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PAW trust model showing standard user device vs. PAW device vs. admin target with network paths and trust assertions at each boundary</w:t>
      </w:r>
    </w:p>
    <w:bookmarkEnd w:id="42"/>
    <w:bookmarkStart w:id="43" w:name="configuring-jit-access-via-arc"/>
    <w:p>
      <w:pPr>
        <w:pStyle w:val="Heading2"/>
      </w:pPr>
      <w:r>
        <w:t xml:space="preserve">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w:t>
      </w:r>
      <w:r>
        <w:rPr>
          <w:rStyle w:val="OperatorTok"/>
        </w:rPr>
        <w:t xml:space="preserve">-</w:t>
      </w:r>
      <w:r>
        <w:rPr>
          <w:rStyle w:val="NormalTok"/>
        </w:rPr>
        <w:t xml:space="preserve">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Keyword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ne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$arcServerName is not connected. Status: $($arcServer.Status)"</w:t>
      </w:r>
      <w:r>
        <w:br/>
      </w:r>
      <w:r>
        <w:rPr>
          <w:rStyle w:val="NormalTok"/>
        </w:rPr>
        <w:t xml:space="preserve">    </w:t>
      </w:r>
      <w:r>
        <w:rPr>
          <w:rStyle w:val="Keyword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$arcServerName is connected. OS: $($arcServer.OsName)"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AzADUser </w:t>
      </w:r>
      <w:r>
        <w:rPr>
          <w:rStyle w:val="OperatorTok"/>
        </w:rPr>
        <w:t xml:space="preserve">-</w:t>
      </w:r>
      <w:r>
        <w:rPr>
          <w:rStyle w:val="NormalTok"/>
        </w:rPr>
        <w:t xml:space="preserve">UserPrincipalName </w:t>
      </w:r>
      <w:r>
        <w:rPr>
          <w:rStyle w:val="VariableTok"/>
        </w:rPr>
        <w:t xml:space="preserve">$adminUpn</w:t>
      </w:r>
      <w:r>
        <w:br/>
      </w:r>
      <w:r>
        <w:rPr>
          <w:rStyle w:val="KeywordTok"/>
        </w:rPr>
        <w:t xml:space="preserve">if</w:t>
      </w:r>
      <w:r>
        <w:rPr>
          <w:rStyle w:val="NormalTok"/>
        </w:rPr>
        <w:t xml:space="preserve"> </w:t>
      </w:r>
      <w:r>
        <w:rPr>
          <w:rStyle w:val="OperatorTok"/>
        </w:rPr>
        <w:t xml:space="preserve">(-</w:t>
      </w:r>
      <w:r>
        <w:rPr>
          <w:rStyle w:val="NormalTok"/>
        </w:rPr>
        <w:t xml:space="preserve">not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$adminUpn not found in Entra ID"</w:t>
      </w:r>
      <w:r>
        <w:br/>
      </w:r>
      <w:r>
        <w:rPr>
          <w:rStyle w:val="NormalTok"/>
        </w:rPr>
        <w:t xml:space="preserve">    </w:t>
      </w:r>
      <w:r>
        <w:rPr>
          <w:rStyle w:val="Keyword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"/subscriptions/$subscriptionId/resourceGroups/$resourceGroup/providers/Microsoft.HybridCompute/machines/$arcServerName"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"/subscriptions/$subscriptionId/providers/Microsoft.Authorization/roleDefinitions/$vmAdminLoginRoleId"</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$arcServerName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"https://management.azure.com$resourceId/providers/Microsoft.Authorization/roleEligibilityScheduleRequests/$(New-Guid)?api-version=2020-10-01"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w:t>
      </w:r>
      <w:r>
        <w:rPr>
          <w:rStyle w:val="OperatorTok"/>
        </w:rPr>
        <w:t xml:space="preserve">-</w:t>
      </w:r>
      <w:r>
        <w:rPr>
          <w:rStyle w:val="NormalTok"/>
        </w:rPr>
        <w:t xml:space="preserve">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$token"</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$adminUpn on $arcServerName"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CommentTok"/>
        </w:rPr>
        <w:t xml:space="preserve"># Disable local Administrator account</w:t>
      </w:r>
      <w:r>
        <w:br/>
      </w:r>
      <w:r>
        <w:rPr>
          <w:rStyle w:val="VariableTok"/>
        </w:rPr>
        <w:t xml:space="preserve">$adminAccount</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LocalUser </w:t>
      </w:r>
      <w:r>
        <w:rPr>
          <w:rStyle w:val="OperatorTok"/>
        </w:rPr>
        <w:t xml:space="preserve">-</w:t>
      </w:r>
      <w:r>
        <w:rPr>
          <w:rStyle w:val="NormalTok"/>
        </w:rPr>
        <w:t xml:space="preserve">Name </w:t>
      </w:r>
      <w:r>
        <w:rPr>
          <w:rStyle w:val="StringTok"/>
        </w:rPr>
        <w:t xml:space="preserve">"Administrator"</w:t>
      </w:r>
      <w:r>
        <w:rPr>
          <w:rStyle w:val="NormalTok"/>
        </w:rPr>
        <w:t xml:space="preserve"> </w:t>
      </w:r>
      <w:r>
        <w:rPr>
          <w:rStyle w:val="OperatorTok"/>
        </w:rPr>
        <w:t xml:space="preserve">-</w:t>
      </w:r>
      <w:r>
        <w:rPr>
          <w:rStyle w:val="NormalTok"/>
        </w:rPr>
        <w:t xml:space="preserve">ErrorAction SilentlyContinue</w:t>
      </w:r>
      <w:r>
        <w:br/>
      </w:r>
      <w:r>
        <w:rPr>
          <w:rStyle w:val="KeywordTok"/>
        </w:rPr>
        <w:t xml:space="preserve">if</w:t>
      </w:r>
      <w:r>
        <w:rPr>
          <w:rStyle w:val="NormalTok"/>
        </w:rPr>
        <w:t xml:space="preserve"> </w:t>
      </w:r>
      <w:r>
        <w:rPr>
          <w:rStyle w:val="OperatorTok"/>
        </w:rPr>
        <w:t xml:space="preserve">(</w:t>
      </w:r>
      <w:r>
        <w:rPr>
          <w:rStyle w:val="VariableTok"/>
        </w:rPr>
        <w:t xml:space="preserve">$adminAccount</w:t>
      </w:r>
      <w:r>
        <w:rPr>
          <w:rStyle w:val="NormalTok"/>
        </w:rPr>
        <w:t xml:space="preserve"> </w:t>
      </w:r>
      <w:r>
        <w:rPr>
          <w:rStyle w:val="OperatorTok"/>
        </w:rPr>
        <w:t xml:space="preserve">-</w:t>
      </w:r>
      <w:r>
        <w:rPr>
          <w:rStyle w:val="NormalTok"/>
        </w:rPr>
        <w:t xml:space="preserve">and </w:t>
      </w:r>
      <w:r>
        <w:rPr>
          <w:rStyle w:val="VariableTok"/>
        </w:rPr>
        <w:t xml:space="preserve">$adminAccount</w:t>
      </w:r>
      <w:r>
        <w:rPr>
          <w:rStyle w:val="OperatorTok"/>
        </w:rPr>
        <w:t xml:space="preserve">.</w:t>
      </w:r>
      <w:r>
        <w:rPr>
          <w:rStyle w:val="FunctionTok"/>
        </w:rPr>
        <w:t xml:space="preserve">Enabled</w:t>
      </w:r>
      <w:r>
        <w:rPr>
          <w:rStyle w:val="OperatorTok"/>
        </w:rPr>
        <w:t xml:space="preserve">)</w:t>
      </w:r>
      <w:r>
        <w:rPr>
          <w:rStyle w:val="NormalTok"/>
        </w:rPr>
        <w:t xml:space="preserve"> </w:t>
      </w:r>
      <w:r>
        <w:rPr>
          <w:rStyle w:val="OperatorTok"/>
        </w:rPr>
        <w:t xml:space="preserve">{</w:t>
      </w:r>
      <w:r>
        <w:br/>
      </w:r>
      <w:r>
        <w:rPr>
          <w:rStyle w:val="NormalTok"/>
        </w:rPr>
        <w:t xml:space="preserve">    Disable</w:t>
      </w:r>
      <w:r>
        <w:rPr>
          <w:rStyle w:val="OperatorTok"/>
        </w:rPr>
        <w:t xml:space="preserve">-</w:t>
      </w:r>
      <w:r>
        <w:rPr>
          <w:rStyle w:val="NormalTok"/>
        </w:rPr>
        <w:t xml:space="preserve">LocalUser </w:t>
      </w:r>
      <w:r>
        <w:rPr>
          <w:rStyle w:val="OperatorTok"/>
        </w:rPr>
        <w:t xml:space="preserve">-</w:t>
      </w:r>
      <w:r>
        <w:rPr>
          <w:rStyle w:val="NormalTok"/>
        </w:rPr>
        <w:t xml:space="preserve">Name </w:t>
      </w:r>
      <w:r>
        <w:rPr>
          <w:rStyle w:val="StringTok"/>
        </w:rPr>
        <w:t xml:space="preserve">"Administrator"</w:t>
      </w:r>
      <w:r>
        <w:br/>
      </w:r>
      <w:r>
        <w:rPr>
          <w:rStyle w:val="NormalTok"/>
        </w:rPr>
        <w:t xml:space="preserve">    </w:t>
      </w:r>
      <w:r>
        <w:rPr>
          <w:rStyle w:val="FunctionTok"/>
        </w:rPr>
        <w:t xml:space="preserve">Write-Output</w:t>
      </w:r>
      <w:r>
        <w:rPr>
          <w:rStyle w:val="NormalTok"/>
        </w:rPr>
        <w:t xml:space="preserve"> </w:t>
      </w:r>
      <w:r>
        <w:rPr>
          <w:rStyle w:val="StringTok"/>
        </w:rPr>
        <w:t xml:space="preserve">"Local Administrator account disabled."</w:t>
      </w:r>
      <w:r>
        <w:br/>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Write-Output</w:t>
      </w:r>
      <w:r>
        <w:rPr>
          <w:rStyle w:val="NormalTok"/>
        </w:rPr>
        <w:t xml:space="preserve"> </w:t>
      </w:r>
      <w:r>
        <w:rPr>
          <w:rStyle w:val="StringTok"/>
        </w:rPr>
        <w:t xml:space="preserve">"Local Administrator account already disabled or not found."</w:t>
      </w:r>
      <w:r>
        <w:br/>
      </w:r>
      <w:r>
        <w:rPr>
          <w:rStyle w:val="OperatorTok"/>
        </w:rPr>
        <w:t xml:space="preserve">}</w:t>
      </w:r>
      <w:r>
        <w:br/>
      </w:r>
      <w:r>
        <w:br/>
      </w:r>
      <w:r>
        <w:rPr>
          <w:rStyle w:val="CommentTok"/>
        </w:rPr>
        <w:t xml:space="preserve"># Verify no other local admin accounts exist (except Arc-managed)</w:t>
      </w:r>
      <w:r>
        <w:br/>
      </w:r>
      <w:r>
        <w:rPr>
          <w:rStyle w:val="VariableTok"/>
        </w:rPr>
        <w:t xml:space="preserve">$localAdmins</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LocalGroupMember </w:t>
      </w:r>
      <w:r>
        <w:rPr>
          <w:rStyle w:val="OperatorTok"/>
        </w:rPr>
        <w:t xml:space="preserve">-</w:t>
      </w:r>
      <w:r>
        <w:rPr>
          <w:rStyle w:val="NormalTok"/>
        </w:rPr>
        <w:t xml:space="preserve">Group </w:t>
      </w:r>
      <w:r>
        <w:rPr>
          <w:rStyle w:val="StringTok"/>
        </w:rPr>
        <w:t xml:space="preserve">"Administrators"</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PrincipalSource</w:t>
      </w:r>
      <w:r>
        <w:rPr>
          <w:rStyle w:val="NormalTok"/>
        </w:rPr>
        <w:t xml:space="preserve"> </w:t>
      </w:r>
      <w:r>
        <w:rPr>
          <w:rStyle w:val="OperatorTok"/>
        </w:rPr>
        <w:t xml:space="preserve">-</w:t>
      </w:r>
      <w:r>
        <w:rPr>
          <w:rStyle w:val="NormalTok"/>
        </w:rPr>
        <w:t xml:space="preserve">eq </w:t>
      </w:r>
      <w:r>
        <w:rPr>
          <w:rStyle w:val="StringTok"/>
        </w:rPr>
        <w:t xml:space="preserve">"Local"</w:t>
      </w:r>
      <w:r>
        <w:rPr>
          <w:rStyle w:val="NormalTok"/>
        </w:rPr>
        <w:t xml:space="preserve"> </w:t>
      </w:r>
      <w:r>
        <w:rPr>
          <w:rStyle w:val="OperatorTok"/>
        </w:rPr>
        <w:t xml:space="preserve">-</w:t>
      </w:r>
      <w:r>
        <w:rPr>
          <w:rStyle w:val="NormalTok"/>
        </w:rPr>
        <w:t xml:space="preserve">and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notmatch </w:t>
      </w:r>
      <w:r>
        <w:rPr>
          <w:rStyle w:val="StringTok"/>
        </w:rPr>
        <w:t xml:space="preserve">"Administrator"</w:t>
      </w:r>
      <w:r>
        <w:rPr>
          <w:rStyle w:val="NormalTok"/>
        </w:rPr>
        <w:t xml:space="preserve"> </w:t>
      </w:r>
      <w:r>
        <w:rPr>
          <w:rStyle w:val="OperatorTok"/>
        </w:rPr>
        <w:t xml:space="preserve">}</w:t>
      </w:r>
      <w:r>
        <w:br/>
      </w:r>
      <w:r>
        <w:br/>
      </w:r>
      <w:r>
        <w:rPr>
          <w:rStyle w:val="KeywordTok"/>
        </w:rPr>
        <w:t xml:space="preserve">if</w:t>
      </w:r>
      <w:r>
        <w:rPr>
          <w:rStyle w:val="NormalTok"/>
        </w:rPr>
        <w:t xml:space="preserve"> </w:t>
      </w:r>
      <w:r>
        <w:rPr>
          <w:rStyle w:val="OperatorTok"/>
        </w:rPr>
        <w:t xml:space="preserve">(</w:t>
      </w:r>
      <w:r>
        <w:rPr>
          <w:rStyle w:val="VariableTok"/>
        </w:rPr>
        <w:t xml:space="preserve">$localAdmins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"Additional local admin accounts found:"</w:t>
      </w:r>
      <w:r>
        <w:br/>
      </w:r>
      <w:r>
        <w:rPr>
          <w:rStyle w:val="NormalTok"/>
        </w:rPr>
        <w:t xml:space="preserve">    </w:t>
      </w:r>
      <w:r>
        <w:rPr>
          <w:rStyle w:val="VariableTok"/>
        </w:rPr>
        <w:t xml:space="preserve">$localAdmins</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$($_.Name)"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Write-Output</w:t>
      </w:r>
      <w:r>
        <w:rPr>
          <w:rStyle w:val="NormalTok"/>
        </w:rPr>
        <w:t xml:space="preserve"> </w:t>
      </w:r>
      <w:r>
        <w:rPr>
          <w:rStyle w:val="StringTok"/>
        </w:rPr>
        <w:t xml:space="preserve">"No unauthorized local admin accounts found."</w:t>
      </w:r>
      <w:r>
        <w:br/>
      </w:r>
      <w:r>
        <w:rPr>
          <w:rStyle w:val="OperatorTok"/>
        </w:rPr>
        <w:t xml:space="preserve">}</w:t>
      </w:r>
      <w:r>
        <w:br/>
      </w:r>
      <w:r>
        <w:rPr>
          <w:rStyle w:val="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"DisableLocalAdmin-$(Get-Date -Format yyyyMMddHHmm)"</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w:t>
      </w:r>
      <w:r>
        <w:rPr>
          <w:rStyle w:val="OperatorTok"/>
        </w:rPr>
        <w:t xml:space="preserve">-</w:t>
      </w:r>
      <w:r>
        <w:rPr>
          <w:rStyle w:val="NormalTok"/>
        </w:rPr>
        <w:t xml:space="preserve">AzConnectedMachineRunCommand @runCommandParams</w:t>
      </w:r>
    </w:p>
    <w:bookmarkEnd w:id="43"/>
    <w:bookmarkStart w:id="44" w:name="jit-session-flow-for-operators"/>
    <w:p>
      <w:pPr>
        <w:pStyle w:val="Heading2"/>
      </w:pPr>
      <w:r>
        <w:t xml:space="preserve">JIT Session Flow for Operators</w:t>
      </w:r>
    </w:p>
    <w:p>
      <w:pPr>
        <w:pStyle w:val="FirstParagraph"/>
      </w:pPr>
      <w:r>
        <w:t xml:space="preserve">Once JIT is configured, the operator workflow is:</w:t>
      </w:r>
    </w:p>
    <w:p>
      <w:pPr>
        <w:numPr>
          <w:ilvl w:val="0"/>
          <w:numId w:val="1004"/>
        </w:numPr>
        <w:pStyle w:val="Compact"/>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numPr>
          <w:ilvl w:val="0"/>
          <w:numId w:val="1004"/>
        </w:numPr>
        <w:pStyle w:val="Compact"/>
      </w:pPr>
      <w:r>
        <w:t xml:space="preserve">Complete MFA re-authentication and provide justification.</w:t>
      </w:r>
    </w:p>
    <w:p>
      <w:pPr>
        <w:numPr>
          <w:ilvl w:val="0"/>
          <w:numId w:val="1004"/>
        </w:numPr>
        <w:pStyle w:val="Compact"/>
      </w:pPr>
      <w:r>
        <w:t xml:space="preserve">Wait for activation confirmation (immediate if no approver required, otherwise wait for approval notification).</w:t>
      </w:r>
    </w:p>
    <w:p>
      <w:pPr>
        <w:numPr>
          <w:ilvl w:val="0"/>
          <w:numId w:val="1004"/>
        </w:numPr>
        <w:pStyle w:val="Compact"/>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w:t>
      </w:r>
      <w:r>
        <w:rPr>
          <w:rStyle w:val="OperatorTok"/>
        </w:rPr>
        <w:t xml:space="preserve">-</w:t>
      </w:r>
      <w:r>
        <w:rPr>
          <w:rStyle w:val="NormalTok"/>
        </w:rPr>
        <w:t xml:space="preserve">group rg</w:t>
      </w:r>
      <w:r>
        <w:rPr>
          <w:rStyle w:val="OperatorTok"/>
        </w:rPr>
        <w:t xml:space="preserve">-</w:t>
      </w:r>
      <w:r>
        <w:rPr>
          <w:rStyle w:val="NormalTok"/>
        </w:rPr>
        <w:t xml:space="preserve">arc</w:t>
      </w:r>
      <w:r>
        <w:rPr>
          <w:rStyle w:val="OperatorTok"/>
        </w:rPr>
        <w:t xml:space="preserve">-</w:t>
      </w:r>
      <w:r>
        <w:rPr>
          <w:rStyle w:val="NormalTok"/>
        </w:rPr>
        <w:t xml:space="preserve">servers</w:t>
      </w:r>
      <w:r>
        <w:rPr>
          <w:rStyle w:val="OperatorTok"/>
        </w:rPr>
        <w:t xml:space="preserve">-</w:t>
      </w:r>
      <w:r>
        <w:rPr>
          <w:rStyle w:val="NormalTok"/>
        </w:rPr>
        <w:t xml:space="preserve">prod </w:t>
      </w:r>
      <w:r>
        <w:rPr>
          <w:rStyle w:val="OperatorTok"/>
        </w:rPr>
        <w:t xml:space="preserve">--</w:t>
      </w:r>
      <w:r>
        <w:rPr>
          <w:rStyle w:val="NormalTok"/>
        </w:rPr>
        <w:t xml:space="preserve">name sql</w:t>
      </w:r>
      <w:r>
        <w:rPr>
          <w:rStyle w:val="OperatorTok"/>
        </w:rPr>
        <w:t xml:space="preserve">-</w:t>
      </w:r>
      <w:r>
        <w:rPr>
          <w:rStyle w:val="NormalTok"/>
        </w:rPr>
        <w:t xml:space="preserve">prod</w:t>
      </w:r>
      <w:r>
        <w:rPr>
          <w:rStyle w:val="OperatorTok"/>
        </w:rPr>
        <w:t xml:space="preserve">-</w:t>
      </w:r>
      <w:r>
        <w:rPr>
          <w:rStyle w:val="NormalTok"/>
        </w:rPr>
        <w:t xml:space="preserve">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w:t>
      </w:r>
      <w:r>
        <w:rPr>
          <w:rStyle w:val="OperatorTok"/>
        </w:rPr>
        <w:t xml:space="preserve">-</w:t>
      </w:r>
      <w:r>
        <w:rPr>
          <w:rStyle w:val="NormalTok"/>
        </w:rPr>
        <w:t xml:space="preserve">group rg</w:t>
      </w:r>
      <w:r>
        <w:rPr>
          <w:rStyle w:val="OperatorTok"/>
        </w:rPr>
        <w:t xml:space="preserve">-</w:t>
      </w:r>
      <w:r>
        <w:rPr>
          <w:rStyle w:val="NormalTok"/>
        </w:rPr>
        <w:t xml:space="preserve">arc</w:t>
      </w:r>
      <w:r>
        <w:rPr>
          <w:rStyle w:val="OperatorTok"/>
        </w:rPr>
        <w:t xml:space="preserve">-</w:t>
      </w:r>
      <w:r>
        <w:rPr>
          <w:rStyle w:val="NormalTok"/>
        </w:rPr>
        <w:t xml:space="preserve">servers</w:t>
      </w:r>
      <w:r>
        <w:rPr>
          <w:rStyle w:val="OperatorTok"/>
        </w:rPr>
        <w:t xml:space="preserve">-</w:t>
      </w:r>
      <w:r>
        <w:rPr>
          <w:rStyle w:val="NormalTok"/>
        </w:rPr>
        <w:t xml:space="preserve">prod </w:t>
      </w:r>
      <w:r>
        <w:rPr>
          <w:rStyle w:val="OperatorTok"/>
        </w:rPr>
        <w:t xml:space="preserve">--</w:t>
      </w:r>
      <w:r>
        <w:rPr>
          <w:rStyle w:val="NormalTok"/>
        </w:rPr>
        <w:t xml:space="preserve">name sql</w:t>
      </w:r>
      <w:r>
        <w:rPr>
          <w:rStyle w:val="OperatorTok"/>
        </w:rPr>
        <w:t xml:space="preserve">-</w:t>
      </w:r>
      <w:r>
        <w:rPr>
          <w:rStyle w:val="NormalTok"/>
        </w:rPr>
        <w:t xml:space="preserve">prod</w:t>
      </w:r>
      <w:r>
        <w:rPr>
          <w:rStyle w:val="OperatorTok"/>
        </w:rPr>
        <w:t xml:space="preserve">-</w:t>
      </w:r>
      <w:r>
        <w:rPr>
          <w:rStyle w:val="NormalTok"/>
        </w:rPr>
        <w:t xml:space="preserve">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p>
      <w:pPr>
        <w:pStyle w:val="BodyText"/>
      </w:pPr>
      <w:r>
        <w:rPr>
          <w:bCs/>
          <w:b/>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bookmarkEnd w:id="44"/>
    <w:bookmarkEnd w:id="45"/>
    <w:bookmarkStart w:id="51" w:name="privileged-access-workstation-baseline"/>
    <w:p>
      <w:pPr>
        <w:pStyle w:val="Heading1"/>
      </w:pPr>
      <w:r>
        <w:t xml:space="preserve">Privileged Access Workstation Baseline</w:t>
      </w:r>
    </w:p>
    <w:bookmarkStart w:id="46" w:name="what-a-paw-is"/>
    <w:p>
      <w:pPr>
        <w:pStyle w:val="Heading2"/>
      </w:pPr>
      <w:r>
        <w:t xml:space="preserve">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46"/>
    <w:bookmarkStart w:id="47" w:name="paw-hardware-and-os-baseline"/>
    <w:p>
      <w:pPr>
        <w:pStyle w:val="Heading2"/>
      </w:pPr>
      <w:r>
        <w:t xml:space="preserve">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numPr>
          <w:ilvl w:val="0"/>
          <w:numId w:val="1005"/>
        </w:numPr>
        <w:pStyle w:val="Compact"/>
      </w:pPr>
      <w:r>
        <w:t xml:space="preserve">Dedicated physical laptop or workstation, not shared</w:t>
      </w:r>
    </w:p>
    <w:p>
      <w:pPr>
        <w:numPr>
          <w:ilvl w:val="0"/>
          <w:numId w:val="1005"/>
        </w:numPr>
        <w:pStyle w:val="Compact"/>
      </w:pPr>
      <w:r>
        <w:t xml:space="preserve">Secure Boot enabled, Trusted Platform Module (TPM) 2.0 present</w:t>
      </w:r>
    </w:p>
    <w:p>
      <w:pPr>
        <w:numPr>
          <w:ilvl w:val="0"/>
          <w:numId w:val="1005"/>
        </w:numPr>
        <w:pStyle w:val="Compact"/>
      </w:pPr>
      <w:r>
        <w:t xml:space="preserve">Windows 11 Pro or Enterprise (Windows 10 is acceptable for transition; Windows 11 is the target)</w:t>
      </w:r>
    </w:p>
    <w:p>
      <w:pPr>
        <w:numPr>
          <w:ilvl w:val="0"/>
          <w:numId w:val="1005"/>
        </w:numPr>
        <w:pStyle w:val="Compact"/>
      </w:pPr>
      <w:r>
        <w:t xml:space="preserve">Entra ID Joined (not hybrid-joined; the PAW must not require a domain controller)</w:t>
      </w:r>
    </w:p>
    <w:p>
      <w:pPr>
        <w:numPr>
          <w:ilvl w:val="0"/>
          <w:numId w:val="1005"/>
        </w:numPr>
        <w:pStyle w:val="Compact"/>
      </w:pPr>
      <w:r>
        <w:t xml:space="preserve">Intune-managed (MDM enrollment required for compliance policy enforcement)</w:t>
      </w:r>
    </w:p>
    <w:bookmarkEnd w:id="47"/>
    <w:bookmarkStart w:id="48" w:name="intune-compliance-policy-for-paw"/>
    <w:p>
      <w:pPr>
        <w:pStyle w:val="Heading2"/>
      </w:pPr>
      <w:r>
        <w:t xml:space="preserve">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w:t>
      </w:r>
      <w:r>
        <w:rPr>
          <w:rStyle w:val="OperatorTok"/>
        </w:rPr>
        <w:t xml:space="preserve">-</w:t>
      </w:r>
      <w:r>
        <w:rPr>
          <w:rStyle w:val="NormalTok"/>
        </w:rPr>
        <w:t xml:space="preserve">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15</w:t>
      </w:r>
      <w:r>
        <w:br/>
      </w:r>
      <w:r>
        <w:rPr>
          <w:rStyle w:val="NormalTok"/>
        </w:rPr>
        <w:t xml:space="preserve">    passwordExpirationDays                   </w:t>
      </w:r>
      <w:r>
        <w:rPr>
          <w:rStyle w:val="OperatorTok"/>
        </w:rPr>
        <w:t xml:space="preserve">=</w:t>
      </w:r>
      <w:r>
        <w:rPr>
          <w:rStyle w:val="NormalTok"/>
        </w:rPr>
        <w:t xml:space="preserve"> 365</w:t>
      </w:r>
      <w:r>
        <w:br/>
      </w:r>
      <w:r>
        <w:rPr>
          <w:rStyle w:val="NormalTok"/>
        </w:rPr>
        <w:t xml:space="preserve">    passwordMinimumLength                    </w:t>
      </w:r>
      <w:r>
        <w:rPr>
          <w:rStyle w:val="OperatorTok"/>
        </w:rPr>
        <w:t xml:space="preserve">=</w:t>
      </w:r>
      <w:r>
        <w:rPr>
          <w:rStyle w:val="NormalTok"/>
        </w:rPr>
        <w:t xml:space="preserve"> 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$($newPolicy.Id)"</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w:t>
      </w:r>
      <w:r>
        <w:rPr>
          <w:rStyle w:val="OperatorTok"/>
        </w:rPr>
        <w:t xml:space="preserve">-</w:t>
      </w:r>
      <w:r>
        <w:rPr>
          <w:rStyle w:val="NormalTok"/>
        </w:rPr>
        <w:t xml:space="preserve">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48"/>
    <w:bookmarkStart w:id="49" w:name="X16338231460849f824d85b83ab0473a6b28c989"/>
    <w:p>
      <w:pPr>
        <w:pStyle w:val="Heading2"/>
      </w:pPr>
      <w:r>
        <w:t xml:space="preserve">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numPr>
          <w:ilvl w:val="0"/>
          <w:numId w:val="1006"/>
        </w:numPr>
        <w:pStyle w:val="Compact"/>
      </w:pPr>
      <w:r>
        <w:t xml:space="preserve">Microsoft-signed system binaries (Winload, NTOSKRNL, system32 DLLs)</w:t>
      </w:r>
    </w:p>
    <w:p>
      <w:pPr>
        <w:numPr>
          <w:ilvl w:val="0"/>
          <w:numId w:val="1006"/>
        </w:numPr>
        <w:pStyle w:val="Compact"/>
      </w:pPr>
      <w:r>
        <w:t xml:space="preserve">Azure CLI (Microsoft-signed)</w:t>
      </w:r>
    </w:p>
    <w:p>
      <w:pPr>
        <w:numPr>
          <w:ilvl w:val="0"/>
          <w:numId w:val="1006"/>
        </w:numPr>
        <w:pStyle w:val="Compact"/>
      </w:pPr>
      <w:r>
        <w:t xml:space="preserve">Azure PowerShell modules (Microsoft-signed)</w:t>
      </w:r>
    </w:p>
    <w:p>
      <w:pPr>
        <w:numPr>
          <w:ilvl w:val="0"/>
          <w:numId w:val="1006"/>
        </w:numPr>
        <w:pStyle w:val="Compact"/>
      </w:pPr>
      <w:r>
        <w:t xml:space="preserve">Microsoft Graph PowerShell SDK (Microsoft-signed)</w:t>
      </w:r>
    </w:p>
    <w:p>
      <w:pPr>
        <w:numPr>
          <w:ilvl w:val="0"/>
          <w:numId w:val="1006"/>
        </w:numPr>
        <w:pStyle w:val="Compact"/>
      </w:pPr>
      <w:r>
        <w:t xml:space="preserve">Edge browser (restricted to Application Guard mode for any web access)</w:t>
      </w:r>
    </w:p>
    <w:p>
      <w:pPr>
        <w:numPr>
          <w:ilvl w:val="0"/>
          <w:numId w:val="1006"/>
        </w:numPr>
        <w:pStyle w:val="Compact"/>
      </w:pPr>
      <w:r>
        <w:t xml:space="preserve">Entra ID portal progressive web app</w:t>
      </w:r>
    </w:p>
    <w:p>
      <w:pPr>
        <w:numPr>
          <w:ilvl w:val="0"/>
          <w:numId w:val="1006"/>
        </w:numPr>
        <w:pStyle w:val="Compact"/>
      </w:pPr>
      <w:r>
        <w:t xml:space="preserve">Remote Desktop client (for Arc RDP proxy sessions)</w:t>
      </w:r>
    </w:p>
    <w:p>
      <w:pPr>
        <w:numPr>
          <w:ilvl w:val="0"/>
          <w:numId w:val="1006"/>
        </w:numPr>
        <w:pStyle w:val="Compact"/>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$($wdacStatus.CodeIntegrityPolicyEnforcementStatus)"</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$($wdacStatus.UsermodeCodeIntegrityPolicyEnforcementStatus)"</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$($wdacStatus.SecurityServicesRunning)"</w:t>
      </w:r>
      <w:r>
        <w:br/>
      </w:r>
      <w:r>
        <w:rPr>
          <w:rStyle w:val="CommentTok"/>
        </w:rPr>
        <w:t xml:space="preserve"># Expected array includes 1 (Credential Guard) and 2 (HVCI)</w:t>
      </w:r>
    </w:p>
    <w:bookmarkEnd w:id="49"/>
    <w:bookmarkStart w:id="50" w:name="X7aa69cd78fa781570850573d82ee56ee6944d87"/>
    <w:p>
      <w:pPr>
        <w:pStyle w:val="Heading2"/>
      </w:pPr>
      <w:r>
        <w:t xml:space="preserve">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w:t>
      </w:r>
      <w:r>
        <w:rPr>
          <w:rStyle w:val="OperatorTok"/>
        </w:rPr>
        <w:t xml:space="preserve">-</w:t>
      </w:r>
      <w:r>
        <w:rPr>
          <w:rStyle w:val="NormalTok"/>
        </w:rPr>
        <w:t xml:space="preserve">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$($newCaPolicy.Id)"</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p>
      <w:pPr>
        <w:pStyle w:val="FirstParagraph"/>
      </w:pPr>
      <w:r>
        <w:rPr>
          <w:bCs/>
          <w:b/>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bookmarkEnd w:id="50"/>
    <w:bookmarkEnd w:id="51"/>
    <w:bookmarkStart w:id="56" w:name="emergency-access-accounts"/>
    <w:p>
      <w:pPr>
        <w:pStyle w:val="Heading1"/>
      </w:pPr>
      <w:r>
        <w:t xml:space="preserve">Emergency Access Accounts</w:t>
      </w:r>
    </w:p>
    <w:bookmarkStart w:id="52" w:name="why-break-glass-must-exist"/>
    <w:p>
      <w:pPr>
        <w:pStyle w:val="Heading2"/>
      </w:pPr>
      <w:r>
        <w:t xml:space="preserve">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52"/>
    <w:bookmarkStart w:id="53" w:name="break-glass-account-design"/>
    <w:p>
      <w:pPr>
        <w:pStyle w:val="Heading2"/>
      </w:pPr>
      <w:r>
        <w:t xml:space="preserve">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Cs/>
          <w:b/>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Cs/>
          <w:b/>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Cs/>
          <w:b/>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Cs/>
          <w:b/>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Cs/>
          <w:b/>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Cs/>
          <w:b/>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w:t>
      </w:r>
      <w:r>
        <w:rPr>
          <w:rStyle w:val="OperatorTok"/>
        </w:rPr>
        <w:t xml:space="preserve">-</w:t>
      </w:r>
      <w:r>
        <w:rPr>
          <w:rStyle w:val="NormalTok"/>
        </w:rPr>
        <w:t xml:space="preserve">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w:t>
      </w:r>
      <w:r>
        <w:rPr>
          <w:rStyle w:val="OperatorTok"/>
        </w:rPr>
        <w:t xml:space="preserve">-</w:t>
      </w:r>
      <w:r>
        <w:rPr>
          <w:rStyle w:val="NormalTok"/>
        </w:rPr>
        <w:t xml:space="preserve">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w:t>
      </w:r>
      <w:r>
        <w:rPr>
          <w:rStyle w:val="DataTypeTok"/>
        </w:rPr>
        <w:t xml:space="preserve">byte</w:t>
      </w:r>
      <w:r>
        <w:rPr>
          <w:rStyle w:val="OperatorTok"/>
        </w:rPr>
        <w:t xml:space="preserve">[]</w:t>
      </w:r>
      <w:r>
        <w:rPr>
          <w:rStyle w:val="NormalTok"/>
        </w:rPr>
        <w:t xml:space="preserve"> 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NormalTok"/>
        </w:rPr>
        <w:t xml:space="preserve">0</w:t>
      </w:r>
      <w:r>
        <w:rPr>
          <w:rStyle w:val="OperatorTok"/>
        </w:rPr>
        <w:t xml:space="preserve">,</w:t>
      </w:r>
      <w:r>
        <w:rPr>
          <w:rStyle w:val="NormalTok"/>
        </w:rPr>
        <w:t xml:space="preserve"> 24</w:t>
      </w:r>
      <w:r>
        <w:rPr>
          <w:rStyle w:val="OperatorTok"/>
        </w:rPr>
        <w:t xml:space="preserve">)</w:t>
      </w:r>
      <w:r>
        <w:rPr>
          <w:rStyle w:val="NormalTok"/>
        </w:rPr>
        <w:t xml:space="preserve"> </w:t>
      </w:r>
      <w:r>
        <w:rPr>
          <w:rStyle w:val="OperatorTok"/>
        </w:rPr>
        <w:t xml:space="preserve">-</w:t>
      </w:r>
      <w:r>
        <w:rPr>
          <w:rStyle w:val="NormalTok"/>
        </w:rPr>
        <w:t xml:space="preserve">replace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$AccountNumber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"bg-cloud-$AccountNumber@$Domain"</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$AccountNumber"</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"bg-cloud-$AccountNumber"</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$accountUpn (ID: $($bgUser.Id))"</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w:t>
      </w:r>
      <w:r>
        <w:rPr>
          <w:rStyle w:val="OperatorTok"/>
        </w:rPr>
        <w:t xml:space="preserve">-</w:t>
      </w:r>
      <w:r>
        <w:rPr>
          <w:rStyle w:val="NormalTok"/>
        </w:rPr>
        <w:t xml:space="preserve">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$accountUpn"</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Keyword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53"/>
    <w:bookmarkStart w:id="54" w:name="break-glass-audit-alert"/>
    <w:p>
      <w:pPr>
        <w:pStyle w:val="Heading2"/>
      </w:pPr>
      <w:r>
        <w:t xml:space="preserve">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SigninLogs</w:t>
      </w:r>
      <w:r>
        <w:br/>
      </w:r>
      <w:r>
        <w:rPr>
          <w:rStyle w:val="OperatorTok"/>
        </w:rPr>
        <w:t xml:space="preserve">|</w:t>
      </w:r>
      <w:r>
        <w:rPr>
          <w:rStyle w:val="NormalTok"/>
        </w:rPr>
        <w:t xml:space="preserve"> </w:t>
      </w:r>
      <w:r>
        <w:rPr>
          <w:rStyle w:val="FunctionTok"/>
        </w:rPr>
        <w:t xml:space="preserve">where</w:t>
      </w:r>
      <w:r>
        <w:rPr>
          <w:rStyle w:val="NormalTok"/>
        </w:rPr>
        <w:t xml:space="preserve"> UserPrincipalName </w:t>
      </w:r>
      <w:r>
        <w:rPr>
          <w:rStyle w:val="KeywordTok"/>
        </w:rPr>
        <w:t xml:space="preserve">in</w:t>
      </w:r>
      <w:r>
        <w:rPr>
          <w:rStyle w:val="NormalTok"/>
        </w:rPr>
        <w:t xml:space="preserve"> </w:t>
      </w:r>
      <w:r>
        <w:rPr>
          <w:rStyle w:val="OperatorTok"/>
        </w:rPr>
        <w:t xml:space="preserve">(</w:t>
      </w:r>
      <w:r>
        <w:rPr>
          <w:rStyle w:val="StringTok"/>
        </w:rPr>
        <w:t xml:space="preserve">"bg-cloud-01@agency.gov"</w:t>
      </w:r>
      <w:r>
        <w:rPr>
          <w:rStyle w:val="OperatorTok"/>
        </w:rPr>
        <w:t xml:space="preserve">,</w:t>
      </w:r>
      <w:r>
        <w:rPr>
          <w:rStyle w:val="NormalTok"/>
        </w:rPr>
        <w:t xml:space="preserve"> </w:t>
      </w:r>
      <w:r>
        <w:rPr>
          <w:rStyle w:val="StringTok"/>
        </w:rPr>
        <w:t xml:space="preserve">"bg-cloud-02@agency.gov"</w:t>
      </w:r>
      <w:r>
        <w:rPr>
          <w:rStyle w:val="OperatorTok"/>
        </w:rPr>
        <w:t xml:space="preserve">)</w:t>
      </w:r>
      <w:r>
        <w:br/>
      </w:r>
      <w:r>
        <w:rPr>
          <w:rStyle w:val="OperatorTok"/>
        </w:rPr>
        <w:t xml:space="preserve">|</w:t>
      </w:r>
      <w:r>
        <w:rPr>
          <w:rStyle w:val="NormalTok"/>
        </w:rPr>
        <w:t xml:space="preserve"> project TimeGenerated</w:t>
      </w:r>
      <w:r>
        <w:rPr>
          <w:rStyle w:val="OperatorTok"/>
        </w:rPr>
        <w:t xml:space="preserve">,</w:t>
      </w:r>
      <w:r>
        <w:rPr>
          <w:rStyle w:val="NormalTok"/>
        </w:rPr>
        <w:t xml:space="preserve"> UserPrincipalName</w:t>
      </w:r>
      <w:r>
        <w:rPr>
          <w:rStyle w:val="OperatorTok"/>
        </w:rPr>
        <w:t xml:space="preserve">,</w:t>
      </w:r>
      <w:r>
        <w:rPr>
          <w:rStyle w:val="NormalTok"/>
        </w:rPr>
        <w:t xml:space="preserve"> AppDisplayName</w:t>
      </w:r>
      <w:r>
        <w:rPr>
          <w:rStyle w:val="OperatorTok"/>
        </w:rPr>
        <w:t xml:space="preserve">,</w:t>
      </w:r>
      <w:r>
        <w:rPr>
          <w:rStyle w:val="NormalTok"/>
        </w:rPr>
        <w:t xml:space="preserve"> IPAddress</w:t>
      </w:r>
      <w:r>
        <w:rPr>
          <w:rStyle w:val="OperatorTok"/>
        </w:rPr>
        <w:t xml:space="preserve">,</w:t>
      </w:r>
      <w:r>
        <w:rPr>
          <w:rStyle w:val="NormalTok"/>
        </w:rPr>
        <w:t xml:space="preserve"> ResultType</w:t>
      </w:r>
      <w:r>
        <w:rPr>
          <w:rStyle w:val="OperatorTok"/>
        </w:rPr>
        <w:t xml:space="preserve">,</w:t>
      </w:r>
      <w:r>
        <w:rPr>
          <w:rStyle w:val="NormalTok"/>
        </w:rPr>
        <w:t xml:space="preserve"> Location</w:t>
      </w:r>
      <w:r>
        <w:rPr>
          <w:rStyle w:val="OperatorTok"/>
        </w:rPr>
        <w:t xml:space="preserve">,</w:t>
      </w:r>
      <w:r>
        <w:rPr>
          <w:rStyle w:val="NormalTok"/>
        </w:rPr>
        <w:t xml:space="preserve"> DeviceDetail</w:t>
      </w:r>
      <w:r>
        <w:br/>
      </w:r>
      <w:r>
        <w:rPr>
          <w:rStyle w:val="OperatorTok"/>
        </w:rPr>
        <w:t xml:space="preserve">|</w:t>
      </w:r>
      <w:r>
        <w:rPr>
          <w:rStyle w:val="NormalTok"/>
        </w:rPr>
        <w:t xml:space="preserve"> order by TimeGenerated desc</w:t>
      </w:r>
      <w:r>
        <w:br/>
      </w:r>
      <w:r>
        <w:rPr>
          <w:rStyle w:val="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"https://management.azure.com/subscriptions/$subscriptionId/resourceGroups/$resourceGroup/providers/Microsoft.OperationalInsights/workspaces/$workspaceName/providers/Microsoft.SecurityInsights/alertRules/breakglass-signin-alert?api-version=2023-02-01"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w:t>
      </w:r>
      <w:r>
        <w:rPr>
          <w:rStyle w:val="OperatorTok"/>
        </w:rPr>
        <w:t xml:space="preserve">-</w:t>
      </w:r>
      <w:r>
        <w:rPr>
          <w:rStyle w:val="NormalTok"/>
        </w:rPr>
        <w:t xml:space="preserve">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$token"</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54"/>
    <w:bookmarkStart w:id="55" w:name="quarterly-break-glass-testing"/>
    <w:p>
      <w:pPr>
        <w:pStyle w:val="Heading2"/>
      </w:pPr>
      <w:r>
        <w:t xml:space="preserve">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numPr>
          <w:ilvl w:val="0"/>
          <w:numId w:val="1007"/>
        </w:numPr>
        <w:pStyle w:val="Compact"/>
      </w:pPr>
      <w:r>
        <w:t xml:space="preserve">Retrieve the break-glass credential from the physical safe under dual-person control.</w:t>
      </w:r>
    </w:p>
    <w:p>
      <w:pPr>
        <w:numPr>
          <w:ilvl w:val="0"/>
          <w:numId w:val="1007"/>
        </w:numPr>
        <w:pStyle w:val="Compact"/>
      </w:pPr>
      <w:r>
        <w:t xml:space="preserve">Sign into the Entra ID portal using the break-glass account credentials and FIDO2 key.</w:t>
      </w:r>
    </w:p>
    <w:p>
      <w:pPr>
        <w:numPr>
          <w:ilvl w:val="0"/>
          <w:numId w:val="1007"/>
        </w:numPr>
        <w:pStyle w:val="Compact"/>
      </w:pPr>
      <w:r>
        <w:t xml:space="preserve">Verify Global Administrator access is active (check role assignments).</w:t>
      </w:r>
    </w:p>
    <w:p>
      <w:pPr>
        <w:numPr>
          <w:ilvl w:val="0"/>
          <w:numId w:val="1007"/>
        </w:numPr>
        <w:pStyle w:val="Compact"/>
      </w:pPr>
      <w:r>
        <w:t xml:space="preserve">Sign out immediately.</w:t>
      </w:r>
    </w:p>
    <w:p>
      <w:pPr>
        <w:numPr>
          <w:ilvl w:val="0"/>
          <w:numId w:val="1007"/>
        </w:numPr>
        <w:pStyle w:val="Compact"/>
      </w:pPr>
      <w:r>
        <w:t xml:space="preserve">Re-seal the credential and return it to the safe.</w:t>
      </w:r>
    </w:p>
    <w:p>
      <w:pPr>
        <w:numPr>
          <w:ilvl w:val="0"/>
          <w:numId w:val="1007"/>
        </w:numPr>
        <w:pStyle w:val="Compact"/>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55"/>
    <w:bookmarkEnd w:id="56"/>
    <w:bookmarkStart w:id="60" w:name="session-management-and-re-authentication"/>
    <w:p>
      <w:pPr>
        <w:pStyle w:val="Heading1"/>
      </w:pPr>
      <w:r>
        <w:t xml:space="preserve">Session Management and Re-authentication</w:t>
      </w:r>
    </w:p>
    <w:bookmarkStart w:id="57" w:name="ac-11-session-lock"/>
    <w:p>
      <w:pPr>
        <w:pStyle w:val="Heading2"/>
      </w:pPr>
      <w:r>
        <w:t xml:space="preserve">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Cs/>
          <w:b/>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$($newLockProfile.Id)"</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w:t>
      </w:r>
      <w:r>
        <w:rPr>
          <w:rStyle w:val="OperatorTok"/>
        </w:rPr>
        <w:t xml:space="preserve">-</w:t>
      </w:r>
      <w:r>
        <w:rPr>
          <w:rStyle w:val="NormalTok"/>
        </w:rPr>
        <w:t xml:space="preserve">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57"/>
    <w:bookmarkStart w:id="58" w:name="ac-12-session-termination"/>
    <w:p>
      <w:pPr>
        <w:pStyle w:val="Heading2"/>
      </w:pPr>
      <w:r>
        <w:t xml:space="preserve">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numPr>
          <w:ilvl w:val="0"/>
          <w:numId w:val="1008"/>
        </w:numPr>
        <w:pStyle w:val="Compact"/>
      </w:pPr>
      <w:r>
        <w:rPr>
          <w:bCs/>
          <w:b/>
        </w:rPr>
        <w:t xml:space="preserve">Standard user sessions:</w:t>
      </w:r>
      <w:r>
        <w:t xml:space="preserve"> </w:t>
      </w:r>
      <w:r>
        <w:t xml:space="preserve">8-hour sign-in frequency (aligned with a work day)</w:t>
      </w:r>
    </w:p>
    <w:p>
      <w:pPr>
        <w:numPr>
          <w:ilvl w:val="0"/>
          <w:numId w:val="1008"/>
        </w:numPr>
        <w:pStyle w:val="Compact"/>
      </w:pPr>
      <w:r>
        <w:rPr>
          <w:bCs/>
          <w:b/>
        </w:rPr>
        <w:t xml:space="preserve">Privileged portal sessions (admins):</w:t>
      </w:r>
      <w:r>
        <w:t xml:space="preserve"> </w:t>
      </w:r>
      <w:r>
        <w:t xml:space="preserve">8-hour sign-in frequency for the base Entra session</w:t>
      </w:r>
    </w:p>
    <w:p>
      <w:pPr>
        <w:numPr>
          <w:ilvl w:val="0"/>
          <w:numId w:val="1008"/>
        </w:numPr>
        <w:pStyle w:val="Compact"/>
      </w:pPr>
      <w:r>
        <w:rPr>
          <w:bCs/>
          <w:b/>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$($newSessionPolicy.Id)"</w:t>
      </w:r>
      <w:r>
        <w:rPr>
          <w:rStyle w:val="NormalTok"/>
        </w:rPr>
        <w:t xml:space="preserve"> </w:t>
      </w:r>
      <w:r>
        <w:rPr>
          <w:rStyle w:val="OperatorTok"/>
        </w:rPr>
        <w:t xml:space="preserve">-</w:t>
      </w:r>
      <w:r>
        <w:rPr>
          <w:rStyle w:val="NormalTok"/>
        </w:rPr>
        <w:t xml:space="preserve">ForegroundColor Green</w:t>
      </w:r>
    </w:p>
    <w:bookmarkEnd w:id="58"/>
    <w:bookmarkStart w:id="59" w:name="X1ebcd31e033ee7617f4ae21a7d1d0dbdf8f8f25"/>
    <w:p>
      <w:pPr>
        <w:pStyle w:val="Heading2"/>
      </w:pPr>
      <w:r>
        <w:t xml:space="preserve">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w:t>
      </w:r>
      <w:r>
        <w:rPr>
          <w:rStyle w:val="OperatorTok"/>
        </w:rPr>
        <w:t xml:space="preserve">-</w:t>
      </w:r>
      <w:r>
        <w:rPr>
          <w:rStyle w:val="NormalTok"/>
        </w:rPr>
        <w:t xml:space="preserve">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w:t>
      </w:r>
      <w:r>
        <w:rPr>
          <w:rStyle w:val="OperatorTok"/>
        </w:rPr>
        <w:t xml:space="preserve">-</w:t>
      </w:r>
      <w:r>
        <w:rPr>
          <w:rStyle w:val="NormalTok"/>
        </w:rPr>
        <w:t xml:space="preserve">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w:t>
      </w:r>
      <w:r>
        <w:rPr>
          <w:rStyle w:val="OperatorTok"/>
        </w:rPr>
        <w:t xml:space="preserve">-</w:t>
      </w:r>
      <w:r>
        <w:rPr>
          <w:rStyle w:val="NormalTok"/>
        </w:rPr>
        <w:t xml:space="preserve">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59"/>
    <w:bookmarkEnd w:id="60"/>
    <w:bookmarkStart w:id="66" w:name="nist-sp-800-53-rev-5-control-closure"/>
    <w:p>
      <w:pPr>
        <w:pStyle w:val="Heading1"/>
      </w:pPr>
      <w:r>
        <w:t xml:space="preserve">NIST SP 800-53 Rev 5 Control Closure</w:t>
      </w:r>
    </w:p>
    <w:p>
      <w:pPr>
        <w:pStyle w:val="FirstParagraph"/>
      </w:pPr>
      <w:r>
        <w:t xml:space="preserve">The following table maps each NIST control addressed by this document to its state before and after implementation.</w:t>
      </w:r>
    </w:p>
    <w:p>
      <w:pPr>
        <w:pStyle w:val="BlockText"/>
      </w:pPr>
      <w:r>
        <w:rPr>
          <w:bCs/>
          <w:b/>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1">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Cs/>
          <w:i/>
        </w:rPr>
        <w:t xml:space="preserve">device</w:t>
      </w:r>
      <w:r>
        <w:t xml:space="preserve"> </w:t>
      </w:r>
      <w:r>
        <w:t xml:space="preserve">identity and compliance — the device-identity doctrine of</w:t>
      </w:r>
      <w:r>
        <w:t xml:space="preserve"> </w:t>
      </w:r>
      <w:hyperlink r:id="rId62">
        <w:r>
          <w:rPr>
            <w:rStyle w:val="Hyperlink"/>
          </w:rPr>
          <w:t xml:space="preserve">Book 02</w:t>
        </w:r>
      </w:hyperlink>
      <w:r>
        <w:t xml:space="preserve">; without a device-bound assertion,</w:t>
      </w:r>
      <w:r>
        <w:t xml:space="preserve"> </w:t>
      </w:r>
      <w:r>
        <w:t xml:space="preserve">“</w:t>
      </w:r>
      <w:r>
        <w:t xml:space="preserve">activate only from a compliant workstation</w:t>
      </w:r>
      <w:r>
        <w:t xml:space="preserve">”</w:t>
      </w:r>
      <w:r>
        <w:t xml:space="preserve"> </w:t>
      </w:r>
      <w:r>
        <w:t xml:space="preserve">is a request, not a control. There is no audit procedure, admin-training artifact, or account-naming convention that bounds a standing credential’s scope in time or binds its use to hardware.</w:t>
      </w:r>
    </w:p>
    <w:p>
      <w:pPr>
        <w:pStyle w:val="CaptionedFigure"/>
      </w:pPr>
      <w:r>
        <w:drawing>
          <wp:inline>
            <wp:extent cx="5334000" cy="2773680"/>
            <wp:effectExtent b="0" l="0" r="0" t="0"/>
            <wp:docPr descr="NIST control closure for Part 10 PAM showing the before and after state for each AC and IA control addressed" title="" id="64" name="Picture"/>
            <a:graphic>
              <a:graphicData uri="http://schemas.openxmlformats.org/drawingml/2006/picture">
                <pic:pic>
                  <pic:nvPicPr>
                    <pic:cNvPr descr="figs/pam-fig-04-nist-closure.png" id="65" name="Picture"/>
                    <pic:cNvPicPr>
                      <a:picLocks noChangeArrowheads="1" noChangeAspect="1"/>
                    </pic:cNvPicPr>
                  </pic:nvPicPr>
                  <pic:blipFill>
                    <a:blip r:embed="rId63"/>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NIST control closure for Part 10 PAM showing the before and after state for each AC and IA control addressed</w:t>
      </w:r>
    </w:p>
    <w:p>
      <w:pPr>
        <w:pStyle w:val="TableCaption"/>
      </w:pPr>
      <w:r>
        <w:t xml:space="preserve">NIST SP 800-53 Rev 5 control closure for Part 10 — Privileged Access Management {.striped .hover}</w:t>
      </w:r>
    </w:p>
    <w:tbl>
      <w:tblPr>
        <w:tblStyle w:val="Table"/>
        <w:tblW w:type="pct" w:w="5000"/>
        <w:tblLook w:firstRow="1" w:lastRow="0" w:firstColumn="0" w:lastColumn="0" w:noHBand="0" w:noVBand="0" w:val="0020"/>
        <w:jc w:val="start"/>
        <w:tblCaption w:val="NIST SP 800-53 Rev 5 control closure for Part 10 — Privileged Access Management {.striped .hover}"/>
      </w:tblPr>
      <w:tblGrid>
        <w:gridCol w:w="1048"/>
        <w:gridCol w:w="815"/>
        <w:gridCol w:w="2562"/>
        <w:gridCol w:w="2212"/>
        <w:gridCol w:w="1281"/>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Without This Document</w:t>
            </w:r>
          </w:p>
        </w:tc>
        <w:tc>
          <w:tcPr/>
          <w:p>
            <w:pPr>
              <w:pStyle w:val="Compact"/>
              <w:jc w:val="left"/>
            </w:pPr>
            <w:r>
              <w:t xml:space="preserve">With This Document</w:t>
            </w:r>
          </w:p>
        </w:tc>
        <w:tc>
          <w:tcPr/>
          <w:p>
            <w:pPr>
              <w:pStyle w:val="Compact"/>
              <w:jc w:val="left"/>
            </w:pPr>
            <w:r>
              <w:t xml:space="preserve">Authority</w:t>
            </w:r>
          </w:p>
        </w:tc>
      </w:tr>
      <w:tr>
        <w:tc>
          <w:tcPr/>
          <w:p>
            <w:pPr>
              <w:pStyle w:val="Compact"/>
              <w:jc w:val="left"/>
            </w:pPr>
            <w:r>
              <w:t xml:space="preserve">AC-5</w:t>
            </w:r>
          </w:p>
        </w:tc>
        <w:tc>
          <w:tcPr/>
          <w:p>
            <w:pPr>
              <w:pStyle w:val="Compact"/>
              <w:jc w:val="left"/>
            </w:pPr>
            <w:r>
              <w:t xml:space="preserve">Separation of Duties</w:t>
            </w:r>
          </w:p>
        </w:tc>
        <w:tc>
          <w:tcPr/>
          <w:p>
            <w:pPr>
              <w:pStyle w:val="Compact"/>
              <w:jc w:val="left"/>
            </w:pPr>
            <w:r>
              <w:t xml:space="preserve">Standing Global Admin accounts combine administrative authorization with routine operations; no separation between role assignment and role use</w:t>
            </w:r>
          </w:p>
        </w:tc>
        <w:tc>
          <w:tcPr/>
          <w:p>
            <w:pPr>
              <w:pStyle w:val="Compact"/>
              <w:jc w:val="left"/>
            </w:pPr>
            <w:r>
              <w:t xml:space="preserve">PIM requires a separate authorization ceremony (request, MFA, justification, optional approver) before role is active; role assignment and role use are distinct events</w:t>
            </w:r>
          </w:p>
        </w:tc>
        <w:tc>
          <w:tcPr/>
          <w:p>
            <w:pPr>
              <w:pStyle w:val="Compact"/>
              <w:jc w:val="left"/>
            </w:pPr>
            <w:r>
              <w:t xml:space="preserve">NIST SP 800-53 Rev 5 AC-5</w:t>
            </w:r>
          </w:p>
        </w:tc>
      </w:tr>
      <w:tr>
        <w:tc>
          <w:tcPr/>
          <w:p>
            <w:pPr>
              <w:pStyle w:val="Compact"/>
              <w:jc w:val="left"/>
            </w:pPr>
            <w:r>
              <w:t xml:space="preserve">AC-6</w:t>
            </w:r>
          </w:p>
        </w:tc>
        <w:tc>
          <w:tcPr/>
          <w:p>
            <w:pPr>
              <w:pStyle w:val="Compact"/>
              <w:jc w:val="left"/>
            </w:pPr>
            <w:r>
              <w:t xml:space="preserve">Least Privilege</w:t>
            </w:r>
          </w:p>
        </w:tc>
        <w:tc>
          <w:tcPr/>
          <w:p>
            <w:pPr>
              <w:pStyle w:val="Compact"/>
              <w:jc w:val="left"/>
            </w:pPr>
            <w:r>
              <w:t xml:space="preserve">Standing admin assignments grant maximum scope for the duration of employment regardless of current task</w:t>
            </w:r>
          </w:p>
        </w:tc>
        <w:tc>
          <w:tcPr/>
          <w:p>
            <w:pPr>
              <w:pStyle w:val="Compact"/>
              <w:jc w:val="left"/>
            </w:pPr>
            <w:r>
              <w:t xml:space="preserve">PIM eligible assignments grant scope only for the duration of the activation window (1–8 hours); scope returns to zero between activations</w:t>
            </w:r>
          </w:p>
        </w:tc>
        <w:tc>
          <w:tcPr/>
          <w:p>
            <w:pPr>
              <w:pStyle w:val="Compact"/>
              <w:jc w:val="left"/>
            </w:pPr>
            <w:r>
              <w:t xml:space="preserve">NIST SP 800-53 Rev 5 AC-6</w:t>
            </w:r>
          </w:p>
        </w:tc>
      </w:tr>
      <w:tr>
        <w:tc>
          <w:tcPr/>
          <w:p>
            <w:pPr>
              <w:pStyle w:val="Compact"/>
              <w:jc w:val="left"/>
            </w:pPr>
            <w:r>
              <w:t xml:space="preserve">AC-6(1)</w:t>
            </w:r>
          </w:p>
        </w:tc>
        <w:tc>
          <w:tcPr/>
          <w:p>
            <w:pPr>
              <w:pStyle w:val="Compact"/>
              <w:jc w:val="left"/>
            </w:pPr>
            <w:r>
              <w:t xml:space="preserve">Authorize Access to Security Functions</w:t>
            </w:r>
          </w:p>
        </w:tc>
        <w:tc>
          <w:tcPr/>
          <w:p>
            <w:pPr>
              <w:pStyle w:val="Compact"/>
              <w:jc w:val="left"/>
            </w:pPr>
            <w:r>
              <w:t xml:space="preserve">Access to security functions (Conditional Access editing, role management, security policy) is always available to standing admins</w:t>
            </w:r>
          </w:p>
        </w:tc>
        <w:tc>
          <w:tcPr/>
          <w:p>
            <w:pPr>
              <w:pStyle w:val="Compact"/>
              <w:jc w:val="left"/>
            </w:pPr>
            <w:r>
              <w:t xml:space="preserve">PIM activation for Security Administrator and Privileged Role Administrator roles requires explicit authorization ceremony; Conditional Access policy gates on PAW device compliance</w:t>
            </w:r>
          </w:p>
        </w:tc>
        <w:tc>
          <w:tcPr/>
          <w:p>
            <w:pPr>
              <w:pStyle w:val="Compact"/>
              <w:jc w:val="left"/>
            </w:pPr>
            <w:r>
              <w:t xml:space="preserve">NIST SP 800-53 Rev 5 AC-6(1)</w:t>
            </w:r>
          </w:p>
        </w:tc>
      </w:tr>
      <w:tr>
        <w:tc>
          <w:tcPr/>
          <w:p>
            <w:pPr>
              <w:pStyle w:val="Compact"/>
              <w:jc w:val="left"/>
            </w:pPr>
            <w:r>
              <w:t xml:space="preserve">AC-6(2)</w:t>
            </w:r>
          </w:p>
        </w:tc>
        <w:tc>
          <w:tcPr/>
          <w:p>
            <w:pPr>
              <w:pStyle w:val="Compact"/>
              <w:jc w:val="left"/>
            </w:pPr>
            <w:r>
              <w:t xml:space="preserve">Non-privileged Access for Non-security Functions</w:t>
            </w:r>
          </w:p>
        </w:tc>
        <w:tc>
          <w:tcPr/>
          <w:p>
            <w:pPr>
              <w:pStyle w:val="Compact"/>
              <w:jc w:val="left"/>
            </w:pPr>
            <w:r>
              <w:t xml:space="preserve">Admins performing routine tasks (email, documents) use the same account scope as their administrative role — elevated scope is always in use</w:t>
            </w:r>
          </w:p>
        </w:tc>
        <w:tc>
          <w:tcPr/>
          <w:p>
            <w:pPr>
              <w:pStyle w:val="Compact"/>
              <w:jc w:val="left"/>
            </w:pPr>
            <w:r>
              <w:t xml:space="preserve">Admins use a standard account for routine tasks; privileged roles are activated only when needed through PIM; PAW is used only for admin tasks, never for general productivity</w:t>
            </w:r>
          </w:p>
        </w:tc>
        <w:tc>
          <w:tcPr/>
          <w:p>
            <w:pPr>
              <w:pStyle w:val="Compact"/>
              <w:jc w:val="left"/>
            </w:pPr>
            <w:r>
              <w:t xml:space="preserve">NIST SP 800-53 Rev 5 AC-6(2)</w:t>
            </w:r>
          </w:p>
        </w:tc>
      </w:tr>
      <w:tr>
        <w:tc>
          <w:tcPr/>
          <w:p>
            <w:pPr>
              <w:pStyle w:val="Compact"/>
              <w:jc w:val="left"/>
            </w:pPr>
            <w:r>
              <w:t xml:space="preserve">AC-6(5)</w:t>
            </w:r>
          </w:p>
        </w:tc>
        <w:tc>
          <w:tcPr/>
          <w:p>
            <w:pPr>
              <w:pStyle w:val="Compact"/>
              <w:jc w:val="left"/>
            </w:pPr>
            <w:r>
              <w:t xml:space="preserve">Privileged Accounts</w:t>
            </w:r>
          </w:p>
        </w:tc>
        <w:tc>
          <w:tcPr/>
          <w:p>
            <w:pPr>
              <w:pStyle w:val="Compact"/>
              <w:jc w:val="left"/>
            </w:pPr>
            <w:r>
              <w:t xml:space="preserve">Privileged accounts exist with no inventory, no defined scope justification, and no audit trail of activation events</w:t>
            </w:r>
          </w:p>
        </w:tc>
        <w:tc>
          <w:tcPr/>
          <w:p>
            <w:pPr>
              <w:pStyle w:val="Compact"/>
              <w:jc w:val="left"/>
            </w:pPr>
            <w:r>
              <w:t xml:space="preserve">PIM eligible assignments constitute the inventory of privileged accounts; each activation generates an audit event with justification, requestor, approver, and time window</w:t>
            </w:r>
          </w:p>
        </w:tc>
        <w:tc>
          <w:tcPr/>
          <w:p>
            <w:pPr>
              <w:pStyle w:val="Compact"/>
              <w:jc w:val="left"/>
            </w:pPr>
            <w:r>
              <w:t xml:space="preserve">NIST SP 800-53 Rev 5 AC-6(5)</w:t>
            </w:r>
          </w:p>
        </w:tc>
      </w:tr>
      <w:tr>
        <w:tc>
          <w:tcPr/>
          <w:p>
            <w:pPr>
              <w:pStyle w:val="Compact"/>
              <w:jc w:val="left"/>
            </w:pPr>
            <w:r>
              <w:t xml:space="preserve">AC-6(9)</w:t>
            </w:r>
          </w:p>
        </w:tc>
        <w:tc>
          <w:tcPr/>
          <w:p>
            <w:pPr>
              <w:pStyle w:val="Compact"/>
              <w:jc w:val="left"/>
            </w:pPr>
            <w:r>
              <w:t xml:space="preserve">Log Use of Privileged Functions</w:t>
            </w:r>
          </w:p>
        </w:tc>
        <w:tc>
          <w:tcPr/>
          <w:p>
            <w:pPr>
              <w:pStyle w:val="Compact"/>
              <w:jc w:val="left"/>
            </w:pPr>
            <w:r>
              <w:t xml:space="preserve">NTLM-based admin sessions do not generate token-level audit events; standing admin session activities are not distinguishable from normal use in the audit log</w:t>
            </w:r>
          </w:p>
        </w:tc>
        <w:tc>
          <w:tcPr/>
          <w:p>
            <w:pPr>
              <w:pStyle w:val="Compact"/>
              <w:jc w:val="left"/>
            </w:pPr>
            <w:r>
              <w:t xml:space="preserve">PIM activation and deactivation are logged; Sentinel analytics rules correlate activation events with subsequent administrative actions during the activation window</w:t>
            </w:r>
          </w:p>
        </w:tc>
        <w:tc>
          <w:tcPr/>
          <w:p>
            <w:pPr>
              <w:pStyle w:val="Compact"/>
              <w:jc w:val="left"/>
            </w:pPr>
            <w:r>
              <w:t xml:space="preserve">NIST SP 800-53 Rev 5 AC-6(9)</w:t>
            </w:r>
          </w:p>
        </w:tc>
      </w:tr>
      <w:tr>
        <w:tc>
          <w:tcPr/>
          <w:p>
            <w:pPr>
              <w:pStyle w:val="Compact"/>
              <w:jc w:val="left"/>
            </w:pPr>
            <w:r>
              <w:t xml:space="preserve">AC-6(10)</w:t>
            </w:r>
          </w:p>
        </w:tc>
        <w:tc>
          <w:tcPr/>
          <w:p>
            <w:pPr>
              <w:pStyle w:val="Compact"/>
              <w:jc w:val="left"/>
            </w:pPr>
            <w:r>
              <w:t xml:space="preserve">Prohibit Non-privileged Users from Executing Privileged Functions</w:t>
            </w:r>
          </w:p>
        </w:tc>
        <w:tc>
          <w:tcPr/>
          <w:p>
            <w:pPr>
              <w:pStyle w:val="Compact"/>
              <w:jc w:val="left"/>
            </w:pPr>
            <w:r>
              <w:t xml:space="preserve">Any account that discovers a standing admin credential can immediately execute privileged functions; no additional gate</w:t>
            </w:r>
          </w:p>
        </w:tc>
        <w:tc>
          <w:tcPr/>
          <w:p>
            <w:pPr>
              <w:pStyle w:val="Compact"/>
              <w:jc w:val="left"/>
            </w:pPr>
            <w:r>
              <w:t xml:space="preserve">PIM eligible assignments require activation ceremony; PAW Conditional Access blocks role activation from non-compliant devices; Credential Guard blocks credential extraction from PAW memory</w:t>
            </w:r>
          </w:p>
        </w:tc>
        <w:tc>
          <w:tcPr/>
          <w:p>
            <w:pPr>
              <w:pStyle w:val="Compact"/>
              <w:jc w:val="left"/>
            </w:pPr>
            <w:r>
              <w:t xml:space="preserve">NIST SP 800-53 Rev 5 AC-6(10)</w:t>
            </w:r>
          </w:p>
        </w:tc>
      </w:tr>
      <w:tr>
        <w:tc>
          <w:tcPr/>
          <w:p>
            <w:pPr>
              <w:pStyle w:val="Compact"/>
              <w:jc w:val="left"/>
            </w:pPr>
            <w:r>
              <w:t xml:space="preserve">AC-11</w:t>
            </w:r>
          </w:p>
        </w:tc>
        <w:tc>
          <w:tcPr/>
          <w:p>
            <w:pPr>
              <w:pStyle w:val="Compact"/>
              <w:jc w:val="left"/>
            </w:pPr>
            <w:r>
              <w:t xml:space="preserve">Session Lock</w:t>
            </w:r>
          </w:p>
        </w:tc>
        <w:tc>
          <w:tcPr/>
          <w:p>
            <w:pPr>
              <w:pStyle w:val="Compact"/>
              <w:jc w:val="left"/>
            </w:pPr>
            <w:r>
              <w:t xml:space="preserve">Screen lock timeout may be configured per-device with no enforcement; users can override or disable</w:t>
            </w:r>
          </w:p>
        </w:tc>
        <w:tc>
          <w:tcPr/>
          <w:p>
            <w:pPr>
              <w:pStyle w:val="Compact"/>
              <w:jc w:val="left"/>
            </w:pPr>
            <w:r>
              <w:t xml:space="preserve">Intune configuration profile enforces 15-minute idle screen lock on PAW devices; policy is not user-overridable; compliance policy flags non-compliant devices</w:t>
            </w:r>
          </w:p>
        </w:tc>
        <w:tc>
          <w:tcPr/>
          <w:p>
            <w:pPr>
              <w:pStyle w:val="Compact"/>
              <w:jc w:val="left"/>
            </w:pPr>
            <w:r>
              <w:t xml:space="preserve">NIST SP 800-53 Rev 5 AC-11</w:t>
            </w:r>
          </w:p>
        </w:tc>
      </w:tr>
      <w:tr>
        <w:tc>
          <w:tcPr/>
          <w:p>
            <w:pPr>
              <w:pStyle w:val="Compact"/>
              <w:jc w:val="left"/>
            </w:pPr>
            <w:r>
              <w:t xml:space="preserve">AC-12</w:t>
            </w:r>
          </w:p>
        </w:tc>
        <w:tc>
          <w:tcPr/>
          <w:p>
            <w:pPr>
              <w:pStyle w:val="Compact"/>
              <w:jc w:val="left"/>
            </w:pPr>
            <w:r>
              <w:t xml:space="preserve">Session Termination</w:t>
            </w:r>
          </w:p>
        </w:tc>
        <w:tc>
          <w:tcPr/>
          <w:p>
            <w:pPr>
              <w:pStyle w:val="Compact"/>
              <w:jc w:val="left"/>
            </w:pPr>
            <w:r>
              <w:t xml:space="preserve">Administrative sessions may persist indefinitely; no automatic termination</w:t>
            </w:r>
          </w:p>
        </w:tc>
        <w:tc>
          <w:tcPr/>
          <w:p>
            <w:pPr>
              <w:pStyle w:val="Compact"/>
              <w:jc w:val="lef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jc w:val="left"/>
            </w:pPr>
            <w:r>
              <w:t xml:space="preserve">NIST SP 800-53 Rev 5 AC-12</w:t>
            </w:r>
          </w:p>
        </w:tc>
      </w:tr>
      <w:tr>
        <w:tc>
          <w:tcPr/>
          <w:p>
            <w:pPr>
              <w:pStyle w:val="Compact"/>
              <w:jc w:val="left"/>
            </w:pPr>
            <w:r>
              <w:t xml:space="preserve">IA-11</w:t>
            </w:r>
          </w:p>
        </w:tc>
        <w:tc>
          <w:tcPr/>
          <w:p>
            <w:pPr>
              <w:pStyle w:val="Compact"/>
              <w:jc w:val="left"/>
            </w:pPr>
            <w:r>
              <w:t xml:space="preserve">Re-authentication</w:t>
            </w:r>
          </w:p>
        </w:tc>
        <w:tc>
          <w:tcPr/>
          <w:p>
            <w:pPr>
              <w:pStyle w:val="Compact"/>
              <w:jc w:val="left"/>
            </w:pPr>
            <w:r>
              <w:t xml:space="preserve">Subsequent privileged actions within an active session do not require additional authentication proof</w:t>
            </w:r>
          </w:p>
        </w:tc>
        <w:tc>
          <w:tcPr/>
          <w:p>
            <w:pPr>
              <w:pStyle w:val="Compact"/>
              <w:jc w:val="lef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jc w:val="left"/>
            </w:pPr>
            <w:r>
              <w:t xml:space="preserve">NIST SP 800-53 Rev 5 IA-11</w:t>
            </w:r>
          </w:p>
        </w:tc>
      </w:tr>
    </w:tbl>
    <w:p>
      <w:pPr>
        <w:pStyle w:val="BodyText"/>
      </w:pPr>
      <w:r>
        <w:rPr>
          <w:bCs/>
          <w:b/>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r>
        <w:pict>
          <v:rect style="width:0;height:1.5pt" o:hralign="center" o:hrstd="t" o:hr="t"/>
        </w:pict>
      </w:r>
    </w:p>
    <w:p>
      <w:pPr>
        <w:pStyle w:val="FirstParagraph"/>
      </w:pPr>
      <w:r>
        <w:rPr>
          <w:iCs/>
          <w:i/>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63" Target="media/rId63.png" /><Relationship Type="http://schemas.openxmlformats.org/officeDocument/2006/relationships/hyperlink" Id="rId62" Target="Book_02_FedAAN_Network_Access_Control_802_1X.qmd" TargetMode="External" /><Relationship Type="http://schemas.openxmlformats.org/officeDocument/2006/relationships/hyperlink" Id="rId61"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2" Target="Book_02_FedAAN_Network_Access_Control_802_1X.qmd" TargetMode="External" /><Relationship Type="http://schemas.openxmlformats.org/officeDocument/2006/relationships/hyperlink" Id="rId61"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2026-07-06T13:54:05Z</dcterms:created>
  <dcterms:modified xsi:type="dcterms:W3CDTF">2026-07-06T13:54:05Z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Privileged Access Management: Entra PIM, Just-in-Time Access, and Privileged Access Workstations</vt:lpwstr>
  </property>
</Properties>
</file>