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DEAB"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noProof/>
          <w:kern w:val="0"/>
          <w:sz w:val="21"/>
          <w:szCs w:val="21"/>
          <w14:ligatures w14:val="none"/>
        </w:rPr>
        <w:drawing>
          <wp:inline distT="0" distB="0" distL="0" distR="0" wp14:anchorId="5BA52D64" wp14:editId="6ACB37EF">
            <wp:extent cx="14466570" cy="10800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66570" cy="10800080"/>
                    </a:xfrm>
                    <a:prstGeom prst="rect">
                      <a:avLst/>
                    </a:prstGeom>
                    <a:noFill/>
                    <a:ln>
                      <a:noFill/>
                    </a:ln>
                  </pic:spPr>
                </pic:pic>
              </a:graphicData>
            </a:graphic>
          </wp:inline>
        </w:drawing>
      </w:r>
    </w:p>
    <w:p w14:paraId="47163624" w14:textId="77777777" w:rsidR="00A54C6D" w:rsidRPr="00A54C6D" w:rsidRDefault="00A54C6D" w:rsidP="00A54C6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54C6D">
        <w:rPr>
          <w:rFonts w:ascii="Segoe UI" w:eastAsia="Times New Roman" w:hAnsi="Segoe UI" w:cs="Segoe UI"/>
          <w:b/>
          <w:bCs/>
          <w:kern w:val="0"/>
          <w:sz w:val="36"/>
          <w:szCs w:val="36"/>
          <w14:ligatures w14:val="none"/>
        </w:rPr>
        <w:lastRenderedPageBreak/>
        <w:t>Identity &amp; Access Integration – Alignment with NIST 800-53</w:t>
      </w:r>
    </w:p>
    <w:p w14:paraId="3A27CBC2"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The </w:t>
      </w:r>
      <w:r w:rsidRPr="00A54C6D">
        <w:rPr>
          <w:rFonts w:ascii="Segoe UI" w:eastAsia="Times New Roman" w:hAnsi="Segoe UI" w:cs="Segoe UI"/>
          <w:b/>
          <w:bCs/>
          <w:kern w:val="0"/>
          <w:sz w:val="21"/>
          <w:szCs w:val="21"/>
          <w14:ligatures w14:val="none"/>
        </w:rPr>
        <w:t>Microsoft Entra SaaS App configuration guides</w:t>
      </w:r>
      <w:r w:rsidRPr="00A54C6D">
        <w:rPr>
          <w:rFonts w:ascii="Segoe UI" w:eastAsia="Times New Roman" w:hAnsi="Segoe UI" w:cs="Segoe UI"/>
          <w:kern w:val="0"/>
          <w:sz w:val="21"/>
          <w:szCs w:val="21"/>
          <w14:ligatures w14:val="none"/>
        </w:rPr>
        <w:t xml:space="preserve"> (Microsoft Entra ID is formerly Azure AD) provide step-by-step instructions for integrating third-party </w:t>
      </w:r>
      <w:r w:rsidRPr="00A54C6D">
        <w:rPr>
          <w:rFonts w:ascii="Segoe UI" w:eastAsia="Times New Roman" w:hAnsi="Segoe UI" w:cs="Segoe UI"/>
          <w:b/>
          <w:bCs/>
          <w:kern w:val="0"/>
          <w:sz w:val="21"/>
          <w:szCs w:val="21"/>
          <w14:ligatures w14:val="none"/>
        </w:rPr>
        <w:t>software-as-a-service (SaaS)</w:t>
      </w:r>
      <w:r w:rsidRPr="00A54C6D">
        <w:rPr>
          <w:rFonts w:ascii="Segoe UI" w:eastAsia="Times New Roman" w:hAnsi="Segoe UI" w:cs="Segoe UI"/>
          <w:kern w:val="0"/>
          <w:sz w:val="21"/>
          <w:szCs w:val="21"/>
          <w14:ligatures w14:val="none"/>
        </w:rPr>
        <w:t xml:space="preserve"> and on-premises applications with your organization’s identity system. In practice, these guides cover two core capabilities:</w:t>
      </w:r>
    </w:p>
    <w:p w14:paraId="23C0B2A9" w14:textId="77777777" w:rsidR="00A54C6D" w:rsidRPr="00A54C6D" w:rsidRDefault="00A54C6D" w:rsidP="00A54C6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Single Sign-On (SSO)</w:t>
      </w:r>
      <w:r w:rsidRPr="00A54C6D">
        <w:rPr>
          <w:rFonts w:ascii="Segoe UI" w:eastAsia="Times New Roman" w:hAnsi="Segoe UI" w:cs="Segoe UI"/>
          <w:kern w:val="0"/>
          <w:sz w:val="21"/>
          <w:szCs w:val="21"/>
          <w14:ligatures w14:val="none"/>
        </w:rPr>
        <w:t xml:space="preserve"> using </w:t>
      </w:r>
      <w:r w:rsidRPr="00A54C6D">
        <w:rPr>
          <w:rFonts w:ascii="Segoe UI" w:eastAsia="Times New Roman" w:hAnsi="Segoe UI" w:cs="Segoe UI"/>
          <w:b/>
          <w:bCs/>
          <w:kern w:val="0"/>
          <w:sz w:val="21"/>
          <w:szCs w:val="21"/>
          <w14:ligatures w14:val="none"/>
        </w:rPr>
        <w:t>federated authentication standards</w:t>
      </w:r>
      <w:r w:rsidRPr="00A54C6D">
        <w:rPr>
          <w:rFonts w:ascii="Segoe UI" w:eastAsia="Times New Roman" w:hAnsi="Segoe UI" w:cs="Segoe UI"/>
          <w:kern w:val="0"/>
          <w:sz w:val="21"/>
          <w:szCs w:val="21"/>
          <w14:ligatures w14:val="none"/>
        </w:rPr>
        <w:t xml:space="preserve"> (e.g. SAML 2.0, OpenID Connect/OAuth) to allow users to login to external apps with their Microsoft Entra (Azure AD) credentials.</w:t>
      </w:r>
    </w:p>
    <w:p w14:paraId="3292C76D" w14:textId="77777777" w:rsidR="00A54C6D" w:rsidRPr="00A54C6D" w:rsidRDefault="00A54C6D" w:rsidP="00A54C6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Automated user provisioning</w:t>
      </w:r>
      <w:r w:rsidRPr="00A54C6D">
        <w:rPr>
          <w:rFonts w:ascii="Segoe UI" w:eastAsia="Times New Roman" w:hAnsi="Segoe UI" w:cs="Segoe UI"/>
          <w:kern w:val="0"/>
          <w:sz w:val="21"/>
          <w:szCs w:val="21"/>
          <w14:ligatures w14:val="none"/>
        </w:rPr>
        <w:t xml:space="preserve"> using </w:t>
      </w:r>
      <w:r w:rsidRPr="00A54C6D">
        <w:rPr>
          <w:rFonts w:ascii="Segoe UI" w:eastAsia="Times New Roman" w:hAnsi="Segoe UI" w:cs="Segoe UI"/>
          <w:b/>
          <w:bCs/>
          <w:kern w:val="0"/>
          <w:sz w:val="21"/>
          <w:szCs w:val="21"/>
          <w14:ligatures w14:val="none"/>
        </w:rPr>
        <w:t>SCIM</w:t>
      </w:r>
      <w:r w:rsidRPr="00A54C6D">
        <w:rPr>
          <w:rFonts w:ascii="Segoe UI" w:eastAsia="Times New Roman" w:hAnsi="Segoe UI" w:cs="Segoe UI"/>
          <w:kern w:val="0"/>
          <w:sz w:val="21"/>
          <w:szCs w:val="21"/>
          <w14:ligatures w14:val="none"/>
        </w:rPr>
        <w:t xml:space="preserve"> (System for Cross-domain Identity Management) to synchronize user accounts and roles between Microsoft Entra ID and the SaaS application.</w:t>
      </w:r>
    </w:p>
    <w:p w14:paraId="43F965C2"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These technical controls map closely to several </w:t>
      </w:r>
      <w:r w:rsidRPr="00A54C6D">
        <w:rPr>
          <w:rFonts w:ascii="Segoe UI" w:eastAsia="Times New Roman" w:hAnsi="Segoe UI" w:cs="Segoe UI"/>
          <w:b/>
          <w:bCs/>
          <w:kern w:val="0"/>
          <w:sz w:val="21"/>
          <w:szCs w:val="21"/>
          <w14:ligatures w14:val="none"/>
        </w:rPr>
        <w:t>NIST SP 800-53 Rev. 5</w:t>
      </w:r>
      <w:r w:rsidRPr="00A54C6D">
        <w:rPr>
          <w:rFonts w:ascii="Segoe UI" w:eastAsia="Times New Roman" w:hAnsi="Segoe UI" w:cs="Segoe UI"/>
          <w:kern w:val="0"/>
          <w:sz w:val="21"/>
          <w:szCs w:val="21"/>
          <w14:ligatures w14:val="none"/>
        </w:rPr>
        <w:t xml:space="preserve"> security control families – especially </w:t>
      </w:r>
      <w:r w:rsidRPr="00A54C6D">
        <w:rPr>
          <w:rFonts w:ascii="Segoe UI" w:eastAsia="Times New Roman" w:hAnsi="Segoe UI" w:cs="Segoe UI"/>
          <w:b/>
          <w:bCs/>
          <w:kern w:val="0"/>
          <w:sz w:val="21"/>
          <w:szCs w:val="21"/>
          <w14:ligatures w14:val="none"/>
        </w:rPr>
        <w:t>Access Control (AC)</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Identification &amp; Authentication (IA)</w:t>
      </w:r>
      <w:r w:rsidRPr="00A54C6D">
        <w:rPr>
          <w:rFonts w:ascii="Segoe UI" w:eastAsia="Times New Roman" w:hAnsi="Segoe UI" w:cs="Segoe UI"/>
          <w:kern w:val="0"/>
          <w:sz w:val="21"/>
          <w:szCs w:val="21"/>
          <w14:ligatures w14:val="none"/>
        </w:rPr>
        <w:t>:</w:t>
      </w:r>
    </w:p>
    <w:p w14:paraId="51C1900D" w14:textId="77777777" w:rsidR="00A54C6D" w:rsidRPr="00A54C6D" w:rsidRDefault="00A54C6D" w:rsidP="00A54C6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Access Control (AC):</w:t>
      </w:r>
      <w:r w:rsidRPr="00A54C6D">
        <w:rPr>
          <w:rFonts w:ascii="Segoe UI" w:eastAsia="Times New Roman" w:hAnsi="Segoe UI" w:cs="Segoe UI"/>
          <w:kern w:val="0"/>
          <w:sz w:val="21"/>
          <w:szCs w:val="21"/>
          <w14:ligatures w14:val="none"/>
        </w:rPr>
        <w:t xml:space="preserve"> The guides strengthen </w:t>
      </w:r>
      <w:r w:rsidRPr="00A54C6D">
        <w:rPr>
          <w:rFonts w:ascii="Segoe UI" w:eastAsia="Times New Roman" w:hAnsi="Segoe UI" w:cs="Segoe UI"/>
          <w:b/>
          <w:bCs/>
          <w:kern w:val="0"/>
          <w:sz w:val="21"/>
          <w:szCs w:val="21"/>
          <w14:ligatures w14:val="none"/>
        </w:rPr>
        <w:t>AC-2 (Account Management)</w:t>
      </w:r>
      <w:r w:rsidRPr="00A54C6D">
        <w:rPr>
          <w:rFonts w:ascii="Segoe UI" w:eastAsia="Times New Roman" w:hAnsi="Segoe UI" w:cs="Segoe UI"/>
          <w:kern w:val="0"/>
          <w:sz w:val="21"/>
          <w:szCs w:val="21"/>
          <w14:ligatures w14:val="none"/>
        </w:rPr>
        <w:t xml:space="preserve"> by centralizing account provisioning and deprovisioning for SaaS apps. When you use Microsoft Entra’s SCIM connectors for automatic provisioning, you are implementing </w:t>
      </w:r>
      <w:r w:rsidRPr="00A54C6D">
        <w:rPr>
          <w:rFonts w:ascii="Segoe UI" w:eastAsia="Times New Roman" w:hAnsi="Segoe UI" w:cs="Segoe UI"/>
          <w:b/>
          <w:bCs/>
          <w:kern w:val="0"/>
          <w:sz w:val="21"/>
          <w:szCs w:val="21"/>
          <w14:ligatures w14:val="none"/>
        </w:rPr>
        <w:t>AC-2 and AC-2(1)</w:t>
      </w:r>
      <w:r w:rsidRPr="00A54C6D">
        <w:rPr>
          <w:rFonts w:ascii="Segoe UI" w:eastAsia="Times New Roman" w:hAnsi="Segoe UI" w:cs="Segoe UI"/>
          <w:kern w:val="0"/>
          <w:sz w:val="21"/>
          <w:szCs w:val="21"/>
          <w14:ligatures w14:val="none"/>
        </w:rPr>
        <w:t xml:space="preserve"> (Automated Account Management) in a concrete way—user accounts and access privileges in each SaaS application are created, updated, and removed through a centralized workflow. This helps enforce organizational policies for </w:t>
      </w:r>
      <w:r w:rsidRPr="00A54C6D">
        <w:rPr>
          <w:rFonts w:ascii="Segoe UI" w:eastAsia="Times New Roman" w:hAnsi="Segoe UI" w:cs="Segoe UI"/>
          <w:b/>
          <w:bCs/>
          <w:kern w:val="0"/>
          <w:sz w:val="21"/>
          <w:szCs w:val="21"/>
          <w14:ligatures w14:val="none"/>
        </w:rPr>
        <w:t xml:space="preserve">account </w:t>
      </w:r>
      <w:proofErr w:type="gramStart"/>
      <w:r w:rsidRPr="00A54C6D">
        <w:rPr>
          <w:rFonts w:ascii="Segoe UI" w:eastAsia="Times New Roman" w:hAnsi="Segoe UI" w:cs="Segoe UI"/>
          <w:b/>
          <w:bCs/>
          <w:kern w:val="0"/>
          <w:sz w:val="21"/>
          <w:szCs w:val="21"/>
          <w14:ligatures w14:val="none"/>
        </w:rPr>
        <w:t>lifecycle</w:t>
      </w:r>
      <w:proofErr w:type="gramEnd"/>
      <w:r w:rsidRPr="00A54C6D">
        <w:rPr>
          <w:rFonts w:ascii="Segoe UI" w:eastAsia="Times New Roman" w:hAnsi="Segoe UI" w:cs="Segoe UI"/>
          <w:kern w:val="0"/>
          <w:sz w:val="21"/>
          <w:szCs w:val="21"/>
          <w14:ligatures w14:val="none"/>
        </w:rPr>
        <w:t xml:space="preserve"> (creation with approval, timely removal upon termination, etc.), and ties into enhancements like </w:t>
      </w:r>
      <w:r w:rsidRPr="00A54C6D">
        <w:rPr>
          <w:rFonts w:ascii="Segoe UI" w:eastAsia="Times New Roman" w:hAnsi="Segoe UI" w:cs="Segoe UI"/>
          <w:b/>
          <w:bCs/>
          <w:kern w:val="0"/>
          <w:sz w:val="21"/>
          <w:szCs w:val="21"/>
          <w14:ligatures w14:val="none"/>
        </w:rPr>
        <w:t>AC-2(3)</w:t>
      </w:r>
      <w:proofErr w:type="gramStart"/>
      <w:r w:rsidRPr="00A54C6D">
        <w:rPr>
          <w:rFonts w:ascii="Segoe UI" w:eastAsia="Times New Roman" w:hAnsi="Segoe UI" w:cs="Segoe UI"/>
          <w:b/>
          <w:bCs/>
          <w:kern w:val="0"/>
          <w:sz w:val="21"/>
          <w:szCs w:val="21"/>
          <w14:ligatures w14:val="none"/>
        </w:rPr>
        <w:t>/(</w:t>
      </w:r>
      <w:proofErr w:type="gramEnd"/>
      <w:r w:rsidRPr="00A54C6D">
        <w:rPr>
          <w:rFonts w:ascii="Segoe UI" w:eastAsia="Times New Roman" w:hAnsi="Segoe UI" w:cs="Segoe UI"/>
          <w:b/>
          <w:bCs/>
          <w:kern w:val="0"/>
          <w:sz w:val="21"/>
          <w:szCs w:val="21"/>
          <w14:ligatures w14:val="none"/>
        </w:rPr>
        <w:t>4)</w:t>
      </w:r>
      <w:r w:rsidRPr="00A54C6D">
        <w:rPr>
          <w:rFonts w:ascii="Segoe UI" w:eastAsia="Times New Roman" w:hAnsi="Segoe UI" w:cs="Segoe UI"/>
          <w:kern w:val="0"/>
          <w:sz w:val="21"/>
          <w:szCs w:val="21"/>
          <w14:ligatures w14:val="none"/>
        </w:rPr>
        <w:t xml:space="preserve"> related to disabling or removing accounts automatically when they’re inactive or the user leaves. For example, Microsoft’s documentation notes that “automatic provisioning includes the maintenance and removal of user identities as status or roles change,” ensuring that when a user’s role is removed or they depart the organization, their access to integrated apps is </w:t>
      </w:r>
      <w:r w:rsidRPr="00A54C6D">
        <w:rPr>
          <w:rFonts w:ascii="Segoe UI" w:eastAsia="Times New Roman" w:hAnsi="Segoe UI" w:cs="Segoe UI"/>
          <w:b/>
          <w:bCs/>
          <w:kern w:val="0"/>
          <w:sz w:val="21"/>
          <w:szCs w:val="21"/>
          <w14:ligatures w14:val="none"/>
        </w:rPr>
        <w:t>promptly revoked</w:t>
      </w:r>
      <w:r w:rsidRPr="00A54C6D">
        <w:rPr>
          <w:rFonts w:ascii="Segoe UI" w:eastAsia="Times New Roman" w:hAnsi="Segoe UI" w:cs="Segoe UI"/>
          <w:kern w:val="0"/>
          <w:sz w:val="21"/>
          <w:szCs w:val="21"/>
          <w14:ligatures w14:val="none"/>
        </w:rPr>
        <w:t xml:space="preserve">. By keeping account management centralized, the organization can also satisfy </w:t>
      </w:r>
      <w:r w:rsidRPr="00A54C6D">
        <w:rPr>
          <w:rFonts w:ascii="Segoe UI" w:eastAsia="Times New Roman" w:hAnsi="Segoe UI" w:cs="Segoe UI"/>
          <w:b/>
          <w:bCs/>
          <w:kern w:val="0"/>
          <w:sz w:val="21"/>
          <w:szCs w:val="21"/>
          <w14:ligatures w14:val="none"/>
        </w:rPr>
        <w:t>AC-2’s requirements for oversight</w:t>
      </w:r>
      <w:r w:rsidRPr="00A54C6D">
        <w:rPr>
          <w:rFonts w:ascii="Segoe UI" w:eastAsia="Times New Roman" w:hAnsi="Segoe UI" w:cs="Segoe UI"/>
          <w:kern w:val="0"/>
          <w:sz w:val="21"/>
          <w:szCs w:val="21"/>
          <w14:ligatures w14:val="none"/>
        </w:rPr>
        <w:t xml:space="preserve"> – e.g. reviewing provisioning logs and managing account privileges centrally (though the documentation doesn’t itself describe the review process; that must be done by administrators via Entra ID’s reporting tools).</w:t>
      </w:r>
    </w:p>
    <w:p w14:paraId="09C034FE" w14:textId="77777777" w:rsidR="00A54C6D" w:rsidRPr="00A54C6D" w:rsidRDefault="00A54C6D" w:rsidP="00A54C6D">
      <w:pPr>
        <w:spacing w:before="100" w:beforeAutospacing="1" w:after="100" w:afterAutospacing="1" w:line="300" w:lineRule="atLeast"/>
        <w:ind w:left="720"/>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Entra ID’s integration of SaaS apps also contributes to </w:t>
      </w:r>
      <w:r w:rsidRPr="00A54C6D">
        <w:rPr>
          <w:rFonts w:ascii="Segoe UI" w:eastAsia="Times New Roman" w:hAnsi="Segoe UI" w:cs="Segoe UI"/>
          <w:b/>
          <w:bCs/>
          <w:kern w:val="0"/>
          <w:sz w:val="21"/>
          <w:szCs w:val="21"/>
          <w14:ligatures w14:val="none"/>
        </w:rPr>
        <w:t>AC-3 (Access Enforcement)</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AC-6 (Least Privilege)</w:t>
      </w:r>
      <w:r w:rsidRPr="00A54C6D">
        <w:rPr>
          <w:rFonts w:ascii="Segoe UI" w:eastAsia="Times New Roman" w:hAnsi="Segoe UI" w:cs="Segoe UI"/>
          <w:kern w:val="0"/>
          <w:sz w:val="21"/>
          <w:szCs w:val="21"/>
          <w14:ligatures w14:val="none"/>
        </w:rPr>
        <w:t xml:space="preserve">. With SSO integration, </w:t>
      </w:r>
      <w:r w:rsidRPr="00A54C6D">
        <w:rPr>
          <w:rFonts w:ascii="Segoe UI" w:eastAsia="Times New Roman" w:hAnsi="Segoe UI" w:cs="Segoe UI"/>
          <w:b/>
          <w:bCs/>
          <w:kern w:val="0"/>
          <w:sz w:val="21"/>
          <w:szCs w:val="21"/>
          <w14:ligatures w14:val="none"/>
        </w:rPr>
        <w:t>access to each application is enforced through centrally managed policies</w:t>
      </w:r>
      <w:r w:rsidRPr="00A54C6D">
        <w:rPr>
          <w:rFonts w:ascii="Segoe UI" w:eastAsia="Times New Roman" w:hAnsi="Segoe UI" w:cs="Segoe UI"/>
          <w:kern w:val="0"/>
          <w:sz w:val="21"/>
          <w:szCs w:val="21"/>
          <w14:ligatures w14:val="none"/>
        </w:rPr>
        <w:t xml:space="preserve"> (for instance, only users or groups assigned to the app in Entra ID can sign in). Administrators can require explicit user or group assignment for each enterprise app, rather than leaving apps open to all users by default. This practice supports NIST’s </w:t>
      </w:r>
      <w:r w:rsidRPr="00A54C6D">
        <w:rPr>
          <w:rFonts w:ascii="Segoe UI" w:eastAsia="Times New Roman" w:hAnsi="Segoe UI" w:cs="Segoe UI"/>
          <w:b/>
          <w:bCs/>
          <w:kern w:val="0"/>
          <w:sz w:val="21"/>
          <w:szCs w:val="21"/>
          <w14:ligatures w14:val="none"/>
        </w:rPr>
        <w:t>least privilege</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separation of duties</w:t>
      </w:r>
      <w:r w:rsidRPr="00A54C6D">
        <w:rPr>
          <w:rFonts w:ascii="Segoe UI" w:eastAsia="Times New Roman" w:hAnsi="Segoe UI" w:cs="Segoe UI"/>
          <w:kern w:val="0"/>
          <w:sz w:val="21"/>
          <w:szCs w:val="21"/>
          <w14:ligatures w14:val="none"/>
        </w:rPr>
        <w:t xml:space="preserve"> principles (AC-6 and AC-5) by ensuring that only authorized individuals with a need to use a given application are granted access. The guides even encourage assigning </w:t>
      </w:r>
      <w:r w:rsidRPr="00A54C6D">
        <w:rPr>
          <w:rFonts w:ascii="Segoe UI" w:eastAsia="Times New Roman" w:hAnsi="Segoe UI" w:cs="Segoe UI"/>
          <w:b/>
          <w:bCs/>
          <w:kern w:val="0"/>
          <w:sz w:val="21"/>
          <w:szCs w:val="21"/>
          <w14:ligatures w14:val="none"/>
        </w:rPr>
        <w:t>application owners</w:t>
      </w:r>
      <w:r w:rsidRPr="00A54C6D">
        <w:rPr>
          <w:rFonts w:ascii="Segoe UI" w:eastAsia="Times New Roman" w:hAnsi="Segoe UI" w:cs="Segoe UI"/>
          <w:kern w:val="0"/>
          <w:sz w:val="21"/>
          <w:szCs w:val="21"/>
          <w14:ligatures w14:val="none"/>
        </w:rPr>
        <w:t xml:space="preserve"> in Entra ID for each integrated app, which maps to having defined ownership and role-based access for management functions – </w:t>
      </w:r>
      <w:r w:rsidRPr="00A54C6D">
        <w:rPr>
          <w:rFonts w:ascii="Segoe UI" w:eastAsia="Times New Roman" w:hAnsi="Segoe UI" w:cs="Segoe UI"/>
          <w:kern w:val="0"/>
          <w:sz w:val="21"/>
          <w:szCs w:val="21"/>
          <w14:ligatures w14:val="none"/>
        </w:rPr>
        <w:lastRenderedPageBreak/>
        <w:t xml:space="preserve">an aspect of </w:t>
      </w:r>
      <w:r w:rsidRPr="00A54C6D">
        <w:rPr>
          <w:rFonts w:ascii="Segoe UI" w:eastAsia="Times New Roman" w:hAnsi="Segoe UI" w:cs="Segoe UI"/>
          <w:b/>
          <w:bCs/>
          <w:kern w:val="0"/>
          <w:sz w:val="21"/>
          <w:szCs w:val="21"/>
          <w14:ligatures w14:val="none"/>
        </w:rPr>
        <w:t>AC-2</w:t>
      </w:r>
      <w:r w:rsidRPr="00A54C6D">
        <w:rPr>
          <w:rFonts w:ascii="Segoe UI" w:eastAsia="Times New Roman" w:hAnsi="Segoe UI" w:cs="Segoe UI"/>
          <w:kern w:val="0"/>
          <w:sz w:val="21"/>
          <w:szCs w:val="21"/>
          <w14:ligatures w14:val="none"/>
        </w:rPr>
        <w:t xml:space="preserve"> (designating account managers) and </w:t>
      </w:r>
      <w:r w:rsidRPr="00A54C6D">
        <w:rPr>
          <w:rFonts w:ascii="Segoe UI" w:eastAsia="Times New Roman" w:hAnsi="Segoe UI" w:cs="Segoe UI"/>
          <w:b/>
          <w:bCs/>
          <w:kern w:val="0"/>
          <w:sz w:val="21"/>
          <w:szCs w:val="21"/>
          <w14:ligatures w14:val="none"/>
        </w:rPr>
        <w:t>AC-5</w:t>
      </w:r>
      <w:r w:rsidRPr="00A54C6D">
        <w:rPr>
          <w:rFonts w:ascii="Segoe UI" w:eastAsia="Times New Roman" w:hAnsi="Segoe UI" w:cs="Segoe UI"/>
          <w:kern w:val="0"/>
          <w:sz w:val="21"/>
          <w:szCs w:val="21"/>
          <w14:ligatures w14:val="none"/>
        </w:rPr>
        <w:t xml:space="preserve"> (segregating duties so that no single administrator has unchecked control) in larger environments.</w:t>
      </w:r>
    </w:p>
    <w:p w14:paraId="2DBDA7D3" w14:textId="77777777" w:rsidR="00A54C6D" w:rsidRPr="00A54C6D" w:rsidRDefault="00A54C6D" w:rsidP="00A54C6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Identification &amp; Authentication (IA):</w:t>
      </w:r>
      <w:r w:rsidRPr="00A54C6D">
        <w:rPr>
          <w:rFonts w:ascii="Segoe UI" w:eastAsia="Times New Roman" w:hAnsi="Segoe UI" w:cs="Segoe UI"/>
          <w:kern w:val="0"/>
          <w:sz w:val="21"/>
          <w:szCs w:val="21"/>
          <w14:ligatures w14:val="none"/>
        </w:rPr>
        <w:t xml:space="preserve"> Federating a SaaS application to Microsoft Entra ID means that </w:t>
      </w:r>
      <w:r w:rsidRPr="00A54C6D">
        <w:rPr>
          <w:rFonts w:ascii="Segoe UI" w:eastAsia="Times New Roman" w:hAnsi="Segoe UI" w:cs="Segoe UI"/>
          <w:b/>
          <w:bCs/>
          <w:kern w:val="0"/>
          <w:sz w:val="21"/>
          <w:szCs w:val="21"/>
          <w14:ligatures w14:val="none"/>
        </w:rPr>
        <w:t>all user authentication is handled by the organization’s identity provider</w:t>
      </w:r>
      <w:r w:rsidRPr="00A54C6D">
        <w:rPr>
          <w:rFonts w:ascii="Segoe UI" w:eastAsia="Times New Roman" w:hAnsi="Segoe UI" w:cs="Segoe UI"/>
          <w:kern w:val="0"/>
          <w:sz w:val="21"/>
          <w:szCs w:val="21"/>
          <w14:ligatures w14:val="none"/>
        </w:rPr>
        <w:t xml:space="preserve">. In NIST terms, this implements centralized </w:t>
      </w:r>
      <w:r w:rsidRPr="00A54C6D">
        <w:rPr>
          <w:rFonts w:ascii="Segoe UI" w:eastAsia="Times New Roman" w:hAnsi="Segoe UI" w:cs="Segoe UI"/>
          <w:b/>
          <w:bCs/>
          <w:kern w:val="0"/>
          <w:sz w:val="21"/>
          <w:szCs w:val="21"/>
          <w14:ligatures w14:val="none"/>
        </w:rPr>
        <w:t>Identification and Authentication (IA-2)</w:t>
      </w:r>
      <w:r w:rsidRPr="00A54C6D">
        <w:rPr>
          <w:rFonts w:ascii="Segoe UI" w:eastAsia="Times New Roman" w:hAnsi="Segoe UI" w:cs="Segoe UI"/>
          <w:kern w:val="0"/>
          <w:sz w:val="21"/>
          <w:szCs w:val="21"/>
          <w14:ligatures w14:val="none"/>
        </w:rPr>
        <w:t xml:space="preserve"> for all those external systems. </w:t>
      </w:r>
      <w:proofErr w:type="gramStart"/>
      <w:r w:rsidRPr="00A54C6D">
        <w:rPr>
          <w:rFonts w:ascii="Segoe UI" w:eastAsia="Times New Roman" w:hAnsi="Segoe UI" w:cs="Segoe UI"/>
          <w:kern w:val="0"/>
          <w:sz w:val="21"/>
          <w:szCs w:val="21"/>
          <w14:ligatures w14:val="none"/>
        </w:rPr>
        <w:t>In particular, it</w:t>
      </w:r>
      <w:proofErr w:type="gramEnd"/>
      <w:r w:rsidRPr="00A54C6D">
        <w:rPr>
          <w:rFonts w:ascii="Segoe UI" w:eastAsia="Times New Roman" w:hAnsi="Segoe UI" w:cs="Segoe UI"/>
          <w:kern w:val="0"/>
          <w:sz w:val="21"/>
          <w:szCs w:val="21"/>
          <w14:ligatures w14:val="none"/>
        </w:rPr>
        <w:t xml:space="preserve"> directly addresses </w:t>
      </w:r>
      <w:r w:rsidRPr="00A54C6D">
        <w:rPr>
          <w:rFonts w:ascii="Segoe UI" w:eastAsia="Times New Roman" w:hAnsi="Segoe UI" w:cs="Segoe UI"/>
          <w:b/>
          <w:bCs/>
          <w:kern w:val="0"/>
          <w:sz w:val="21"/>
          <w:szCs w:val="21"/>
          <w14:ligatures w14:val="none"/>
        </w:rPr>
        <w:t>IA-2 (10)</w:t>
      </w:r>
      <w:r w:rsidRPr="00A54C6D">
        <w:rPr>
          <w:rFonts w:ascii="Segoe UI" w:eastAsia="Times New Roman" w:hAnsi="Segoe UI" w:cs="Segoe UI"/>
          <w:kern w:val="0"/>
          <w:sz w:val="21"/>
          <w:szCs w:val="21"/>
          <w14:ligatures w14:val="none"/>
        </w:rPr>
        <w:t xml:space="preserve">, which requires organizations to </w:t>
      </w:r>
      <w:r w:rsidRPr="00A54C6D">
        <w:rPr>
          <w:rFonts w:ascii="Segoe UI" w:eastAsia="Times New Roman" w:hAnsi="Segoe UI" w:cs="Segoe UI"/>
          <w:i/>
          <w:iCs/>
          <w:kern w:val="0"/>
          <w:sz w:val="21"/>
          <w:szCs w:val="21"/>
          <w14:ligatures w14:val="none"/>
        </w:rPr>
        <w:t>“provide a single sign-on capability”</w:t>
      </w:r>
      <w:r w:rsidRPr="00A54C6D">
        <w:rPr>
          <w:rFonts w:ascii="Segoe UI" w:eastAsia="Times New Roman" w:hAnsi="Segoe UI" w:cs="Segoe UI"/>
          <w:kern w:val="0"/>
          <w:sz w:val="21"/>
          <w:szCs w:val="21"/>
          <w14:ligatures w14:val="none"/>
        </w:rPr>
        <w:t xml:space="preserve"> for defined systems. By configuring SSO, users authenticate through one trusted IdP (Entra ID) to access multiple SaaS services, instead of maintaining separate logins. This reduces password proliferation and allows the organization to enforce consistent authentication requirements across all applications. In the Microsoft guide for an AWS integration, for example, the outcomes of enabling Entra SSO are that you can </w:t>
      </w:r>
      <w:r w:rsidRPr="00A54C6D">
        <w:rPr>
          <w:rFonts w:ascii="Segoe UI" w:eastAsia="Times New Roman" w:hAnsi="Segoe UI" w:cs="Segoe UI"/>
          <w:i/>
          <w:iCs/>
          <w:kern w:val="0"/>
          <w:sz w:val="21"/>
          <w:szCs w:val="21"/>
          <w14:ligatures w14:val="none"/>
        </w:rPr>
        <w:t>“control in Microsoft Entra ID who has access”</w:t>
      </w:r>
      <w:r w:rsidRPr="00A54C6D">
        <w:rPr>
          <w:rFonts w:ascii="Segoe UI" w:eastAsia="Times New Roman" w:hAnsi="Segoe UI" w:cs="Segoe UI"/>
          <w:kern w:val="0"/>
          <w:sz w:val="21"/>
          <w:szCs w:val="21"/>
          <w14:ligatures w14:val="none"/>
        </w:rPr>
        <w:t xml:space="preserve">, have users </w:t>
      </w:r>
      <w:r w:rsidRPr="00A54C6D">
        <w:rPr>
          <w:rFonts w:ascii="Segoe UI" w:eastAsia="Times New Roman" w:hAnsi="Segoe UI" w:cs="Segoe UI"/>
          <w:b/>
          <w:bCs/>
          <w:kern w:val="0"/>
          <w:sz w:val="21"/>
          <w:szCs w:val="21"/>
          <w14:ligatures w14:val="none"/>
        </w:rPr>
        <w:t>automatically sign in with their Entra accounts</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manage accounts centrally</w:t>
      </w:r>
      <w:r w:rsidRPr="00A54C6D">
        <w:rPr>
          <w:rFonts w:ascii="Segoe UI" w:eastAsia="Times New Roman" w:hAnsi="Segoe UI" w:cs="Segoe UI"/>
          <w:kern w:val="0"/>
          <w:sz w:val="21"/>
          <w:szCs w:val="21"/>
          <w14:ligatures w14:val="none"/>
        </w:rPr>
        <w:t xml:space="preserve"> – all of which underpin the </w:t>
      </w:r>
      <w:r w:rsidRPr="00A54C6D">
        <w:rPr>
          <w:rFonts w:ascii="Segoe UI" w:eastAsia="Times New Roman" w:hAnsi="Segoe UI" w:cs="Segoe UI"/>
          <w:b/>
          <w:bCs/>
          <w:kern w:val="0"/>
          <w:sz w:val="21"/>
          <w:szCs w:val="21"/>
          <w14:ligatures w14:val="none"/>
        </w:rPr>
        <w:t>IA-2 and AC-2 controls</w:t>
      </w:r>
      <w:r w:rsidRPr="00A54C6D">
        <w:rPr>
          <w:rFonts w:ascii="Segoe UI" w:eastAsia="Times New Roman" w:hAnsi="Segoe UI" w:cs="Segoe UI"/>
          <w:kern w:val="0"/>
          <w:sz w:val="21"/>
          <w:szCs w:val="21"/>
          <w14:ligatures w14:val="none"/>
        </w:rPr>
        <w:t xml:space="preserve"> around centralized user authentication and account management.</w:t>
      </w:r>
    </w:p>
    <w:p w14:paraId="5FDC224A" w14:textId="77777777" w:rsidR="00A54C6D" w:rsidRPr="00A54C6D" w:rsidRDefault="00A54C6D" w:rsidP="00A54C6D">
      <w:pPr>
        <w:spacing w:before="100" w:beforeAutospacing="1" w:after="100" w:afterAutospacing="1" w:line="300" w:lineRule="atLeast"/>
        <w:ind w:left="720"/>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Furthermore, using Entra ID for SSO means agencies can invoke strong authentication measures universally. NIST </w:t>
      </w:r>
      <w:r w:rsidRPr="00A54C6D">
        <w:rPr>
          <w:rFonts w:ascii="Segoe UI" w:eastAsia="Times New Roman" w:hAnsi="Segoe UI" w:cs="Segoe UI"/>
          <w:b/>
          <w:bCs/>
          <w:kern w:val="0"/>
          <w:sz w:val="21"/>
          <w:szCs w:val="21"/>
          <w14:ligatures w14:val="none"/>
        </w:rPr>
        <w:t>IA-2</w:t>
      </w:r>
      <w:r w:rsidRPr="00A54C6D">
        <w:rPr>
          <w:rFonts w:ascii="Segoe UI" w:eastAsia="Times New Roman" w:hAnsi="Segoe UI" w:cs="Segoe UI"/>
          <w:kern w:val="0"/>
          <w:sz w:val="21"/>
          <w:szCs w:val="21"/>
          <w14:ligatures w14:val="none"/>
        </w:rPr>
        <w:t xml:space="preserve"> requires multifactor authentication for network access by privileged and (for higher-impact systems) general users. </w:t>
      </w:r>
      <w:r w:rsidRPr="00A54C6D">
        <w:rPr>
          <w:rFonts w:ascii="Segoe UI" w:eastAsia="Times New Roman" w:hAnsi="Segoe UI" w:cs="Segoe UI"/>
          <w:b/>
          <w:bCs/>
          <w:kern w:val="0"/>
          <w:sz w:val="21"/>
          <w:szCs w:val="21"/>
          <w14:ligatures w14:val="none"/>
        </w:rPr>
        <w:t>Entra ID supports enforcing MFA</w:t>
      </w:r>
      <w:r w:rsidRPr="00A54C6D">
        <w:rPr>
          <w:rFonts w:ascii="Segoe UI" w:eastAsia="Times New Roman" w:hAnsi="Segoe UI" w:cs="Segoe UI"/>
          <w:kern w:val="0"/>
          <w:sz w:val="21"/>
          <w:szCs w:val="21"/>
          <w14:ligatures w14:val="none"/>
        </w:rPr>
        <w:t xml:space="preserve"> (e.g. requiring PIV or authenticator app) and other authentication context rules via Conditional Access policies. By integrating a SaaS app with Entra ID, an organization can ensure that login to the app is subject to the same MFA requirements and identity proofing standards set for its enterprise—contributing to </w:t>
      </w:r>
      <w:r w:rsidRPr="00A54C6D">
        <w:rPr>
          <w:rFonts w:ascii="Segoe UI" w:eastAsia="Times New Roman" w:hAnsi="Segoe UI" w:cs="Segoe UI"/>
          <w:b/>
          <w:bCs/>
          <w:kern w:val="0"/>
          <w:sz w:val="21"/>
          <w:szCs w:val="21"/>
          <w14:ligatures w14:val="none"/>
        </w:rPr>
        <w:t>IA-2(1)</w:t>
      </w:r>
      <w:r w:rsidRPr="00A54C6D">
        <w:rPr>
          <w:rFonts w:ascii="Segoe UI" w:eastAsia="Times New Roman" w:hAnsi="Segoe UI" w:cs="Segoe UI"/>
          <w:kern w:val="0"/>
          <w:sz w:val="21"/>
          <w:szCs w:val="21"/>
          <w14:ligatures w14:val="none"/>
        </w:rPr>
        <w:t xml:space="preserve"> (MFA for privileged accounts) and </w:t>
      </w:r>
      <w:r w:rsidRPr="00A54C6D">
        <w:rPr>
          <w:rFonts w:ascii="Segoe UI" w:eastAsia="Times New Roman" w:hAnsi="Segoe UI" w:cs="Segoe UI"/>
          <w:b/>
          <w:bCs/>
          <w:kern w:val="0"/>
          <w:sz w:val="21"/>
          <w:szCs w:val="21"/>
          <w14:ligatures w14:val="none"/>
        </w:rPr>
        <w:t>IA-2(2)</w:t>
      </w:r>
      <w:r w:rsidRPr="00A54C6D">
        <w:rPr>
          <w:rFonts w:ascii="Segoe UI" w:eastAsia="Times New Roman" w:hAnsi="Segoe UI" w:cs="Segoe UI"/>
          <w:kern w:val="0"/>
          <w:sz w:val="21"/>
          <w:szCs w:val="21"/>
          <w14:ligatures w14:val="none"/>
        </w:rPr>
        <w:t xml:space="preserve"> (MFA for remote/network access) controls. In essence, the docs give the technical blueprint to extend your existing compliant authentication and session management controls to all external apps. Another relevant control is </w:t>
      </w:r>
      <w:r w:rsidRPr="00A54C6D">
        <w:rPr>
          <w:rFonts w:ascii="Segoe UI" w:eastAsia="Times New Roman" w:hAnsi="Segoe UI" w:cs="Segoe UI"/>
          <w:b/>
          <w:bCs/>
          <w:kern w:val="0"/>
          <w:sz w:val="21"/>
          <w:szCs w:val="21"/>
          <w14:ligatures w14:val="none"/>
        </w:rPr>
        <w:t>IA-4 (Identifier Management)</w:t>
      </w:r>
      <w:r w:rsidRPr="00A54C6D">
        <w:rPr>
          <w:rFonts w:ascii="Segoe UI" w:eastAsia="Times New Roman" w:hAnsi="Segoe UI" w:cs="Segoe UI"/>
          <w:kern w:val="0"/>
          <w:sz w:val="21"/>
          <w:szCs w:val="21"/>
          <w14:ligatures w14:val="none"/>
        </w:rPr>
        <w:t xml:space="preserve">, which calls for unique user identification and management of user IDs. Entra ID integration supports this by eliminating local app-specific accounts in favor of a single unique enterprise identity per user, aiding compliance with </w:t>
      </w:r>
      <w:r w:rsidRPr="00A54C6D">
        <w:rPr>
          <w:rFonts w:ascii="Segoe UI" w:eastAsia="Times New Roman" w:hAnsi="Segoe UI" w:cs="Segoe UI"/>
          <w:b/>
          <w:bCs/>
          <w:kern w:val="0"/>
          <w:sz w:val="21"/>
          <w:szCs w:val="21"/>
          <w14:ligatures w14:val="none"/>
        </w:rPr>
        <w:t>IA-4</w:t>
      </w:r>
      <w:r w:rsidRPr="00A54C6D">
        <w:rPr>
          <w:rFonts w:ascii="Segoe UI" w:eastAsia="Times New Roman" w:hAnsi="Segoe UI" w:cs="Segoe UI"/>
          <w:kern w:val="0"/>
          <w:sz w:val="21"/>
          <w:szCs w:val="21"/>
          <w14:ligatures w14:val="none"/>
        </w:rPr>
        <w:t xml:space="preserve"> and preventing “identity sprawl” across unmanaged accounts.</w:t>
      </w:r>
    </w:p>
    <w:p w14:paraId="1B1C6C84" w14:textId="77777777" w:rsidR="00A54C6D" w:rsidRPr="00A54C6D" w:rsidRDefault="00A54C6D" w:rsidP="00A54C6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System and Communications Protection (SC):</w:t>
      </w:r>
      <w:r w:rsidRPr="00A54C6D">
        <w:rPr>
          <w:rFonts w:ascii="Segoe UI" w:eastAsia="Times New Roman" w:hAnsi="Segoe UI" w:cs="Segoe UI"/>
          <w:kern w:val="0"/>
          <w:sz w:val="21"/>
          <w:szCs w:val="21"/>
          <w14:ligatures w14:val="none"/>
        </w:rPr>
        <w:t xml:space="preserve"> The SSO configurations inherently use </w:t>
      </w:r>
      <w:r w:rsidRPr="00A54C6D">
        <w:rPr>
          <w:rFonts w:ascii="Segoe UI" w:eastAsia="Times New Roman" w:hAnsi="Segoe UI" w:cs="Segoe UI"/>
          <w:b/>
          <w:bCs/>
          <w:kern w:val="0"/>
          <w:sz w:val="21"/>
          <w:szCs w:val="21"/>
          <w14:ligatures w14:val="none"/>
        </w:rPr>
        <w:t>secure protocols and cryptography</w:t>
      </w:r>
      <w:r w:rsidRPr="00A54C6D">
        <w:rPr>
          <w:rFonts w:ascii="Segoe UI" w:eastAsia="Times New Roman" w:hAnsi="Segoe UI" w:cs="Segoe UI"/>
          <w:kern w:val="0"/>
          <w:sz w:val="21"/>
          <w:szCs w:val="21"/>
          <w14:ligatures w14:val="none"/>
        </w:rPr>
        <w:t xml:space="preserve">, touching on controls like </w:t>
      </w:r>
      <w:r w:rsidRPr="00A54C6D">
        <w:rPr>
          <w:rFonts w:ascii="Segoe UI" w:eastAsia="Times New Roman" w:hAnsi="Segoe UI" w:cs="Segoe UI"/>
          <w:b/>
          <w:bCs/>
          <w:kern w:val="0"/>
          <w:sz w:val="21"/>
          <w:szCs w:val="21"/>
          <w14:ligatures w14:val="none"/>
        </w:rPr>
        <w:t>SC-8 (Transmission Confidentiality and Integrity)</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SC-13 (Cryptographic Protection)</w:t>
      </w:r>
      <w:r w:rsidRPr="00A54C6D">
        <w:rPr>
          <w:rFonts w:ascii="Segoe UI" w:eastAsia="Times New Roman" w:hAnsi="Segoe UI" w:cs="Segoe UI"/>
          <w:kern w:val="0"/>
          <w:sz w:val="21"/>
          <w:szCs w:val="21"/>
          <w14:ligatures w14:val="none"/>
        </w:rPr>
        <w:t xml:space="preserve">. SSO exchanges occur via TLS-protected channels and involve </w:t>
      </w:r>
      <w:r w:rsidRPr="00A54C6D">
        <w:rPr>
          <w:rFonts w:ascii="Segoe UI" w:eastAsia="Times New Roman" w:hAnsi="Segoe UI" w:cs="Segoe UI"/>
          <w:b/>
          <w:bCs/>
          <w:kern w:val="0"/>
          <w:sz w:val="21"/>
          <w:szCs w:val="21"/>
          <w14:ligatures w14:val="none"/>
        </w:rPr>
        <w:t>SAML assertions or OIDC tokens</w:t>
      </w:r>
      <w:r w:rsidRPr="00A54C6D">
        <w:rPr>
          <w:rFonts w:ascii="Segoe UI" w:eastAsia="Times New Roman" w:hAnsi="Segoe UI" w:cs="Segoe UI"/>
          <w:kern w:val="0"/>
          <w:sz w:val="21"/>
          <w:szCs w:val="21"/>
          <w14:ligatures w14:val="none"/>
        </w:rPr>
        <w:t xml:space="preserve"> that are digitally signed (and optionally encrypted) by the identity provider. The Microsoft docs note, for example, that SAML tokens are signed with a unique certificate (using SHA-256 by default) and can be configured for encryption. Proper management of these </w:t>
      </w:r>
      <w:r w:rsidRPr="00A54C6D">
        <w:rPr>
          <w:rFonts w:ascii="Segoe UI" w:eastAsia="Times New Roman" w:hAnsi="Segoe UI" w:cs="Segoe UI"/>
          <w:b/>
          <w:bCs/>
          <w:kern w:val="0"/>
          <w:sz w:val="21"/>
          <w:szCs w:val="21"/>
          <w14:ligatures w14:val="none"/>
        </w:rPr>
        <w:t>token-signing certificates</w:t>
      </w:r>
      <w:r w:rsidRPr="00A54C6D">
        <w:rPr>
          <w:rFonts w:ascii="Segoe UI" w:eastAsia="Times New Roman" w:hAnsi="Segoe UI" w:cs="Segoe UI"/>
          <w:kern w:val="0"/>
          <w:sz w:val="21"/>
          <w:szCs w:val="21"/>
          <w14:ligatures w14:val="none"/>
        </w:rPr>
        <w:t xml:space="preserve"> is advised – the documentation recommends monitoring certificate lifecycles and rolling over certificates within their 3-year validity period. Following this guidance helps an organization partially fulfill </w:t>
      </w:r>
      <w:r w:rsidRPr="00A54C6D">
        <w:rPr>
          <w:rFonts w:ascii="Segoe UI" w:eastAsia="Times New Roman" w:hAnsi="Segoe UI" w:cs="Segoe UI"/>
          <w:b/>
          <w:bCs/>
          <w:kern w:val="0"/>
          <w:sz w:val="21"/>
          <w:szCs w:val="21"/>
          <w14:ligatures w14:val="none"/>
        </w:rPr>
        <w:t>SC-17 (Public Key Infrastructure Certificates)</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IA-5 (Authenticator Management)</w:t>
      </w:r>
      <w:r w:rsidRPr="00A54C6D">
        <w:rPr>
          <w:rFonts w:ascii="Segoe UI" w:eastAsia="Times New Roman" w:hAnsi="Segoe UI" w:cs="Segoe UI"/>
          <w:kern w:val="0"/>
          <w:sz w:val="21"/>
          <w:szCs w:val="21"/>
          <w14:ligatures w14:val="none"/>
        </w:rPr>
        <w:t xml:space="preserve">, which require managing cryptographic keys and authenticators. (The guides assume that certificate issuance and trust chains are handled by </w:t>
      </w:r>
      <w:r w:rsidRPr="00A54C6D">
        <w:rPr>
          <w:rFonts w:ascii="Segoe UI" w:eastAsia="Times New Roman" w:hAnsi="Segoe UI" w:cs="Segoe UI"/>
          <w:kern w:val="0"/>
          <w:sz w:val="21"/>
          <w:szCs w:val="21"/>
          <w14:ligatures w14:val="none"/>
        </w:rPr>
        <w:lastRenderedPageBreak/>
        <w:t xml:space="preserve">Microsoft Entra ID’s built-in certificate authority; agencies should ensure this aligns with their </w:t>
      </w:r>
      <w:r w:rsidRPr="00A54C6D">
        <w:rPr>
          <w:rFonts w:ascii="Segoe UI" w:eastAsia="Times New Roman" w:hAnsi="Segoe UI" w:cs="Segoe UI"/>
          <w:b/>
          <w:bCs/>
          <w:kern w:val="0"/>
          <w:sz w:val="21"/>
          <w:szCs w:val="21"/>
          <w14:ligatures w14:val="none"/>
        </w:rPr>
        <w:t>organization-defined certificate policy</w:t>
      </w:r>
      <w:r w:rsidRPr="00A54C6D">
        <w:rPr>
          <w:rFonts w:ascii="Segoe UI" w:eastAsia="Times New Roman" w:hAnsi="Segoe UI" w:cs="Segoe UI"/>
          <w:kern w:val="0"/>
          <w:sz w:val="21"/>
          <w:szCs w:val="21"/>
          <w14:ligatures w14:val="none"/>
        </w:rPr>
        <w:t xml:space="preserve"> as called out in SC-17.)</w:t>
      </w:r>
    </w:p>
    <w:p w14:paraId="2C7BD28E" w14:textId="77777777" w:rsidR="00A54C6D" w:rsidRPr="00A54C6D" w:rsidRDefault="00A54C6D" w:rsidP="00A54C6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Audit and Accountability (AU):</w:t>
      </w:r>
      <w:r w:rsidRPr="00A54C6D">
        <w:rPr>
          <w:rFonts w:ascii="Segoe UI" w:eastAsia="Times New Roman" w:hAnsi="Segoe UI" w:cs="Segoe UI"/>
          <w:kern w:val="0"/>
          <w:sz w:val="21"/>
          <w:szCs w:val="21"/>
          <w14:ligatures w14:val="none"/>
        </w:rPr>
        <w:t xml:space="preserve"> While the </w:t>
      </w:r>
      <w:r w:rsidRPr="00A54C6D">
        <w:rPr>
          <w:rFonts w:ascii="Segoe UI" w:eastAsia="Times New Roman" w:hAnsi="Segoe UI" w:cs="Segoe UI"/>
          <w:b/>
          <w:bCs/>
          <w:kern w:val="0"/>
          <w:sz w:val="21"/>
          <w:szCs w:val="21"/>
          <w14:ligatures w14:val="none"/>
        </w:rPr>
        <w:t>tutorials themselves do not delve deeply into logging or monitoring</w:t>
      </w:r>
      <w:r w:rsidRPr="00A54C6D">
        <w:rPr>
          <w:rFonts w:ascii="Segoe UI" w:eastAsia="Times New Roman" w:hAnsi="Segoe UI" w:cs="Segoe UI"/>
          <w:kern w:val="0"/>
          <w:sz w:val="21"/>
          <w:szCs w:val="21"/>
          <w14:ligatures w14:val="none"/>
        </w:rPr>
        <w:t xml:space="preserve">, integrating apps into Entra ID lays the groundwork for centralized auditing of access. </w:t>
      </w:r>
      <w:r w:rsidRPr="00A54C6D">
        <w:rPr>
          <w:rFonts w:ascii="Segoe UI" w:eastAsia="Times New Roman" w:hAnsi="Segoe UI" w:cs="Segoe UI"/>
          <w:b/>
          <w:bCs/>
          <w:kern w:val="0"/>
          <w:sz w:val="21"/>
          <w:szCs w:val="21"/>
          <w14:ligatures w14:val="none"/>
        </w:rPr>
        <w:t>Microsoft Entra ID automatically generates logs</w:t>
      </w:r>
      <w:r w:rsidRPr="00A54C6D">
        <w:rPr>
          <w:rFonts w:ascii="Segoe UI" w:eastAsia="Times New Roman" w:hAnsi="Segoe UI" w:cs="Segoe UI"/>
          <w:kern w:val="0"/>
          <w:sz w:val="21"/>
          <w:szCs w:val="21"/>
          <w14:ligatures w14:val="none"/>
        </w:rPr>
        <w:t xml:space="preserve"> for user sign-ins, provisioning actions, and administrative changes. This capability can support </w:t>
      </w:r>
      <w:r w:rsidRPr="00A54C6D">
        <w:rPr>
          <w:rFonts w:ascii="Segoe UI" w:eastAsia="Times New Roman" w:hAnsi="Segoe UI" w:cs="Segoe UI"/>
          <w:b/>
          <w:bCs/>
          <w:kern w:val="0"/>
          <w:sz w:val="21"/>
          <w:szCs w:val="21"/>
          <w14:ligatures w14:val="none"/>
        </w:rPr>
        <w:t>AU-2 (Audit Events)</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AU-12 (Audit Generation)</w:t>
      </w:r>
      <w:r w:rsidRPr="00A54C6D">
        <w:rPr>
          <w:rFonts w:ascii="Segoe UI" w:eastAsia="Times New Roman" w:hAnsi="Segoe UI" w:cs="Segoe UI"/>
          <w:kern w:val="0"/>
          <w:sz w:val="21"/>
          <w:szCs w:val="21"/>
          <w14:ligatures w14:val="none"/>
        </w:rPr>
        <w:t xml:space="preserve">, ensuring that events like authentication attempts and account provisioning actions are recorded. The importance of monitoring is implied in the broader </w:t>
      </w:r>
      <w:r w:rsidRPr="00A54C6D">
        <w:rPr>
          <w:rFonts w:ascii="Segoe UI" w:eastAsia="Times New Roman" w:hAnsi="Segoe UI" w:cs="Segoe UI"/>
          <w:i/>
          <w:iCs/>
          <w:kern w:val="0"/>
          <w:sz w:val="21"/>
          <w:szCs w:val="21"/>
          <w14:ligatures w14:val="none"/>
        </w:rPr>
        <w:t>Application Management</w:t>
      </w:r>
      <w:r w:rsidRPr="00A54C6D">
        <w:rPr>
          <w:rFonts w:ascii="Segoe UI" w:eastAsia="Times New Roman" w:hAnsi="Segoe UI" w:cs="Segoe UI"/>
          <w:kern w:val="0"/>
          <w:sz w:val="21"/>
          <w:szCs w:val="21"/>
          <w14:ligatures w14:val="none"/>
        </w:rPr>
        <w:t xml:space="preserve"> guidance: organizations are advised to “manage interaction and review activity” through features like entitlement management and to plan for a reporting and monitoring solution leveraging Entra ID’s logs. In a NIST context, this speaks to </w:t>
      </w:r>
      <w:r w:rsidRPr="00A54C6D">
        <w:rPr>
          <w:rFonts w:ascii="Segoe UI" w:eastAsia="Times New Roman" w:hAnsi="Segoe UI" w:cs="Segoe UI"/>
          <w:b/>
          <w:bCs/>
          <w:kern w:val="0"/>
          <w:sz w:val="21"/>
          <w:szCs w:val="21"/>
          <w14:ligatures w14:val="none"/>
        </w:rPr>
        <w:t>AU-6 (Audit Review and Analysis)</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SI-4 (System Monitoring)</w:t>
      </w:r>
      <w:r w:rsidRPr="00A54C6D">
        <w:rPr>
          <w:rFonts w:ascii="Segoe UI" w:eastAsia="Times New Roman" w:hAnsi="Segoe UI" w:cs="Segoe UI"/>
          <w:kern w:val="0"/>
          <w:sz w:val="21"/>
          <w:szCs w:val="21"/>
          <w14:ligatures w14:val="none"/>
        </w:rPr>
        <w:t xml:space="preserve"> – for example, with all SaaS authentications funneling through one IdP, security teams can review consolidated sign-in logs to detect anomalies across all applications. However, </w:t>
      </w:r>
      <w:r w:rsidRPr="00A54C6D">
        <w:rPr>
          <w:rFonts w:ascii="Segoe UI" w:eastAsia="Times New Roman" w:hAnsi="Segoe UI" w:cs="Segoe UI"/>
          <w:b/>
          <w:bCs/>
          <w:kern w:val="0"/>
          <w:sz w:val="21"/>
          <w:szCs w:val="21"/>
          <w14:ligatures w14:val="none"/>
        </w:rPr>
        <w:t>this is only partially addressed</w:t>
      </w:r>
      <w:r w:rsidRPr="00A54C6D">
        <w:rPr>
          <w:rFonts w:ascii="Segoe UI" w:eastAsia="Times New Roman" w:hAnsi="Segoe UI" w:cs="Segoe UI"/>
          <w:kern w:val="0"/>
          <w:sz w:val="21"/>
          <w:szCs w:val="21"/>
          <w14:ligatures w14:val="none"/>
        </w:rPr>
        <w:t xml:space="preserve"> by the documentation. The </w:t>
      </w:r>
      <w:r w:rsidRPr="00A54C6D">
        <w:rPr>
          <w:rFonts w:ascii="Segoe UI" w:eastAsia="Times New Roman" w:hAnsi="Segoe UI" w:cs="Segoe UI"/>
          <w:i/>
          <w:iCs/>
          <w:kern w:val="0"/>
          <w:sz w:val="21"/>
          <w:szCs w:val="21"/>
          <w14:ligatures w14:val="none"/>
        </w:rPr>
        <w:t>how-to</w:t>
      </w:r>
      <w:r w:rsidRPr="00A54C6D">
        <w:rPr>
          <w:rFonts w:ascii="Segoe UI" w:eastAsia="Times New Roman" w:hAnsi="Segoe UI" w:cs="Segoe UI"/>
          <w:kern w:val="0"/>
          <w:sz w:val="21"/>
          <w:szCs w:val="21"/>
          <w14:ligatures w14:val="none"/>
        </w:rPr>
        <w:t xml:space="preserve"> guides show where to find and enable these features, but NIST compliance also demands procedural controls – e.g. designated personnel reviewing logs (AU-6), defining audit retention (AU-11), and correlating events centrally (AU-12) – which are beyond the scope of the configuration tutorials. Agencies will need to integrate Entra ID logs with their Security Information and Event Management (SIEM) systems (e.g. via Microsoft Sentinel or other tools) to fully meet </w:t>
      </w:r>
      <w:r w:rsidRPr="00A54C6D">
        <w:rPr>
          <w:rFonts w:ascii="Segoe UI" w:eastAsia="Times New Roman" w:hAnsi="Segoe UI" w:cs="Segoe UI"/>
          <w:b/>
          <w:bCs/>
          <w:kern w:val="0"/>
          <w:sz w:val="21"/>
          <w:szCs w:val="21"/>
          <w14:ligatures w14:val="none"/>
        </w:rPr>
        <w:t>AU</w:t>
      </w:r>
      <w:r w:rsidRPr="00A54C6D">
        <w:rPr>
          <w:rFonts w:ascii="Segoe UI" w:eastAsia="Times New Roman" w:hAnsi="Segoe UI" w:cs="Segoe UI"/>
          <w:kern w:val="0"/>
          <w:sz w:val="21"/>
          <w:szCs w:val="21"/>
          <w14:ligatures w14:val="none"/>
        </w:rPr>
        <w:t xml:space="preserve"> controls for auditing and incident detection.</w:t>
      </w:r>
    </w:p>
    <w:p w14:paraId="254959D2"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p>
    <w:p w14:paraId="0A0784AA" w14:textId="77777777" w:rsidR="00A54C6D" w:rsidRPr="00A54C6D" w:rsidRDefault="00A54C6D" w:rsidP="00A54C6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54C6D">
        <w:rPr>
          <w:rFonts w:ascii="Segoe UI" w:eastAsia="Times New Roman" w:hAnsi="Segoe UI" w:cs="Segoe UI"/>
          <w:b/>
          <w:bCs/>
          <w:kern w:val="0"/>
          <w:sz w:val="36"/>
          <w:szCs w:val="36"/>
          <w14:ligatures w14:val="none"/>
        </w:rPr>
        <w:t>Gaps and Out-of-Scope NIST Controls</w:t>
      </w:r>
    </w:p>
    <w:p w14:paraId="5D792A26"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While the Microsoft Entra SaaS app integration series provides valuable technical guidance to implement SSO and provisioning, it does </w:t>
      </w:r>
      <w:r w:rsidRPr="00A54C6D">
        <w:rPr>
          <w:rFonts w:ascii="Segoe UI" w:eastAsia="Times New Roman" w:hAnsi="Segoe UI" w:cs="Segoe UI"/>
          <w:b/>
          <w:bCs/>
          <w:kern w:val="0"/>
          <w:sz w:val="21"/>
          <w:szCs w:val="21"/>
          <w14:ligatures w14:val="none"/>
        </w:rPr>
        <w:t>not by itself guarantee full compliance</w:t>
      </w:r>
      <w:r w:rsidRPr="00A54C6D">
        <w:rPr>
          <w:rFonts w:ascii="Segoe UI" w:eastAsia="Times New Roman" w:hAnsi="Segoe UI" w:cs="Segoe UI"/>
          <w:kern w:val="0"/>
          <w:sz w:val="21"/>
          <w:szCs w:val="21"/>
          <w14:ligatures w14:val="none"/>
        </w:rPr>
        <w:t xml:space="preserve"> with all aspects of NIST SP 800-53. Some notable gaps and out-of-scope areas include:</w:t>
      </w:r>
    </w:p>
    <w:p w14:paraId="0C52DD15" w14:textId="77777777" w:rsidR="00A54C6D" w:rsidRPr="00A54C6D" w:rsidRDefault="00A54C6D" w:rsidP="00A54C6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Policy and Process Controls (AC-1, IA-1, etc.):</w:t>
      </w:r>
      <w:r w:rsidRPr="00A54C6D">
        <w:rPr>
          <w:rFonts w:ascii="Segoe UI" w:eastAsia="Times New Roman" w:hAnsi="Segoe UI" w:cs="Segoe UI"/>
          <w:kern w:val="0"/>
          <w:sz w:val="21"/>
          <w:szCs w:val="21"/>
          <w14:ligatures w14:val="none"/>
        </w:rPr>
        <w:t xml:space="preserve"> NIST control families begin with a requirement for documented policies and procedures (e.g., </w:t>
      </w:r>
      <w:r w:rsidRPr="00A54C6D">
        <w:rPr>
          <w:rFonts w:ascii="Segoe UI" w:eastAsia="Times New Roman" w:hAnsi="Segoe UI" w:cs="Segoe UI"/>
          <w:b/>
          <w:bCs/>
          <w:kern w:val="0"/>
          <w:sz w:val="21"/>
          <w:szCs w:val="21"/>
          <w14:ligatures w14:val="none"/>
        </w:rPr>
        <w:t>AC-1, IA-1</w:t>
      </w:r>
      <w:r w:rsidRPr="00A54C6D">
        <w:rPr>
          <w:rFonts w:ascii="Segoe UI" w:eastAsia="Times New Roman" w:hAnsi="Segoe UI" w:cs="Segoe UI"/>
          <w:kern w:val="0"/>
          <w:sz w:val="21"/>
          <w:szCs w:val="21"/>
          <w14:ligatures w14:val="none"/>
        </w:rPr>
        <w:t xml:space="preserve">). The Microsoft documentation is a technical “how-to” and does not supply policy templates or procedural guidance. Agencies must separately develop their own access control and identity management policies that, for example, </w:t>
      </w:r>
      <w:r w:rsidRPr="00A54C6D">
        <w:rPr>
          <w:rFonts w:ascii="Segoe UI" w:eastAsia="Times New Roman" w:hAnsi="Segoe UI" w:cs="Segoe UI"/>
          <w:i/>
          <w:iCs/>
          <w:kern w:val="0"/>
          <w:sz w:val="21"/>
          <w:szCs w:val="21"/>
          <w14:ligatures w14:val="none"/>
        </w:rPr>
        <w:t>mandate</w:t>
      </w:r>
      <w:r w:rsidRPr="00A54C6D">
        <w:rPr>
          <w:rFonts w:ascii="Segoe UI" w:eastAsia="Times New Roman" w:hAnsi="Segoe UI" w:cs="Segoe UI"/>
          <w:kern w:val="0"/>
          <w:sz w:val="21"/>
          <w:szCs w:val="21"/>
          <w14:ligatures w14:val="none"/>
        </w:rPr>
        <w:t xml:space="preserve"> all cloud/SaaS systems </w:t>
      </w:r>
      <w:proofErr w:type="gramStart"/>
      <w:r w:rsidRPr="00A54C6D">
        <w:rPr>
          <w:rFonts w:ascii="Segoe UI" w:eastAsia="Times New Roman" w:hAnsi="Segoe UI" w:cs="Segoe UI"/>
          <w:kern w:val="0"/>
          <w:sz w:val="21"/>
          <w:szCs w:val="21"/>
          <w14:ligatures w14:val="none"/>
        </w:rPr>
        <w:t>use</w:t>
      </w:r>
      <w:proofErr w:type="gramEnd"/>
      <w:r w:rsidRPr="00A54C6D">
        <w:rPr>
          <w:rFonts w:ascii="Segoe UI" w:eastAsia="Times New Roman" w:hAnsi="Segoe UI" w:cs="Segoe UI"/>
          <w:kern w:val="0"/>
          <w:sz w:val="21"/>
          <w:szCs w:val="21"/>
          <w14:ligatures w14:val="none"/>
        </w:rPr>
        <w:t xml:space="preserve"> SSO and define how account provisioning is authorized and audited. The importance of formalizing these requirements is underscored by NIST’s guidance for SSO control </w:t>
      </w:r>
      <w:r w:rsidRPr="00A54C6D">
        <w:rPr>
          <w:rFonts w:ascii="Segoe UI" w:eastAsia="Times New Roman" w:hAnsi="Segoe UI" w:cs="Segoe UI"/>
          <w:b/>
          <w:bCs/>
          <w:kern w:val="0"/>
          <w:sz w:val="21"/>
          <w:szCs w:val="21"/>
          <w14:ligatures w14:val="none"/>
        </w:rPr>
        <w:t>IA-2(10)</w:t>
      </w:r>
      <w:r w:rsidRPr="00A54C6D">
        <w:rPr>
          <w:rFonts w:ascii="Segoe UI" w:eastAsia="Times New Roman" w:hAnsi="Segoe UI" w:cs="Segoe UI"/>
          <w:kern w:val="0"/>
          <w:sz w:val="21"/>
          <w:szCs w:val="21"/>
          <w14:ligatures w14:val="none"/>
        </w:rPr>
        <w:t xml:space="preserve">: organizations need to explicitly scope which apps must use SSO, enforce its use (no alternate logins), and maintain evidence (configuration settings, lists of federated apps, exception approvals, etc.) to pass an audit. The Microsoft tutorials don’t cover such documentation or the requirement to </w:t>
      </w:r>
      <w:r w:rsidRPr="00A54C6D">
        <w:rPr>
          <w:rFonts w:ascii="Segoe UI" w:eastAsia="Times New Roman" w:hAnsi="Segoe UI" w:cs="Segoe UI"/>
          <w:b/>
          <w:bCs/>
          <w:kern w:val="0"/>
          <w:sz w:val="21"/>
          <w:szCs w:val="21"/>
          <w14:ligatures w14:val="none"/>
        </w:rPr>
        <w:t>“enforce ‘SSO required,’ not just ‘SSO available’”</w:t>
      </w:r>
      <w:r w:rsidRPr="00A54C6D">
        <w:rPr>
          <w:rFonts w:ascii="Segoe UI" w:eastAsia="Times New Roman" w:hAnsi="Segoe UI" w:cs="Segoe UI"/>
          <w:kern w:val="0"/>
          <w:sz w:val="21"/>
          <w:szCs w:val="21"/>
          <w14:ligatures w14:val="none"/>
        </w:rPr>
        <w:t xml:space="preserve"> – that is a policy decision and configuration step left to the implementer. Ensuring that local credentials on the SaaS (if any) </w:t>
      </w:r>
      <w:r w:rsidRPr="00A54C6D">
        <w:rPr>
          <w:rFonts w:ascii="Segoe UI" w:eastAsia="Times New Roman" w:hAnsi="Segoe UI" w:cs="Segoe UI"/>
          <w:kern w:val="0"/>
          <w:sz w:val="21"/>
          <w:szCs w:val="21"/>
          <w14:ligatures w14:val="none"/>
        </w:rPr>
        <w:lastRenderedPageBreak/>
        <w:t>are disabled or tightly controlled is critical for compliance but must be handled by administrators outside the basic setup instructions.</w:t>
      </w:r>
    </w:p>
    <w:p w14:paraId="61F829F8" w14:textId="77777777" w:rsidR="00A54C6D" w:rsidRPr="00A54C6D" w:rsidRDefault="00A54C6D" w:rsidP="00A54C6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External Service Agreements and Supply-Chain Risk (AC-20, SA-9):</w:t>
      </w:r>
      <w:r w:rsidRPr="00A54C6D">
        <w:rPr>
          <w:rFonts w:ascii="Segoe UI" w:eastAsia="Times New Roman" w:hAnsi="Segoe UI" w:cs="Segoe UI"/>
          <w:kern w:val="0"/>
          <w:sz w:val="21"/>
          <w:szCs w:val="21"/>
          <w14:ligatures w14:val="none"/>
        </w:rPr>
        <w:t xml:space="preserve"> Federating a third-party SaaS application to your IdP addresses </w:t>
      </w:r>
      <w:r w:rsidRPr="00A54C6D">
        <w:rPr>
          <w:rFonts w:ascii="Segoe UI" w:eastAsia="Times New Roman" w:hAnsi="Segoe UI" w:cs="Segoe UI"/>
          <w:b/>
          <w:bCs/>
          <w:kern w:val="0"/>
          <w:sz w:val="21"/>
          <w:szCs w:val="21"/>
          <w14:ligatures w14:val="none"/>
        </w:rPr>
        <w:t>technical conditions</w:t>
      </w:r>
      <w:r w:rsidRPr="00A54C6D">
        <w:rPr>
          <w:rFonts w:ascii="Segoe UI" w:eastAsia="Times New Roman" w:hAnsi="Segoe UI" w:cs="Segoe UI"/>
          <w:kern w:val="0"/>
          <w:sz w:val="21"/>
          <w:szCs w:val="21"/>
          <w14:ligatures w14:val="none"/>
        </w:rPr>
        <w:t xml:space="preserve"> for using that external system securely (for instance, you only allow enterprise data in SaaS apps that support centralized authentication and provisioning). This maps to </w:t>
      </w:r>
      <w:r w:rsidRPr="00A54C6D">
        <w:rPr>
          <w:rFonts w:ascii="Segoe UI" w:eastAsia="Times New Roman" w:hAnsi="Segoe UI" w:cs="Segoe UI"/>
          <w:b/>
          <w:bCs/>
          <w:kern w:val="0"/>
          <w:sz w:val="21"/>
          <w:szCs w:val="21"/>
          <w14:ligatures w14:val="none"/>
        </w:rPr>
        <w:t>AC-20 (Use of External Systems)</w:t>
      </w:r>
      <w:r w:rsidRPr="00A54C6D">
        <w:rPr>
          <w:rFonts w:ascii="Segoe UI" w:eastAsia="Times New Roman" w:hAnsi="Segoe UI" w:cs="Segoe UI"/>
          <w:kern w:val="0"/>
          <w:sz w:val="21"/>
          <w:szCs w:val="21"/>
          <w14:ligatures w14:val="none"/>
        </w:rPr>
        <w:t xml:space="preserve">, which requires establishing terms and controls for using systems outside the organization’s direct control. By leveraging SSO and SCIM, the organization is effectively imposing certain security requirements on the external service (e.g. the service must trust the enterprise IdP for logins, and user accounts must be managed by the enterprise). However, NIST also expects formal governance around external services – such as </w:t>
      </w:r>
      <w:r w:rsidRPr="00A54C6D">
        <w:rPr>
          <w:rFonts w:ascii="Segoe UI" w:eastAsia="Times New Roman" w:hAnsi="Segoe UI" w:cs="Segoe UI"/>
          <w:b/>
          <w:bCs/>
          <w:kern w:val="0"/>
          <w:sz w:val="21"/>
          <w:szCs w:val="21"/>
          <w14:ligatures w14:val="none"/>
        </w:rPr>
        <w:t>SA-9 (External System Services)</w:t>
      </w:r>
      <w:r w:rsidRPr="00A54C6D">
        <w:rPr>
          <w:rFonts w:ascii="Segoe UI" w:eastAsia="Times New Roman" w:hAnsi="Segoe UI" w:cs="Segoe UI"/>
          <w:kern w:val="0"/>
          <w:sz w:val="21"/>
          <w:szCs w:val="21"/>
          <w14:ligatures w14:val="none"/>
        </w:rPr>
        <w:t xml:space="preserve">, which calls for due diligence in assessing service providers’ security controls and documenting responsibilities in agreements. The Microsoft Entra integration guides do </w:t>
      </w:r>
      <w:r w:rsidRPr="00A54C6D">
        <w:rPr>
          <w:rFonts w:ascii="Segoe UI" w:eastAsia="Times New Roman" w:hAnsi="Segoe UI" w:cs="Segoe UI"/>
          <w:b/>
          <w:bCs/>
          <w:kern w:val="0"/>
          <w:sz w:val="21"/>
          <w:szCs w:val="21"/>
          <w14:ligatures w14:val="none"/>
        </w:rPr>
        <w:t>not address vendor risk assessments, contractual terms, or compliance obligations of the SaaS provider</w:t>
      </w:r>
      <w:r w:rsidRPr="00A54C6D">
        <w:rPr>
          <w:rFonts w:ascii="Segoe UI" w:eastAsia="Times New Roman" w:hAnsi="Segoe UI" w:cs="Segoe UI"/>
          <w:kern w:val="0"/>
          <w:sz w:val="21"/>
          <w:szCs w:val="21"/>
          <w14:ligatures w14:val="none"/>
        </w:rPr>
        <w:t>. Those aspects (e.g. ensuring the SaaS app is FedRAMP authorized or meets equivalent controls, per your organizational policy) need to be handled via procurement and vendor management processes outside the scope of the SSO/provisioning setup.</w:t>
      </w:r>
    </w:p>
    <w:p w14:paraId="086F09E8" w14:textId="77777777" w:rsidR="00A54C6D" w:rsidRPr="00A54C6D" w:rsidRDefault="00A54C6D" w:rsidP="00A54C6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b/>
          <w:bCs/>
          <w:kern w:val="0"/>
          <w:sz w:val="21"/>
          <w:szCs w:val="21"/>
          <w14:ligatures w14:val="none"/>
        </w:rPr>
        <w:t>Access Reviews &amp; Ongoing Governance (AC-2(5), AC-2(7), PE, etc.):</w:t>
      </w:r>
      <w:r w:rsidRPr="00A54C6D">
        <w:rPr>
          <w:rFonts w:ascii="Segoe UI" w:eastAsia="Times New Roman" w:hAnsi="Segoe UI" w:cs="Segoe UI"/>
          <w:kern w:val="0"/>
          <w:sz w:val="21"/>
          <w:szCs w:val="21"/>
          <w14:ligatures w14:val="none"/>
        </w:rPr>
        <w:t xml:space="preserve"> The documentation page refers to </w:t>
      </w:r>
      <w:r w:rsidRPr="00A54C6D">
        <w:rPr>
          <w:rFonts w:ascii="Segoe UI" w:eastAsia="Times New Roman" w:hAnsi="Segoe UI" w:cs="Segoe UI"/>
          <w:b/>
          <w:bCs/>
          <w:kern w:val="0"/>
          <w:sz w:val="21"/>
          <w:szCs w:val="21"/>
          <w14:ligatures w14:val="none"/>
        </w:rPr>
        <w:t>Microsoft Entra ID Governance</w:t>
      </w:r>
      <w:r w:rsidRPr="00A54C6D">
        <w:rPr>
          <w:rFonts w:ascii="Segoe UI" w:eastAsia="Times New Roman" w:hAnsi="Segoe UI" w:cs="Segoe UI"/>
          <w:kern w:val="0"/>
          <w:sz w:val="21"/>
          <w:szCs w:val="21"/>
          <w14:ligatures w14:val="none"/>
        </w:rPr>
        <w:t xml:space="preserve"> integrations, indicating support for features like automated access reviews, separation-of-duty policies, and periodic re-certification of user access. Such features would map to NIST enhancements like </w:t>
      </w:r>
      <w:r w:rsidRPr="00A54C6D">
        <w:rPr>
          <w:rFonts w:ascii="Segoe UI" w:eastAsia="Times New Roman" w:hAnsi="Segoe UI" w:cs="Segoe UI"/>
          <w:b/>
          <w:bCs/>
          <w:kern w:val="0"/>
          <w:sz w:val="21"/>
          <w:szCs w:val="21"/>
          <w14:ligatures w14:val="none"/>
        </w:rPr>
        <w:t>AC-2(5)</w:t>
      </w:r>
      <w:r w:rsidRPr="00A54C6D">
        <w:rPr>
          <w:rFonts w:ascii="Segoe UI" w:eastAsia="Times New Roman" w:hAnsi="Segoe UI" w:cs="Segoe UI"/>
          <w:kern w:val="0"/>
          <w:sz w:val="21"/>
          <w:szCs w:val="21"/>
          <w14:ligatures w14:val="none"/>
        </w:rPr>
        <w:t xml:space="preserve"> (Account Monitoring for inappropriate/unauthorized accounts) and controls in the </w:t>
      </w:r>
      <w:r w:rsidRPr="00A54C6D">
        <w:rPr>
          <w:rFonts w:ascii="Segoe UI" w:eastAsia="Times New Roman" w:hAnsi="Segoe UI" w:cs="Segoe UI"/>
          <w:b/>
          <w:bCs/>
          <w:kern w:val="0"/>
          <w:sz w:val="21"/>
          <w:szCs w:val="21"/>
          <w14:ligatures w14:val="none"/>
        </w:rPr>
        <w:t>Planning (PL) or Audit (AU)</w:t>
      </w:r>
      <w:r w:rsidRPr="00A54C6D">
        <w:rPr>
          <w:rFonts w:ascii="Segoe UI" w:eastAsia="Times New Roman" w:hAnsi="Segoe UI" w:cs="Segoe UI"/>
          <w:kern w:val="0"/>
          <w:sz w:val="21"/>
          <w:szCs w:val="21"/>
          <w14:ligatures w14:val="none"/>
        </w:rPr>
        <w:t xml:space="preserve"> families requiring continuous monitoring of account status. But the tutorial list itself does not detail these capabilities. Likewise, NIST controls outside of the identity/access domain – e.g. </w:t>
      </w:r>
      <w:r w:rsidRPr="00A54C6D">
        <w:rPr>
          <w:rFonts w:ascii="Segoe UI" w:eastAsia="Times New Roman" w:hAnsi="Segoe UI" w:cs="Segoe UI"/>
          <w:b/>
          <w:bCs/>
          <w:kern w:val="0"/>
          <w:sz w:val="21"/>
          <w:szCs w:val="21"/>
          <w14:ligatures w14:val="none"/>
        </w:rPr>
        <w:t>Awareness and Training (AT)</w:t>
      </w:r>
      <w:r w:rsidRPr="00A54C6D">
        <w:rPr>
          <w:rFonts w:ascii="Segoe UI" w:eastAsia="Times New Roman" w:hAnsi="Segoe UI" w:cs="Segoe UI"/>
          <w:kern w:val="0"/>
          <w:sz w:val="21"/>
          <w:szCs w:val="21"/>
          <w14:ligatures w14:val="none"/>
        </w:rPr>
        <w:t xml:space="preserve">, </w:t>
      </w:r>
      <w:r w:rsidRPr="00A54C6D">
        <w:rPr>
          <w:rFonts w:ascii="Segoe UI" w:eastAsia="Times New Roman" w:hAnsi="Segoe UI" w:cs="Segoe UI"/>
          <w:b/>
          <w:bCs/>
          <w:kern w:val="0"/>
          <w:sz w:val="21"/>
          <w:szCs w:val="21"/>
          <w14:ligatures w14:val="none"/>
        </w:rPr>
        <w:t>Physical and Environmental Protection (PE)</w:t>
      </w:r>
      <w:r w:rsidRPr="00A54C6D">
        <w:rPr>
          <w:rFonts w:ascii="Segoe UI" w:eastAsia="Times New Roman" w:hAnsi="Segoe UI" w:cs="Segoe UI"/>
          <w:kern w:val="0"/>
          <w:sz w:val="21"/>
          <w:szCs w:val="21"/>
          <w14:ligatures w14:val="none"/>
        </w:rPr>
        <w:t xml:space="preserve">, or </w:t>
      </w:r>
      <w:r w:rsidRPr="00A54C6D">
        <w:rPr>
          <w:rFonts w:ascii="Segoe UI" w:eastAsia="Times New Roman" w:hAnsi="Segoe UI" w:cs="Segoe UI"/>
          <w:b/>
          <w:bCs/>
          <w:kern w:val="0"/>
          <w:sz w:val="21"/>
          <w:szCs w:val="21"/>
          <w14:ligatures w14:val="none"/>
        </w:rPr>
        <w:t>Contingency Planning (CP)</w:t>
      </w:r>
      <w:r w:rsidRPr="00A54C6D">
        <w:rPr>
          <w:rFonts w:ascii="Segoe UI" w:eastAsia="Times New Roman" w:hAnsi="Segoe UI" w:cs="Segoe UI"/>
          <w:kern w:val="0"/>
          <w:sz w:val="21"/>
          <w:szCs w:val="21"/>
          <w14:ligatures w14:val="none"/>
        </w:rPr>
        <w:t xml:space="preserve"> – are not relevant to an app integration guide and are not covered at all. An organization pursuing full compliance must ensure those controls are addressed via other policies, training, and system safeguards.</w:t>
      </w:r>
    </w:p>
    <w:p w14:paraId="26DBB198"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In summary, the Microsoft Entra SaaS app integration series serves as a </w:t>
      </w:r>
      <w:r w:rsidRPr="00A54C6D">
        <w:rPr>
          <w:rFonts w:ascii="Segoe UI" w:eastAsia="Times New Roman" w:hAnsi="Segoe UI" w:cs="Segoe UI"/>
          <w:b/>
          <w:bCs/>
          <w:kern w:val="0"/>
          <w:sz w:val="21"/>
          <w:szCs w:val="21"/>
          <w14:ligatures w14:val="none"/>
        </w:rPr>
        <w:t>strong enabler for meeting technical security controls</w:t>
      </w:r>
      <w:r w:rsidRPr="00A54C6D">
        <w:rPr>
          <w:rFonts w:ascii="Segoe UI" w:eastAsia="Times New Roman" w:hAnsi="Segoe UI" w:cs="Segoe UI"/>
          <w:kern w:val="0"/>
          <w:sz w:val="21"/>
          <w:szCs w:val="21"/>
          <w14:ligatures w14:val="none"/>
        </w:rPr>
        <w:t xml:space="preserve"> related to </w:t>
      </w:r>
      <w:r w:rsidRPr="00A54C6D">
        <w:rPr>
          <w:rFonts w:ascii="Segoe UI" w:eastAsia="Times New Roman" w:hAnsi="Segoe UI" w:cs="Segoe UI"/>
          <w:b/>
          <w:bCs/>
          <w:kern w:val="0"/>
          <w:sz w:val="21"/>
          <w:szCs w:val="21"/>
          <w14:ligatures w14:val="none"/>
        </w:rPr>
        <w:t>identity and access management</w:t>
      </w:r>
      <w:r w:rsidRPr="00A54C6D">
        <w:rPr>
          <w:rFonts w:ascii="Segoe UI" w:eastAsia="Times New Roman" w:hAnsi="Segoe UI" w:cs="Segoe UI"/>
          <w:kern w:val="0"/>
          <w:sz w:val="21"/>
          <w:szCs w:val="21"/>
          <w14:ligatures w14:val="none"/>
        </w:rPr>
        <w:t xml:space="preserve">. It helps implement central </w:t>
      </w:r>
      <w:r w:rsidRPr="00A54C6D">
        <w:rPr>
          <w:rFonts w:ascii="Segoe UI" w:eastAsia="Times New Roman" w:hAnsi="Segoe UI" w:cs="Segoe UI"/>
          <w:b/>
          <w:bCs/>
          <w:kern w:val="0"/>
          <w:sz w:val="21"/>
          <w:szCs w:val="21"/>
          <w14:ligatures w14:val="none"/>
        </w:rPr>
        <w:t>SSO</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user provisioning</w:t>
      </w:r>
      <w:r w:rsidRPr="00A54C6D">
        <w:rPr>
          <w:rFonts w:ascii="Segoe UI" w:eastAsia="Times New Roman" w:hAnsi="Segoe UI" w:cs="Segoe UI"/>
          <w:kern w:val="0"/>
          <w:sz w:val="21"/>
          <w:szCs w:val="21"/>
          <w14:ligatures w14:val="none"/>
        </w:rPr>
        <w:t xml:space="preserve">, which directly supports NIST requirements for controlled account management and authentication (notably </w:t>
      </w:r>
      <w:r w:rsidRPr="00A54C6D">
        <w:rPr>
          <w:rFonts w:ascii="Segoe UI" w:eastAsia="Times New Roman" w:hAnsi="Segoe UI" w:cs="Segoe UI"/>
          <w:b/>
          <w:bCs/>
          <w:kern w:val="0"/>
          <w:sz w:val="21"/>
          <w:szCs w:val="21"/>
          <w14:ligatures w14:val="none"/>
        </w:rPr>
        <w:t>AC-2</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IA-2(10)</w:t>
      </w:r>
      <w:r w:rsidRPr="00A54C6D">
        <w:rPr>
          <w:rFonts w:ascii="Segoe UI" w:eastAsia="Times New Roman" w:hAnsi="Segoe UI" w:cs="Segoe UI"/>
          <w:kern w:val="0"/>
          <w:sz w:val="21"/>
          <w:szCs w:val="21"/>
          <w14:ligatures w14:val="none"/>
        </w:rPr>
        <w:t xml:space="preserve">) and aligns with the </w:t>
      </w:r>
      <w:r w:rsidRPr="00A54C6D">
        <w:rPr>
          <w:rFonts w:ascii="Segoe UI" w:eastAsia="Times New Roman" w:hAnsi="Segoe UI" w:cs="Segoe UI"/>
          <w:b/>
          <w:bCs/>
          <w:kern w:val="0"/>
          <w:sz w:val="21"/>
          <w:szCs w:val="21"/>
          <w14:ligatures w14:val="none"/>
        </w:rPr>
        <w:t>Zero Trust model</w:t>
      </w:r>
      <w:r w:rsidRPr="00A54C6D">
        <w:rPr>
          <w:rFonts w:ascii="Segoe UI" w:eastAsia="Times New Roman" w:hAnsi="Segoe UI" w:cs="Segoe UI"/>
          <w:kern w:val="0"/>
          <w:sz w:val="21"/>
          <w:szCs w:val="21"/>
          <w14:ligatures w14:val="none"/>
        </w:rPr>
        <w:t xml:space="preserve"> of unified identity-driven security. The ability to enforce single sign-on for all corporate apps and to automatically provision/deprovision accounts reduces the likelihood of orphaned accounts or disparate credentials, addressing concerns in </w:t>
      </w:r>
      <w:r w:rsidRPr="00A54C6D">
        <w:rPr>
          <w:rFonts w:ascii="Segoe UI" w:eastAsia="Times New Roman" w:hAnsi="Segoe UI" w:cs="Segoe UI"/>
          <w:b/>
          <w:bCs/>
          <w:kern w:val="0"/>
          <w:sz w:val="21"/>
          <w:szCs w:val="21"/>
          <w14:ligatures w14:val="none"/>
        </w:rPr>
        <w:t>AC-2, IA-4, and even PS-4/PS-5</w:t>
      </w:r>
      <w:r w:rsidRPr="00A54C6D">
        <w:rPr>
          <w:rFonts w:ascii="Segoe UI" w:eastAsia="Times New Roman" w:hAnsi="Segoe UI" w:cs="Segoe UI"/>
          <w:kern w:val="0"/>
          <w:sz w:val="21"/>
          <w:szCs w:val="21"/>
          <w14:ligatures w14:val="none"/>
        </w:rPr>
        <w:t xml:space="preserve"> (timely removal of access upon termination or role change). Organizations can further leverage Entra’s features to require MFA and device-based Conditional Access for these apps, bolstering compliance with </w:t>
      </w:r>
      <w:r w:rsidRPr="00A54C6D">
        <w:rPr>
          <w:rFonts w:ascii="Segoe UI" w:eastAsia="Times New Roman" w:hAnsi="Segoe UI" w:cs="Segoe UI"/>
          <w:b/>
          <w:bCs/>
          <w:kern w:val="0"/>
          <w:sz w:val="21"/>
          <w:szCs w:val="21"/>
          <w14:ligatures w14:val="none"/>
        </w:rPr>
        <w:t>IA-2</w:t>
      </w:r>
      <w:r w:rsidRPr="00A54C6D">
        <w:rPr>
          <w:rFonts w:ascii="Segoe UI" w:eastAsia="Times New Roman" w:hAnsi="Segoe UI" w:cs="Segoe UI"/>
          <w:kern w:val="0"/>
          <w:sz w:val="21"/>
          <w:szCs w:val="21"/>
          <w14:ligatures w14:val="none"/>
        </w:rPr>
        <w:t xml:space="preserve"> enhancements and </w:t>
      </w:r>
      <w:r w:rsidRPr="00A54C6D">
        <w:rPr>
          <w:rFonts w:ascii="Segoe UI" w:eastAsia="Times New Roman" w:hAnsi="Segoe UI" w:cs="Segoe UI"/>
          <w:b/>
          <w:bCs/>
          <w:kern w:val="0"/>
          <w:sz w:val="21"/>
          <w:szCs w:val="21"/>
          <w14:ligatures w14:val="none"/>
        </w:rPr>
        <w:t>AC-17 (Remote Access)</w:t>
      </w:r>
      <w:r w:rsidRPr="00A54C6D">
        <w:rPr>
          <w:rFonts w:ascii="Segoe UI" w:eastAsia="Times New Roman" w:hAnsi="Segoe UI" w:cs="Segoe UI"/>
          <w:kern w:val="0"/>
          <w:sz w:val="21"/>
          <w:szCs w:val="21"/>
          <w14:ligatures w14:val="none"/>
        </w:rPr>
        <w:t xml:space="preserve"> safeguards.</w:t>
      </w:r>
    </w:p>
    <w:p w14:paraId="5538E36B" w14:textId="77777777" w:rsidR="00A54C6D" w:rsidRPr="00A54C6D" w:rsidRDefault="00A54C6D" w:rsidP="00A54C6D">
      <w:pPr>
        <w:spacing w:before="100" w:beforeAutospacing="1" w:after="100" w:afterAutospacing="1"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However, </w:t>
      </w:r>
      <w:r w:rsidRPr="00A54C6D">
        <w:rPr>
          <w:rFonts w:ascii="Segoe UI" w:eastAsia="Times New Roman" w:hAnsi="Segoe UI" w:cs="Segoe UI"/>
          <w:b/>
          <w:bCs/>
          <w:kern w:val="0"/>
          <w:sz w:val="21"/>
          <w:szCs w:val="21"/>
          <w14:ligatures w14:val="none"/>
        </w:rPr>
        <w:t>compliance is not achieved by technology configuration alone</w:t>
      </w:r>
      <w:r w:rsidRPr="00A54C6D">
        <w:rPr>
          <w:rFonts w:ascii="Segoe UI" w:eastAsia="Times New Roman" w:hAnsi="Segoe UI" w:cs="Segoe UI"/>
          <w:kern w:val="0"/>
          <w:sz w:val="21"/>
          <w:szCs w:val="21"/>
          <w14:ligatures w14:val="none"/>
        </w:rPr>
        <w:t xml:space="preserve">. NIST 800-53 places equal emphasis on policies, documentation, and oversight. The Microsoft documentation focuses on “how to” configure SSO and provisioning for dozens of specific applications, but it </w:t>
      </w:r>
      <w:r w:rsidRPr="00A54C6D">
        <w:rPr>
          <w:rFonts w:ascii="Segoe UI" w:eastAsia="Times New Roman" w:hAnsi="Segoe UI" w:cs="Segoe UI"/>
          <w:b/>
          <w:bCs/>
          <w:kern w:val="0"/>
          <w:sz w:val="21"/>
          <w:szCs w:val="21"/>
          <w14:ligatures w14:val="none"/>
        </w:rPr>
        <w:t xml:space="preserve">assumes the </w:t>
      </w:r>
      <w:r w:rsidRPr="00A54C6D">
        <w:rPr>
          <w:rFonts w:ascii="Segoe UI" w:eastAsia="Times New Roman" w:hAnsi="Segoe UI" w:cs="Segoe UI"/>
          <w:b/>
          <w:bCs/>
          <w:kern w:val="0"/>
          <w:sz w:val="21"/>
          <w:szCs w:val="21"/>
          <w14:ligatures w14:val="none"/>
        </w:rPr>
        <w:lastRenderedPageBreak/>
        <w:t>existence of an overarching policy</w:t>
      </w:r>
      <w:r w:rsidRPr="00A54C6D">
        <w:rPr>
          <w:rFonts w:ascii="Segoe UI" w:eastAsia="Times New Roman" w:hAnsi="Segoe UI" w:cs="Segoe UI"/>
          <w:kern w:val="0"/>
          <w:sz w:val="21"/>
          <w:szCs w:val="21"/>
          <w14:ligatures w14:val="none"/>
        </w:rPr>
        <w:t xml:space="preserve"> that, for instance, dictates all cloud services must use enterprise SSO and that specifies who approves new app integrations. It also assumes that administrators will utilize Microsoft Entra’s capabilities (like access reviews, activity logs, and Conditional Access) to fulfill controls around monitoring and restricting access – those tasks are mentioned in concept but left to the reader to implement properly. Therefore, for a </w:t>
      </w:r>
      <w:r w:rsidRPr="00A54C6D">
        <w:rPr>
          <w:rFonts w:ascii="Segoe UI" w:eastAsia="Times New Roman" w:hAnsi="Segoe UI" w:cs="Segoe UI"/>
          <w:b/>
          <w:bCs/>
          <w:kern w:val="0"/>
          <w:sz w:val="21"/>
          <w:szCs w:val="21"/>
          <w14:ligatures w14:val="none"/>
        </w:rPr>
        <w:t>comprehensive NIST SP 800-53 compliance and gap assessment</w:t>
      </w:r>
      <w:r w:rsidRPr="00A54C6D">
        <w:rPr>
          <w:rFonts w:ascii="Segoe UI" w:eastAsia="Times New Roman" w:hAnsi="Segoe UI" w:cs="Segoe UI"/>
          <w:kern w:val="0"/>
          <w:sz w:val="21"/>
          <w:szCs w:val="21"/>
          <w14:ligatures w14:val="none"/>
        </w:rPr>
        <w:t xml:space="preserve">, one should treat the Entra ID SaaS app integration guides as </w:t>
      </w:r>
      <w:r w:rsidRPr="00A54C6D">
        <w:rPr>
          <w:rFonts w:ascii="Segoe UI" w:eastAsia="Times New Roman" w:hAnsi="Segoe UI" w:cs="Segoe UI"/>
          <w:b/>
          <w:bCs/>
          <w:kern w:val="0"/>
          <w:sz w:val="21"/>
          <w:szCs w:val="21"/>
          <w14:ligatures w14:val="none"/>
        </w:rPr>
        <w:t>addressing the technology portions</w:t>
      </w:r>
      <w:r w:rsidRPr="00A54C6D">
        <w:rPr>
          <w:rFonts w:ascii="Segoe UI" w:eastAsia="Times New Roman" w:hAnsi="Segoe UI" w:cs="Segoe UI"/>
          <w:kern w:val="0"/>
          <w:sz w:val="21"/>
          <w:szCs w:val="21"/>
          <w14:ligatures w14:val="none"/>
        </w:rPr>
        <w:t xml:space="preserve"> of controls in the </w:t>
      </w:r>
      <w:r w:rsidRPr="00A54C6D">
        <w:rPr>
          <w:rFonts w:ascii="Segoe UI" w:eastAsia="Times New Roman" w:hAnsi="Segoe UI" w:cs="Segoe UI"/>
          <w:b/>
          <w:bCs/>
          <w:kern w:val="0"/>
          <w:sz w:val="21"/>
          <w:szCs w:val="21"/>
          <w14:ligatures w14:val="none"/>
        </w:rPr>
        <w:t>AC</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IA families</w:t>
      </w:r>
      <w:r w:rsidRPr="00A54C6D">
        <w:rPr>
          <w:rFonts w:ascii="Segoe UI" w:eastAsia="Times New Roman" w:hAnsi="Segoe UI" w:cs="Segoe UI"/>
          <w:kern w:val="0"/>
          <w:sz w:val="21"/>
          <w:szCs w:val="21"/>
          <w14:ligatures w14:val="none"/>
        </w:rPr>
        <w:t xml:space="preserve"> (with some incidental support for </w:t>
      </w:r>
      <w:r w:rsidRPr="00A54C6D">
        <w:rPr>
          <w:rFonts w:ascii="Segoe UI" w:eastAsia="Times New Roman" w:hAnsi="Segoe UI" w:cs="Segoe UI"/>
          <w:b/>
          <w:bCs/>
          <w:kern w:val="0"/>
          <w:sz w:val="21"/>
          <w:szCs w:val="21"/>
          <w14:ligatures w14:val="none"/>
        </w:rPr>
        <w:t>AU</w:t>
      </w:r>
      <w:r w:rsidRPr="00A54C6D">
        <w:rPr>
          <w:rFonts w:ascii="Segoe UI" w:eastAsia="Times New Roman" w:hAnsi="Segoe UI" w:cs="Segoe UI"/>
          <w:kern w:val="0"/>
          <w:sz w:val="21"/>
          <w:szCs w:val="21"/>
          <w14:ligatures w14:val="none"/>
        </w:rPr>
        <w:t xml:space="preserve"> and </w:t>
      </w:r>
      <w:r w:rsidRPr="00A54C6D">
        <w:rPr>
          <w:rFonts w:ascii="Segoe UI" w:eastAsia="Times New Roman" w:hAnsi="Segoe UI" w:cs="Segoe UI"/>
          <w:b/>
          <w:bCs/>
          <w:kern w:val="0"/>
          <w:sz w:val="21"/>
          <w:szCs w:val="21"/>
          <w14:ligatures w14:val="none"/>
        </w:rPr>
        <w:t>SC</w:t>
      </w:r>
      <w:r w:rsidRPr="00A54C6D">
        <w:rPr>
          <w:rFonts w:ascii="Segoe UI" w:eastAsia="Times New Roman" w:hAnsi="Segoe UI" w:cs="Segoe UI"/>
          <w:kern w:val="0"/>
          <w:sz w:val="21"/>
          <w:szCs w:val="21"/>
          <w14:ligatures w14:val="none"/>
        </w:rPr>
        <w:t xml:space="preserve"> controls), while identifying that </w:t>
      </w:r>
      <w:r w:rsidRPr="00A54C6D">
        <w:rPr>
          <w:rFonts w:ascii="Segoe UI" w:eastAsia="Times New Roman" w:hAnsi="Segoe UI" w:cs="Segoe UI"/>
          <w:b/>
          <w:bCs/>
          <w:kern w:val="0"/>
          <w:sz w:val="21"/>
          <w:szCs w:val="21"/>
          <w14:ligatures w14:val="none"/>
        </w:rPr>
        <w:t>gaps remain in areas such as policy documentation, third-party risk management, auditing, and continuous monitoring</w:t>
      </w:r>
      <w:r w:rsidRPr="00A54C6D">
        <w:rPr>
          <w:rFonts w:ascii="Segoe UI" w:eastAsia="Times New Roman" w:hAnsi="Segoe UI" w:cs="Segoe UI"/>
          <w:kern w:val="0"/>
          <w:sz w:val="21"/>
          <w:szCs w:val="21"/>
          <w14:ligatures w14:val="none"/>
        </w:rPr>
        <w:t>. By pairing these technical integrations with robust IAM governance processes and controls (many of which may be implemented via additional Microsoft tools like Entra ID Governance, Conditional Access, and Sentinel logging), an organization can confidently close the loop on NIST control requirements and ensure that connecting a SaaS application to Entra ID truly strengthens its security and compliance posture.</w:t>
      </w:r>
    </w:p>
    <w:p w14:paraId="0279597D" w14:textId="77777777" w:rsidR="00A54C6D" w:rsidRPr="00A54C6D" w:rsidRDefault="00A54C6D" w:rsidP="00A54C6D">
      <w:pPr>
        <w:spacing w:after="0" w:line="300" w:lineRule="atLeast"/>
        <w:rPr>
          <w:rFonts w:ascii="Segoe UI Semibold" w:eastAsia="Times New Roman" w:hAnsi="Segoe UI Semibold" w:cs="Segoe UI Semibold"/>
          <w:b/>
          <w:bCs/>
          <w:kern w:val="0"/>
          <w:sz w:val="18"/>
          <w:szCs w:val="18"/>
          <w14:ligatures w14:val="none"/>
        </w:rPr>
      </w:pPr>
      <w:r w:rsidRPr="00A54C6D">
        <w:rPr>
          <w:rFonts w:ascii="Segoe UI Semibold" w:eastAsia="Times New Roman" w:hAnsi="Segoe UI Semibold" w:cs="Segoe UI Semibold"/>
          <w:b/>
          <w:bCs/>
          <w:kern w:val="0"/>
          <w:sz w:val="18"/>
          <w:szCs w:val="18"/>
          <w14:ligatures w14:val="none"/>
        </w:rPr>
        <w:br/>
        <w:t>References</w:t>
      </w:r>
    </w:p>
    <w:p w14:paraId="046ACD2E"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[1] </w:t>
      </w:r>
      <w:hyperlink r:id="rId6" w:history="1">
        <w:r w:rsidRPr="00A54C6D">
          <w:rPr>
            <w:rFonts w:ascii="Segoe UI" w:eastAsia="Times New Roman" w:hAnsi="Segoe UI" w:cs="Segoe UI"/>
            <w:color w:val="464FEB"/>
            <w:kern w:val="0"/>
            <w:sz w:val="21"/>
            <w:szCs w:val="21"/>
            <w14:ligatures w14:val="none"/>
          </w:rPr>
          <w:t>SaaS App configuration guides for Microsoft Entra ID - Microsoft Entra ID | Microsoft Learn</w:t>
        </w:r>
      </w:hyperlink>
    </w:p>
    <w:p w14:paraId="104E1D1B"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[2] </w:t>
      </w:r>
      <w:hyperlink r:id="rId7" w:history="1">
        <w:r w:rsidRPr="00A54C6D">
          <w:rPr>
            <w:rFonts w:ascii="Segoe UI" w:eastAsia="Times New Roman" w:hAnsi="Segoe UI" w:cs="Segoe UI"/>
            <w:color w:val="464FEB"/>
            <w:kern w:val="0"/>
            <w:sz w:val="21"/>
            <w:szCs w:val="21"/>
            <w14:ligatures w14:val="none"/>
          </w:rPr>
          <w:t>NIST 800-53 SCIM Provisioning: Automating Compliance from Day One</w:t>
        </w:r>
      </w:hyperlink>
    </w:p>
    <w:p w14:paraId="1FBF528B"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[3] </w:t>
      </w:r>
      <w:hyperlink r:id="rId8" w:history="1">
        <w:r w:rsidRPr="00A54C6D">
          <w:rPr>
            <w:rFonts w:ascii="Segoe UI" w:eastAsia="Times New Roman" w:hAnsi="Segoe UI" w:cs="Segoe UI"/>
            <w:color w:val="464FEB"/>
            <w:kern w:val="0"/>
            <w:sz w:val="21"/>
            <w:szCs w:val="21"/>
            <w14:ligatures w14:val="none"/>
          </w:rPr>
          <w:t>What is application management? - Microsoft Entra ID | Microsoft Learn</w:t>
        </w:r>
      </w:hyperlink>
    </w:p>
    <w:p w14:paraId="09CE5C81"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[4] </w:t>
      </w:r>
      <w:hyperlink r:id="rId9" w:history="1">
        <w:r w:rsidRPr="00A54C6D">
          <w:rPr>
            <w:rFonts w:ascii="Segoe UI" w:eastAsia="Times New Roman" w:hAnsi="Segoe UI" w:cs="Segoe UI"/>
            <w:color w:val="464FEB"/>
            <w:kern w:val="0"/>
            <w:sz w:val="21"/>
            <w:szCs w:val="21"/>
            <w14:ligatures w14:val="none"/>
          </w:rPr>
          <w:t>Regulatory Compliance details for NIST SP 800-53 Rev. 5 - Azure Policy | Microsoft Learn</w:t>
        </w:r>
      </w:hyperlink>
    </w:p>
    <w:p w14:paraId="4CBF6CF5"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[5] </w:t>
      </w:r>
      <w:hyperlink r:id="rId10" w:history="1">
        <w:r w:rsidRPr="00A54C6D">
          <w:rPr>
            <w:rFonts w:ascii="Segoe UI" w:eastAsia="Times New Roman" w:hAnsi="Segoe UI" w:cs="Segoe UI"/>
            <w:color w:val="464FEB"/>
            <w:kern w:val="0"/>
            <w:sz w:val="21"/>
            <w:szCs w:val="21"/>
            <w14:ligatures w14:val="none"/>
          </w:rPr>
          <w:t>Configure AWS Single-Account Access for Single sign-on with Microsoft Entra ID - Microsoft Entra ID | Microsoft Learn</w:t>
        </w:r>
      </w:hyperlink>
    </w:p>
    <w:p w14:paraId="66C3DC04"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[6] </w:t>
      </w:r>
      <w:hyperlink r:id="rId11" w:history="1">
        <w:r w:rsidRPr="00A54C6D">
          <w:rPr>
            <w:rFonts w:ascii="Segoe UI" w:eastAsia="Times New Roman" w:hAnsi="Segoe UI" w:cs="Segoe UI"/>
            <w:color w:val="464FEB"/>
            <w:kern w:val="0"/>
            <w:sz w:val="21"/>
            <w:szCs w:val="21"/>
            <w14:ligatures w14:val="none"/>
          </w:rPr>
          <w:t>NIST SP 800-53: IA-2 (10): Single Sign-on | Daydream</w:t>
        </w:r>
      </w:hyperlink>
    </w:p>
    <w:p w14:paraId="02DC61EB" w14:textId="77777777" w:rsidR="00A54C6D" w:rsidRPr="00A54C6D" w:rsidRDefault="00A54C6D" w:rsidP="00A54C6D">
      <w:pPr>
        <w:spacing w:after="0" w:line="300" w:lineRule="atLeast"/>
        <w:rPr>
          <w:rFonts w:ascii="Segoe UI" w:eastAsia="Times New Roman" w:hAnsi="Segoe UI" w:cs="Segoe UI"/>
          <w:kern w:val="0"/>
          <w:sz w:val="21"/>
          <w:szCs w:val="21"/>
          <w14:ligatures w14:val="none"/>
        </w:rPr>
      </w:pPr>
      <w:r w:rsidRPr="00A54C6D">
        <w:rPr>
          <w:rFonts w:ascii="Segoe UI" w:eastAsia="Times New Roman" w:hAnsi="Segoe UI" w:cs="Segoe UI"/>
          <w:kern w:val="0"/>
          <w:sz w:val="21"/>
          <w:szCs w:val="21"/>
          <w14:ligatures w14:val="none"/>
        </w:rPr>
        <w:t xml:space="preserve">[7] </w:t>
      </w:r>
      <w:hyperlink r:id="rId12" w:history="1">
        <w:r w:rsidRPr="00A54C6D">
          <w:rPr>
            <w:rFonts w:ascii="Segoe UI" w:eastAsia="Times New Roman" w:hAnsi="Segoe UI" w:cs="Segoe UI"/>
            <w:color w:val="464FEB"/>
            <w:kern w:val="0"/>
            <w:sz w:val="21"/>
            <w:szCs w:val="21"/>
            <w14:ligatures w14:val="none"/>
          </w:rPr>
          <w:t>AC-20: Use of External Systems - CSF Tools</w:t>
        </w:r>
      </w:hyperlink>
    </w:p>
    <w:p w14:paraId="288938F1" w14:textId="77777777" w:rsidR="00DB29E0" w:rsidRDefault="00DB29E0"/>
    <w:sectPr w:rsidR="00DB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6A9C"/>
    <w:multiLevelType w:val="multilevel"/>
    <w:tmpl w:val="492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70F14"/>
    <w:multiLevelType w:val="multilevel"/>
    <w:tmpl w:val="69F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02BA1"/>
    <w:multiLevelType w:val="multilevel"/>
    <w:tmpl w:val="F39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408662">
    <w:abstractNumId w:val="2"/>
  </w:num>
  <w:num w:numId="2" w16cid:durableId="1254629262">
    <w:abstractNumId w:val="0"/>
  </w:num>
  <w:num w:numId="3" w16cid:durableId="97290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6D"/>
    <w:rsid w:val="00317257"/>
    <w:rsid w:val="00365632"/>
    <w:rsid w:val="007F08CF"/>
    <w:rsid w:val="007F6395"/>
    <w:rsid w:val="00A54C6D"/>
    <w:rsid w:val="00AB0C46"/>
    <w:rsid w:val="00DB29E0"/>
    <w:rsid w:val="00E1351C"/>
    <w:rsid w:val="00E9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261E"/>
  <w15:chartTrackingRefBased/>
  <w15:docId w15:val="{9B36F313-8902-41EA-A34A-98797712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C6D"/>
    <w:rPr>
      <w:rFonts w:eastAsiaTheme="majorEastAsia" w:cstheme="majorBidi"/>
      <w:color w:val="272727" w:themeColor="text1" w:themeTint="D8"/>
    </w:rPr>
  </w:style>
  <w:style w:type="paragraph" w:styleId="Title">
    <w:name w:val="Title"/>
    <w:basedOn w:val="Normal"/>
    <w:next w:val="Normal"/>
    <w:link w:val="TitleChar"/>
    <w:uiPriority w:val="10"/>
    <w:qFormat/>
    <w:rsid w:val="00A5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C6D"/>
    <w:pPr>
      <w:spacing w:before="160"/>
      <w:jc w:val="center"/>
    </w:pPr>
    <w:rPr>
      <w:i/>
      <w:iCs/>
      <w:color w:val="404040" w:themeColor="text1" w:themeTint="BF"/>
    </w:rPr>
  </w:style>
  <w:style w:type="character" w:customStyle="1" w:styleId="QuoteChar">
    <w:name w:val="Quote Char"/>
    <w:basedOn w:val="DefaultParagraphFont"/>
    <w:link w:val="Quote"/>
    <w:uiPriority w:val="29"/>
    <w:rsid w:val="00A54C6D"/>
    <w:rPr>
      <w:i/>
      <w:iCs/>
      <w:color w:val="404040" w:themeColor="text1" w:themeTint="BF"/>
    </w:rPr>
  </w:style>
  <w:style w:type="paragraph" w:styleId="ListParagraph">
    <w:name w:val="List Paragraph"/>
    <w:basedOn w:val="Normal"/>
    <w:uiPriority w:val="34"/>
    <w:qFormat/>
    <w:rsid w:val="00A54C6D"/>
    <w:pPr>
      <w:ind w:left="720"/>
      <w:contextualSpacing/>
    </w:pPr>
  </w:style>
  <w:style w:type="character" w:styleId="IntenseEmphasis">
    <w:name w:val="Intense Emphasis"/>
    <w:basedOn w:val="DefaultParagraphFont"/>
    <w:uiPriority w:val="21"/>
    <w:qFormat/>
    <w:rsid w:val="00A54C6D"/>
    <w:rPr>
      <w:i/>
      <w:iCs/>
      <w:color w:val="0F4761" w:themeColor="accent1" w:themeShade="BF"/>
    </w:rPr>
  </w:style>
  <w:style w:type="paragraph" w:styleId="IntenseQuote">
    <w:name w:val="Intense Quote"/>
    <w:basedOn w:val="Normal"/>
    <w:next w:val="Normal"/>
    <w:link w:val="IntenseQuoteChar"/>
    <w:uiPriority w:val="30"/>
    <w:qFormat/>
    <w:rsid w:val="00A5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C6D"/>
    <w:rPr>
      <w:i/>
      <w:iCs/>
      <w:color w:val="0F4761" w:themeColor="accent1" w:themeShade="BF"/>
    </w:rPr>
  </w:style>
  <w:style w:type="character" w:styleId="IntenseReference">
    <w:name w:val="Intense Reference"/>
    <w:basedOn w:val="DefaultParagraphFont"/>
    <w:uiPriority w:val="32"/>
    <w:qFormat/>
    <w:rsid w:val="00A54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entra/identity/enterprise-apps/what-is-application-manag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op.dev/blog/nist-800-53-scim-provisioning-automating-compliance-from-day-one" TargetMode="External"/><Relationship Id="rId12" Type="http://schemas.openxmlformats.org/officeDocument/2006/relationships/hyperlink" Target="https://csf.tools/reference/nist-sp-800-53/r5/ac/ac-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entra/identity/saas-apps/tutorial-list" TargetMode="External"/><Relationship Id="rId11" Type="http://schemas.openxmlformats.org/officeDocument/2006/relationships/hyperlink" Target="https://learn.daydream.ai/requirements/nist-sp-800-53-n80053-399" TargetMode="External"/><Relationship Id="rId5" Type="http://schemas.openxmlformats.org/officeDocument/2006/relationships/image" Target="media/image1.png"/><Relationship Id="rId10" Type="http://schemas.openxmlformats.org/officeDocument/2006/relationships/hyperlink" Target="https://learn.microsoft.com/en-us/entra/identity/saas-apps/amazon-web-service-tutorial" TargetMode="External"/><Relationship Id="rId4" Type="http://schemas.openxmlformats.org/officeDocument/2006/relationships/webSettings" Target="webSettings.xml"/><Relationship Id="rId9" Type="http://schemas.openxmlformats.org/officeDocument/2006/relationships/hyperlink" Target="https://learn.microsoft.com/en-us/azure/governance/policy/samples/nist-sp-800-53-r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2125</Words>
  <Characters>12977</Characters>
  <Application>Microsoft Office Word</Application>
  <DocSecurity>0</DocSecurity>
  <Lines>181</Lines>
  <Paragraphs>26</Paragraphs>
  <ScaleCrop>false</ScaleCrop>
  <Company>Social Security Administration</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Stratton, Michael F.</dc:creator>
  <cp:keywords/>
  <dc:description/>
  <cp:lastModifiedBy>Stratton, Michael F.</cp:lastModifiedBy>
  <cp:revision>1</cp:revision>
  <dcterms:created xsi:type="dcterms:W3CDTF">2026-07-14T13:32:00Z</dcterms:created>
  <dcterms:modified xsi:type="dcterms:W3CDTF">2026-07-14T13:33:00Z</dcterms:modified>
</cp:coreProperties>
</file>