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F2F2F2"/>
        <w:spacing w:after="0"/>
      </w:pPr>
      <w:r>
        <w:rPr>
          <w:rFonts w:ascii="Consolas" w:hAnsi="Consolas"/>
          <w:b/>
          <w:color w:val="2E75B6"/>
          <w:sz w:val="20"/>
        </w:rPr>
        <w:t>[DOCUMENT-METADATA]</w:t>
      </w:r>
    </w:p>
    <w:p>
      <w:pPr>
        <w:shd w:val="clear" w:color="auto" w:fill="F2F2F2"/>
        <w:spacing w:after="0"/>
      </w:pPr>
      <w:r>
        <w:rPr>
          <w:rFonts w:ascii="Consolas" w:hAnsi="Consolas"/>
          <w:b/>
          <w:sz w:val="20"/>
        </w:rPr>
        <w:t xml:space="preserve">Document Title: </w:t>
      </w:r>
      <w:r>
        <w:rPr>
          <w:rFonts w:ascii="Consolas" w:hAnsi="Consolas"/>
          <w:sz w:val="20"/>
        </w:rPr>
        <w:t>UIAO Adapter Segmentation Overview</w:t>
      </w:r>
    </w:p>
    <w:p>
      <w:pPr>
        <w:shd w:val="clear" w:color="auto" w:fill="F2F2F2"/>
        <w:spacing w:after="0"/>
      </w:pPr>
      <w:r>
        <w:rPr>
          <w:rFonts w:ascii="Consolas" w:hAnsi="Consolas"/>
          <w:b/>
          <w:sz w:val="20"/>
        </w:rPr>
        <w:t xml:space="preserve">Version: </w:t>
      </w:r>
      <w:r>
        <w:rPr>
          <w:rFonts w:ascii="Consolas" w:hAnsi="Consolas"/>
          <w:sz w:val="20"/>
        </w:rPr>
        <w:t>1.0</w:t>
      </w:r>
    </w:p>
    <w:p>
      <w:pPr>
        <w:shd w:val="clear" w:color="auto" w:fill="F2F2F2"/>
        <w:spacing w:after="0"/>
      </w:pPr>
      <w:r>
        <w:rPr>
          <w:rFonts w:ascii="Consolas" w:hAnsi="Consolas"/>
          <w:b/>
          <w:sz w:val="20"/>
        </w:rPr>
        <w:t xml:space="preserve">Date: </w:t>
      </w:r>
      <w:r>
        <w:rPr>
          <w:rFonts w:ascii="Consolas" w:hAnsi="Consolas"/>
          <w:sz w:val="20"/>
        </w:rPr>
        <w:t>2026-04-13</w:t>
      </w:r>
    </w:p>
    <w:p>
      <w:pPr>
        <w:shd w:val="clear" w:color="auto" w:fill="F2F2F2"/>
        <w:spacing w:after="0"/>
      </w:pPr>
      <w:r>
        <w:rPr>
          <w:rFonts w:ascii="Consolas" w:hAnsi="Consolas"/>
          <w:b/>
          <w:sz w:val="20"/>
        </w:rPr>
        <w:t xml:space="preserve">Author: </w:t>
      </w:r>
      <w:r>
        <w:rPr>
          <w:rFonts w:ascii="Consolas" w:hAnsi="Consolas"/>
          <w:sz w:val="20"/>
        </w:rPr>
        <w:t>Michael Stratton</w:t>
      </w:r>
    </w:p>
    <w:p>
      <w:pPr>
        <w:shd w:val="clear" w:color="auto" w:fill="F2F2F2"/>
        <w:spacing w:after="0"/>
      </w:pPr>
      <w:r>
        <w:rPr>
          <w:rFonts w:ascii="Consolas" w:hAnsi="Consolas"/>
          <w:b/>
          <w:sz w:val="20"/>
        </w:rPr>
        <w:t xml:space="preserve">Classification: </w:t>
      </w:r>
      <w:r>
        <w:rPr>
          <w:rFonts w:ascii="Consolas" w:hAnsi="Consolas"/>
          <w:sz w:val="20"/>
        </w:rPr>
        <w:t>UIAO Canon – Public Release</w:t>
      </w:r>
    </w:p>
    <w:p>
      <w:pPr>
        <w:shd w:val="clear" w:color="auto" w:fill="F2F2F2"/>
        <w:spacing w:after="0"/>
      </w:pPr>
      <w:r>
        <w:rPr>
          <w:rFonts w:ascii="Consolas" w:hAnsi="Consolas"/>
          <w:b/>
          <w:sz w:val="20"/>
        </w:rPr>
        <w:t xml:space="preserve">Compliance: </w:t>
      </w:r>
      <w:r>
        <w:rPr>
          <w:rFonts w:ascii="Consolas" w:hAnsi="Consolas"/>
          <w:sz w:val="20"/>
        </w:rPr>
        <w:t>GCC-Moderate Only</w:t>
      </w:r>
    </w:p>
    <w:p>
      <w:pPr>
        <w:shd w:val="clear" w:color="auto" w:fill="F2F2F2"/>
        <w:spacing w:after="0"/>
      </w:pPr>
      <w:r>
        <w:rPr>
          <w:rFonts w:ascii="Consolas" w:hAnsi="Consolas"/>
          <w:b/>
          <w:sz w:val="20"/>
        </w:rPr>
        <w:t xml:space="preserve">No-Hallucination Mode: </w:t>
      </w:r>
      <w:r>
        <w:rPr>
          <w:rFonts w:ascii="Consolas" w:hAnsi="Consolas"/>
          <w:sz w:val="20"/>
        </w:rPr>
        <w:t>ENABLED</w:t>
      </w:r>
    </w:p>
    <w:p>
      <w:pPr>
        <w:shd w:val="clear" w:color="auto" w:fill="F2F2F2"/>
        <w:spacing w:after="0"/>
      </w:pPr>
      <w:r>
        <w:rPr>
          <w:rFonts w:ascii="Consolas" w:hAnsi="Consolas"/>
          <w:b/>
          <w:color w:val="2E75B6"/>
          <w:sz w:val="20"/>
        </w:rPr>
        <w:t>[/DOCUMENT-METADATA]</w:t>
      </w:r>
    </w:p>
    <w:p>
      <w:pPr>
        <w:spacing w:after="240"/>
      </w:pPr>
      <w:r>
        <w:rPr>
          <w:rFonts w:ascii="Arial" w:hAnsi="Arial"/>
          <w:b w:val="0"/>
          <w:i w:val="0"/>
        </w:rPr>
      </w:r>
    </w:p>
    <w:p>
      <w:pPr>
        <w:spacing w:after="120"/>
      </w:pPr>
      <w:r>
        <w:rPr>
          <w:rFonts w:ascii="Arial" w:hAnsi="Arial"/>
          <w:b/>
          <w:color w:val="1F3864"/>
          <w:sz w:val="44"/>
        </w:rPr>
        <w:t>UIAO Adapter Segmentation Overview</w:t>
      </w:r>
    </w:p>
    <w:p>
      <w:pPr>
        <w:spacing w:after="240"/>
      </w:pPr>
      <w:r>
        <w:rPr>
          <w:rFonts w:ascii="Arial" w:hAnsi="Arial"/>
          <w:b w:val="0"/>
          <w:i/>
          <w:color w:val="5A5A5A"/>
        </w:rPr>
        <w:t>Governance-grade, externally releasable overview of the UIAO adapter segmentation model, produced under the UIAO Canonical Document Specification v1.3.</w:t>
      </w:r>
    </w:p>
    <w:p>
      <w:pPr>
        <w:pStyle w:val="Heading1"/>
        <w:spacing w:before="360" w:after="120"/>
      </w:pPr>
      <w:r>
        <w:rPr>
          <w:rFonts w:ascii="Arial" w:hAnsi="Arial"/>
          <w:b/>
          <w:color w:val="1F3864"/>
          <w:sz w:val="36"/>
        </w:rPr>
        <w:t>Table of Contents</w:t>
      </w:r>
    </w:p>
    <w:p>
      <w:pPr>
        <w:pStyle w:val="ListNumber"/>
      </w:pPr>
      <w:r>
        <w:rPr>
          <w:rFonts w:ascii="Arial" w:hAnsi="Arial"/>
          <w:sz w:val="22"/>
        </w:rPr>
        <w:t>Executive Summary</w:t>
      </w:r>
    </w:p>
    <w:p>
      <w:pPr>
        <w:pStyle w:val="ListNumber"/>
      </w:pPr>
      <w:r>
        <w:rPr>
          <w:rFonts w:ascii="Arial" w:hAnsi="Arial"/>
          <w:sz w:val="22"/>
        </w:rPr>
        <w:t>Context &amp; Problem Statement</w:t>
      </w:r>
    </w:p>
    <w:p>
      <w:pPr>
        <w:pStyle w:val="ListNumber"/>
      </w:pPr>
      <w:r>
        <w:rPr>
          <w:rFonts w:ascii="Arial" w:hAnsi="Arial"/>
          <w:sz w:val="22"/>
        </w:rPr>
        <w:t>Architecture Overview</w:t>
      </w:r>
    </w:p>
    <w:p>
      <w:pPr>
        <w:pStyle w:val="ListNumber"/>
      </w:pPr>
      <w:r>
        <w:rPr>
          <w:rFonts w:ascii="Arial" w:hAnsi="Arial"/>
          <w:sz w:val="22"/>
        </w:rPr>
        <w:t>Detailed Sections</w:t>
      </w:r>
    </w:p>
    <w:p>
      <w:pPr>
        <w:pStyle w:val="ListNumber"/>
      </w:pPr>
      <w:r>
        <w:rPr>
          <w:rFonts w:ascii="Arial" w:hAnsi="Arial"/>
          <w:sz w:val="22"/>
        </w:rPr>
        <w:t>Implementation Guidance</w:t>
      </w:r>
    </w:p>
    <w:p>
      <w:pPr>
        <w:pStyle w:val="ListNumber"/>
      </w:pPr>
      <w:r>
        <w:rPr>
          <w:rFonts w:ascii="Arial" w:hAnsi="Arial"/>
          <w:sz w:val="22"/>
        </w:rPr>
        <w:t>Risks &amp; Mitigations</w:t>
      </w:r>
    </w:p>
    <w:p>
      <w:pPr>
        <w:pStyle w:val="ListNumber"/>
      </w:pPr>
      <w:r>
        <w:rPr>
          <w:rFonts w:ascii="Arial" w:hAnsi="Arial"/>
          <w:sz w:val="22"/>
        </w:rPr>
        <w:t>Appendices (A Definitions, B Object List, C Copy Sections, D References)</w:t>
      </w:r>
    </w:p>
    <w:p>
      <w:pPr>
        <w:pStyle w:val="ListNumber"/>
      </w:pPr>
      <w:r>
        <w:rPr>
          <w:rFonts w:ascii="Arial" w:hAnsi="Arial"/>
          <w:sz w:val="22"/>
        </w:rPr>
        <w:t>Glossary</w:t>
      </w:r>
    </w:p>
    <w:p>
      <w:pPr>
        <w:pStyle w:val="ListNumber"/>
      </w:pPr>
      <w:r>
        <w:rPr>
          <w:rFonts w:ascii="Arial" w:hAnsi="Arial"/>
          <w:sz w:val="22"/>
        </w:rPr>
        <w:t>Footnotes</w:t>
      </w:r>
    </w:p>
    <w:p>
      <w:pPr>
        <w:pStyle w:val="ListNumber"/>
      </w:pPr>
      <w:r>
        <w:rPr>
          <w:rFonts w:ascii="Arial" w:hAnsi="Arial"/>
          <w:sz w:val="22"/>
        </w:rPr>
        <w:t>Validation Block</w:t>
      </w:r>
    </w:p>
    <w:p>
      <w:r>
        <w:br w:type="page"/>
      </w:r>
    </w:p>
    <w:p>
      <w:pPr>
        <w:pStyle w:val="Heading1"/>
        <w:spacing w:before="360" w:after="120"/>
      </w:pPr>
      <w:r>
        <w:rPr>
          <w:rFonts w:ascii="Arial" w:hAnsi="Arial"/>
          <w:b/>
          <w:color w:val="1F3864"/>
          <w:sz w:val="36"/>
        </w:rPr>
        <w:t>1. Executive Summary</w:t>
      </w:r>
    </w:p>
    <w:p>
      <w:pPr>
        <w:spacing w:after="120"/>
      </w:pPr>
      <w:r>
        <w:rPr>
          <w:rFonts w:ascii="Arial" w:hAnsi="Arial"/>
          <w:b w:val="0"/>
          <w:i w:val="0"/>
        </w:rPr>
        <w:t>UIAO organizes its governance of modernized cloud environments into segmented adapter classes that connect the Governance OS to external systems without ever mutating truth. Adapters are plural in class but singular in mission: each class exists to serve SSOT, Identity, and Security. This document is the external-facing overview of that segmentation model.</w:t>
      </w:r>
    </w:p>
    <w:p>
      <w:pPr>
        <w:spacing w:after="120"/>
      </w:pPr>
      <w:r>
        <w:rPr>
          <w:rFonts w:ascii="Arial" w:hAnsi="Arial"/>
          <w:b w:val="0"/>
          <w:i w:val="0"/>
        </w:rPr>
        <w:t>The segmentation is identity-rooted and certificate-anchored. The Single Source of Truth (SSOT) is singular; adapters consume and emit against it but never rewrite it. Identity ensures every adapter transaction is certificate-anchored. Security ensures every adapter interaction remains within the governance perimeter, which for UIAO is GCC-Moderate only, with Amazon Connect Contact Center as the single Commercial Cloud exception.</w:t>
      </w:r>
    </w:p>
    <w:p>
      <w:pPr>
        <w:spacing w:after="120"/>
      </w:pPr>
      <w:r>
        <w:rPr>
          <w:rFonts w:ascii="Arial" w:hAnsi="Arial"/>
          <w:b w:val="0"/>
          <w:i w:val="0"/>
        </w:rPr>
        <w:t>This Overview names the adapter classes referenced in the UIAO canon — Identity, Telemetry, Policy, and Enforcement — and summarizes the mission each class serves. Where the source text does not define a specific behavior, surface, or prohibition for a class, this document flags that content as NEW (Proposed) so that leadership and customers can distinguish canon from proposal.</w:t>
      </w:r>
    </w:p>
    <w:p>
      <w:pPr>
        <w:spacing w:after="120"/>
      </w:pPr>
      <w:r>
        <w:rPr>
          <w:rFonts w:ascii="Arial" w:hAnsi="Arial"/>
          <w:b w:val="0"/>
          <w:i/>
        </w:rPr>
        <w:t>As shown in Diagram 1, the four named adapter classes orbit a singular, certificate-anchored SSOT core.</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[DIAGRAM-01: </w:t>
      </w:r>
      <w:r>
        <w:rPr>
          <w:rFonts w:ascii="Consolas" w:hAnsi="Consolas"/>
          <w:sz w:val="20"/>
        </w:rPr>
        <w:t>A 16:9 muted-blue schematic showing a singular SSOT core at center, four adapter-class nodes labeled Identity, Telemetry, Policy, Enforcement arranged symmetrically around it, directional arrows from each adapter toward the core and back, and a surrounding GCC-Moderate governance perimeter ring. No text baked into the image. Publication-grade.</w:t>
      </w:r>
      <w:r>
        <w:rPr>
          <w:rFonts w:ascii="Consolas" w:hAnsi="Consolas"/>
          <w:b/>
          <w:sz w:val="20"/>
        </w:rPr>
        <w:t>]</w:t>
      </w:r>
    </w:p>
    <w:p>
      <w:pPr>
        <w:pStyle w:val="Heading1"/>
        <w:spacing w:before="360" w:after="120"/>
      </w:pPr>
      <w:r>
        <w:rPr>
          <w:rFonts w:ascii="Arial" w:hAnsi="Arial"/>
          <w:b/>
          <w:color w:val="1F3864"/>
          <w:sz w:val="36"/>
        </w:rPr>
        <w:t>2. Context &amp; Problem Statement</w:t>
      </w:r>
    </w:p>
    <w:p>
      <w:pPr>
        <w:spacing w:after="120"/>
      </w:pPr>
      <w:r>
        <w:rPr>
          <w:rFonts w:ascii="Arial" w:hAnsi="Arial"/>
          <w:b/>
          <w:sz w:val="22"/>
        </w:rPr>
        <w:t xml:space="preserve">The problem: </w:t>
      </w:r>
      <w:r>
        <w:rPr>
          <w:rFonts w:ascii="Arial" w:hAnsi="Arial"/>
          <w:sz w:val="22"/>
        </w:rPr>
        <w:t>Modernized federal cloud environments require a governance model that is deterministic, auditable, and resistant to drift. Without disciplined segmentation, governance responsibilities collapse into overlapping components that mutate shared state, obscure provenance, and make continuous assurance impossible to prove to an external auditor.</w:t>
      </w:r>
    </w:p>
    <w:p>
      <w:pPr>
        <w:spacing w:after="120"/>
      </w:pPr>
      <w:r>
        <w:rPr>
          <w:rFonts w:ascii="Arial" w:hAnsi="Arial"/>
          <w:b/>
          <w:sz w:val="22"/>
        </w:rPr>
        <w:t xml:space="preserve">Why it matters: </w:t>
      </w:r>
      <w:r>
        <w:rPr>
          <w:rFonts w:ascii="Arial" w:hAnsi="Arial"/>
          <w:sz w:val="22"/>
        </w:rPr>
        <w:t>UIAO's external stakeholders — authorizing officials, assessors, customers, and agency leadership — require a clear statement of how the Governance OS is partitioned so that each external artifact can be traced to a specific adapter class and, through that class, to the SSOT. Segmentation is the mechanism by which UIAO makes that traceability possible.</w:t>
      </w:r>
    </w:p>
    <w:p>
      <w:pPr>
        <w:spacing w:after="120"/>
      </w:pPr>
      <w:r>
        <w:rPr>
          <w:rFonts w:ascii="Arial" w:hAnsi="Arial"/>
          <w:b/>
          <w:sz w:val="22"/>
        </w:rPr>
        <w:t xml:space="preserve">Who is affected: </w:t>
      </w:r>
      <w:r>
        <w:rPr>
          <w:rFonts w:ascii="Arial" w:hAnsi="Arial"/>
          <w:sz w:val="22"/>
        </w:rPr>
        <w:t>Agency leadership (for modernization posture), authorizing officials and assessors (for assurance and evidence), customers of UIAO-governed systems (for assurance consumption), and technical leads responsible for integrating UIAO adapters against M365 SaaS surfaces in GCC-Moderate.</w:t>
      </w:r>
    </w:p>
    <w:p>
      <w:pPr>
        <w:spacing w:after="120"/>
      </w:pPr>
      <w:r>
        <w:rPr>
          <w:rFonts w:ascii="Arial" w:hAnsi="Arial"/>
          <w:b/>
          <w:sz w:val="22"/>
        </w:rPr>
        <w:t xml:space="preserve">What constraints apply: </w:t>
      </w:r>
      <w:r>
        <w:rPr>
          <w:rFonts w:ascii="Arial" w:hAnsi="Arial"/>
          <w:sz w:val="22"/>
        </w:rPr>
        <w:t>UIAO operates in GCC-Moderate only. No FedRAMP High. No Azure unless explicitly stated. Amazon Connect Contact Center is the only Commercial Cloud exception. UIAO uses object identity only — no person identity. All adapter behavior is subordinate to SSOT, Identity, and Security.</w:t>
      </w:r>
    </w:p>
    <w:p>
      <w:pPr>
        <w:pStyle w:val="Heading1"/>
        <w:spacing w:before="360" w:after="120"/>
      </w:pPr>
      <w:r>
        <w:rPr>
          <w:rFonts w:ascii="Arial" w:hAnsi="Arial"/>
          <w:b/>
          <w:color w:val="1F3864"/>
          <w:sz w:val="36"/>
        </w:rPr>
        <w:t>3. Architecture Overview</w:t>
      </w:r>
    </w:p>
    <w:p>
      <w:pPr>
        <w:spacing w:after="120"/>
      </w:pPr>
      <w:r>
        <w:rPr>
          <w:rFonts w:ascii="Arial" w:hAnsi="Arial"/>
          <w:b w:val="0"/>
          <w:i w:val="0"/>
        </w:rPr>
        <w:t>The UIAO architecture is governed by five canonical elements that every adapter class must respect:</w:t>
      </w:r>
    </w:p>
    <w:p>
      <w:pPr>
        <w:pStyle w:val="ListNumber"/>
      </w:pPr>
      <w:r>
        <w:rPr>
          <w:rFonts w:ascii="Arial" w:hAnsi="Arial"/>
          <w:sz w:val="22"/>
        </w:rPr>
        <w:t>Boundary model. GCC-Moderate is the sanctioned boundary. Amazon Connect is the sole named Commercial Cloud exception. No other boundary crossings are permitted.</w:t>
      </w:r>
    </w:p>
    <w:p>
      <w:pPr>
        <w:pStyle w:val="ListNumber"/>
      </w:pPr>
      <w:r>
        <w:rPr>
          <w:rFonts w:ascii="Arial" w:hAnsi="Arial"/>
          <w:sz w:val="22"/>
        </w:rPr>
        <w:t>Identity model. Object identity only. No person identity is stored, derived, or processed by any adapter class.</w:t>
      </w:r>
    </w:p>
    <w:p>
      <w:pPr>
        <w:pStyle w:val="ListNumber"/>
      </w:pPr>
      <w:r>
        <w:rPr>
          <w:rFonts w:ascii="Arial" w:hAnsi="Arial"/>
          <w:sz w:val="22"/>
        </w:rPr>
        <w:t>SSOT role. The Single Source of Truth is singular and certificate-anchored. Adapters never mutate truth; they consume from and emit to the SSOT only through certificate-anchored transactions.</w:t>
      </w:r>
    </w:p>
    <w:p>
      <w:pPr>
        <w:pStyle w:val="ListNumber"/>
      </w:pPr>
      <w:r>
        <w:rPr>
          <w:rFonts w:ascii="Arial" w:hAnsi="Arial"/>
          <w:sz w:val="22"/>
        </w:rPr>
        <w:t>Adapter classes. Adapters are plural in class but singular in mission. The named adapter classes in this Overview are Identity, Telemetry, Policy, and Enforcement.</w:t>
      </w:r>
    </w:p>
    <w:p>
      <w:pPr>
        <w:pStyle w:val="ListNumber"/>
      </w:pPr>
      <w:r>
        <w:rPr>
          <w:rFonts w:ascii="Arial" w:hAnsi="Arial"/>
          <w:sz w:val="22"/>
        </w:rPr>
        <w:t>Certificate-anchored provenance. Every adapter transaction carries certificate-anchored provenance so that any downstream artifact can be traced back to its originating identity and SSOT state.</w:t>
      </w:r>
    </w:p>
    <w:p>
      <w:pPr>
        <w:spacing w:after="120"/>
      </w:pPr>
      <w:r>
        <w:rPr>
          <w:rFonts w:ascii="Arial" w:hAnsi="Arial"/>
          <w:b w:val="0"/>
          <w:i/>
        </w:rPr>
        <w:t>See Diagram 2 for the adapter-class arrangement against the SSOT boundary and certificate chain.</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[DIAGRAM-02: </w:t>
      </w:r>
      <w:r>
        <w:rPr>
          <w:rFonts w:ascii="Consolas" w:hAnsi="Consolas"/>
          <w:sz w:val="20"/>
        </w:rPr>
        <w:t>A 16:9 muted-blue schematic showing the SSOT boundary, four adapter classes (Identity, Telemetry, Policy, Enforcement), certificate chain nodes (C1–C4), directional flow arrows, and the Governance OS substrate. No text baked into the image. Publication-grade.</w:t>
      </w:r>
      <w:r>
        <w:rPr>
          <w:rFonts w:ascii="Consolas" w:hAnsi="Consolas"/>
          <w:b/>
          <w:sz w:val="20"/>
        </w:rPr>
        <w:t>]</w:t>
      </w:r>
    </w:p>
    <w:p>
      <w:pPr>
        <w:spacing w:after="120"/>
      </w:pPr>
      <w:r>
        <w:rPr>
          <w:rFonts w:ascii="Arial" w:hAnsi="Arial"/>
          <w:b w:val="0"/>
          <w:i/>
        </w:rPr>
        <w:t>As shown in Table 1, each named adapter class maps to a defined role against SSOT, Identity, and Security.</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[TABLE-01: </w:t>
      </w:r>
      <w:r>
        <w:rPr>
          <w:rFonts w:ascii="Consolas" w:hAnsi="Consolas"/>
          <w:sz w:val="20"/>
        </w:rPr>
        <w:t>A 4-column table mapping adapter classes (Identity, Telemetry, Policy, Enforcement) to their SSOT interaction, Identity interaction, and Security interaction, with a fifth row for the singular mission statement.</w:t>
      </w:r>
      <w:r>
        <w:rPr>
          <w:rFonts w:ascii="Consolas" w:hAnsi="Consolas"/>
          <w:b/>
          <w:sz w:val="20"/>
        </w:rPr>
        <w:t>]</w:t>
      </w:r>
    </w:p>
    <w:p>
      <w:pPr>
        <w:pStyle w:val="Heading1"/>
        <w:spacing w:before="360" w:after="120"/>
      </w:pPr>
      <w:r>
        <w:rPr>
          <w:rFonts w:ascii="Arial" w:hAnsi="Arial"/>
          <w:b/>
          <w:color w:val="1F3864"/>
          <w:sz w:val="36"/>
        </w:rPr>
        <w:t>4. Detailed Sections</w:t>
      </w:r>
    </w:p>
    <w:p>
      <w:pPr>
        <w:pStyle w:val="Heading2"/>
        <w:spacing w:before="240" w:after="120"/>
      </w:pPr>
      <w:r>
        <w:rPr>
          <w:rFonts w:ascii="Arial" w:hAnsi="Arial"/>
          <w:b/>
          <w:color w:val="2E75B6"/>
          <w:sz w:val="28"/>
        </w:rPr>
        <w:t>4.1 Adapter Doctrine</w:t>
      </w:r>
    </w:p>
    <w:p>
      <w:pPr>
        <w:spacing w:after="120"/>
      </w:pPr>
      <w:r>
        <w:rPr>
          <w:rFonts w:ascii="Arial" w:hAnsi="Arial"/>
          <w:b w:val="0"/>
          <w:i w:val="0"/>
        </w:rPr>
        <w:t>Adapters allow UIAO to connect to many classes, but the purpose is always to serve SSOT + Identity + Security.</w:t>
      </w:r>
    </w:p>
    <w:p>
      <w:pPr>
        <w:pStyle w:val="ListBullet"/>
      </w:pPr>
      <w:r>
        <w:rPr>
          <w:rFonts w:ascii="Arial" w:hAnsi="Arial"/>
          <w:sz w:val="22"/>
        </w:rPr>
        <w:t>SSOT ensures deterministic data lineage; adapters never mutate truth.</w:t>
      </w:r>
    </w:p>
    <w:p>
      <w:pPr>
        <w:pStyle w:val="ListBullet"/>
      </w:pPr>
      <w:r>
        <w:rPr>
          <w:rFonts w:ascii="Arial" w:hAnsi="Arial"/>
          <w:sz w:val="22"/>
        </w:rPr>
        <w:t>Identity ensures every transaction is certificate-anchored.</w:t>
      </w:r>
    </w:p>
    <w:p>
      <w:pPr>
        <w:pStyle w:val="ListBullet"/>
      </w:pPr>
      <w:r>
        <w:rPr>
          <w:rFonts w:ascii="Arial" w:hAnsi="Arial"/>
          <w:sz w:val="22"/>
        </w:rPr>
        <w:t>Security ensures all interactions remain within the governance perimeter.</w:t>
      </w:r>
    </w:p>
    <w:p>
      <w:pPr>
        <w:spacing w:after="120"/>
      </w:pPr>
      <w:r>
        <w:rPr>
          <w:rFonts w:ascii="Arial" w:hAnsi="Arial"/>
          <w:b w:val="0"/>
          <w:i w:val="0"/>
        </w:rPr>
        <w:t>Adapters are plural in class but singular in mission.</w:t>
      </w:r>
    </w:p>
    <w:p>
      <w:pPr>
        <w:spacing w:after="240"/>
      </w:pPr>
      <w:r>
        <w:rPr>
          <w:rFonts w:ascii="Arial" w:hAnsi="Arial"/>
          <w:b w:val="0"/>
          <w:i/>
          <w:color w:val="5A5A5A"/>
        </w:rPr>
        <w:t>This doctrine is reproduced verbatim from the UIAO Master Document Specification and is canonical. All class-level content that follows must remain consistent with this doctrine.</w:t>
      </w:r>
    </w:p>
    <w:p>
      <w:pPr>
        <w:pStyle w:val="Heading2"/>
        <w:spacing w:before="240" w:after="120"/>
      </w:pPr>
      <w:r>
        <w:rPr>
          <w:rFonts w:ascii="Arial" w:hAnsi="Arial"/>
          <w:b/>
          <w:color w:val="2E75B6"/>
          <w:sz w:val="28"/>
        </w:rPr>
        <w:t>4.2 Identity Adapter Class</w:t>
      </w:r>
    </w:p>
    <w:p>
      <w:pPr>
        <w:spacing w:after="120"/>
      </w:pPr>
      <w:r>
        <w:rPr>
          <w:rFonts w:ascii="Arial" w:hAnsi="Arial"/>
          <w:b w:val="0"/>
          <w:i w:val="0"/>
        </w:rPr>
        <w:t>The Identity Adapter class is a named adapter class in the UIAO canon. It exists to serve the singular mission of SSOT + Identity + Security and operates only against object identity.</w:t>
      </w:r>
    </w:p>
    <w:p>
      <w:pPr>
        <w:pStyle w:val="Heading3"/>
        <w:spacing w:before="180" w:after="120"/>
      </w:pPr>
      <w:r>
        <w:rPr>
          <w:rFonts w:ascii="Arial" w:hAnsi="Arial"/>
          <w:b/>
          <w:color w:val="5A5A5A"/>
          <w:sz w:val="24"/>
        </w:rPr>
        <w:t>Canonical attributes</w:t>
      </w:r>
    </w:p>
    <w:p>
      <w:pPr>
        <w:pStyle w:val="ListBullet"/>
      </w:pPr>
      <w:r>
        <w:rPr>
          <w:rFonts w:ascii="Arial" w:hAnsi="Arial"/>
          <w:sz w:val="22"/>
        </w:rPr>
        <w:t>Serves SSOT + Identity + Security.</w:t>
      </w:r>
    </w:p>
    <w:p>
      <w:pPr>
        <w:pStyle w:val="ListBullet"/>
      </w:pPr>
      <w:r>
        <w:rPr>
          <w:rFonts w:ascii="Arial" w:hAnsi="Arial"/>
          <w:sz w:val="22"/>
        </w:rPr>
        <w:t>Certificate-anchored: every transaction carries certificate provenance.</w:t>
      </w:r>
    </w:p>
    <w:p>
      <w:pPr>
        <w:pStyle w:val="ListBullet"/>
      </w:pPr>
      <w:r>
        <w:rPr>
          <w:rFonts w:ascii="Arial" w:hAnsi="Arial"/>
          <w:sz w:val="22"/>
        </w:rPr>
        <w:t>Object identity only — no person identity.</w:t>
      </w:r>
    </w:p>
    <w:p>
      <w:pPr>
        <w:pStyle w:val="ListBullet"/>
      </w:pPr>
      <w:r>
        <w:rPr>
          <w:rFonts w:ascii="Arial" w:hAnsi="Arial"/>
          <w:sz w:val="22"/>
        </w:rPr>
        <w:t>Operates within the GCC-Moderate boundary.</w:t>
      </w:r>
    </w:p>
    <w:p>
      <w:pPr>
        <w:pStyle w:val="ListBullet"/>
      </w:pPr>
      <w:r>
        <w:rPr>
          <w:rFonts w:ascii="Arial" w:hAnsi="Arial"/>
          <w:sz w:val="22"/>
        </w:rPr>
        <w:t>Does not mutate SSOT.</w:t>
      </w:r>
    </w:p>
    <w:p>
      <w:pPr>
        <w:spacing w:after="240"/>
      </w:pPr>
      <w:r>
        <w:rPr>
          <w:rFonts w:ascii="Arial" w:hAnsi="Arial"/>
          <w:b/>
          <w:i w:val="0"/>
          <w:color w:val="B45F06"/>
          <w:sz w:val="22"/>
        </w:rPr>
        <w:t xml:space="preserve">NEW (Proposed) — external-facing role statement. </w:t>
      </w:r>
      <w:r>
        <w:rPr>
          <w:rFonts w:ascii="Arial" w:hAnsi="Arial"/>
          <w:b w:val="0"/>
          <w:i w:val="0"/>
          <w:sz w:val="22"/>
        </w:rPr>
        <w:t xml:space="preserve">Establish and maintain canonical object identity for every tenant, policy, control, and evidence artifact that flows through UIAO, and bind those objects to the SSOT via certificate-anchored provenance. </w:t>
      </w:r>
      <w:r>
        <w:rPr>
          <w:rFonts w:ascii="Arial" w:hAnsi="Arial"/>
          <w:b w:val="0"/>
          <w:i/>
          <w:sz w:val="22"/>
        </w:rPr>
        <w:t>Proposed for inclusion; not present verbatim in source.</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[IMAGE-01: </w:t>
      </w:r>
      <w:r>
        <w:rPr>
          <w:rFonts w:ascii="Consolas" w:hAnsi="Consolas"/>
          <w:sz w:val="20"/>
        </w:rPr>
        <w:t>A muted-blue shield icon representing SSOT + Identity + Security with an "Identity" label node and four inbound certificate arrows. No text baked into the image.</w:t>
      </w:r>
      <w:r>
        <w:rPr>
          <w:rFonts w:ascii="Consolas" w:hAnsi="Consolas"/>
          <w:b/>
          <w:sz w:val="20"/>
        </w:rPr>
        <w:t>]</w:t>
      </w:r>
    </w:p>
    <w:p>
      <w:pPr>
        <w:pStyle w:val="Heading2"/>
        <w:spacing w:before="240" w:after="120"/>
      </w:pPr>
      <w:r>
        <w:rPr>
          <w:rFonts w:ascii="Arial" w:hAnsi="Arial"/>
          <w:b/>
          <w:color w:val="2E75B6"/>
          <w:sz w:val="28"/>
        </w:rPr>
        <w:t>4.3 Telemetry Adapter Class — NEW (Proposed)</w:t>
      </w:r>
    </w:p>
    <w:p>
      <w:pPr>
        <w:spacing w:after="120"/>
      </w:pPr>
      <w:r>
        <w:rPr>
          <w:rFonts w:ascii="Arial" w:hAnsi="Arial"/>
          <w:b w:val="0"/>
          <w:i w:val="0"/>
        </w:rPr>
        <w:t>The master specification names the adapter classes canonically as belonging to a segmentation model, but the specific internal surface of a "Telemetry" adapter class is not defined in the source text provided to this Overview. The following is labeled NEW (Proposed) and is offered for the document owner's review.</w:t>
      </w:r>
    </w:p>
    <w:p>
      <w:pPr>
        <w:spacing w:after="120"/>
      </w:pPr>
      <w:r>
        <w:rPr>
          <w:rFonts w:ascii="Arial" w:hAnsi="Arial"/>
          <w:b/>
          <w:i w:val="0"/>
          <w:color w:val="B45F06"/>
          <w:sz w:val="22"/>
        </w:rPr>
        <w:t xml:space="preserve">NEW (Proposed) — role statement. </w:t>
      </w:r>
      <w:r>
        <w:rPr>
          <w:rFonts w:ascii="Arial" w:hAnsi="Arial"/>
          <w:b w:val="0"/>
          <w:i w:val="0"/>
          <w:sz w:val="22"/>
        </w:rPr>
        <w:t>Observe the state of identified objects and produce normalized, timestamped, object-keyed records suitable for downstream evaluation by the Policy Adapter class. Read-only with respect to the governed environment.</w:t>
      </w:r>
    </w:p>
    <w:p>
      <w:pPr>
        <w:spacing w:after="120"/>
      </w:pPr>
      <w:r>
        <w:rPr>
          <w:rFonts w:ascii="Arial" w:hAnsi="Arial"/>
          <w:b/>
          <w:i w:val="0"/>
          <w:color w:val="B45F06"/>
          <w:sz w:val="22"/>
        </w:rPr>
        <w:t xml:space="preserve">NEW (Proposed) — canonical constraints retained. </w:t>
      </w:r>
      <w:r>
        <w:rPr>
          <w:rFonts w:ascii="Arial" w:hAnsi="Arial"/>
          <w:b w:val="0"/>
          <w:i w:val="0"/>
          <w:sz w:val="22"/>
        </w:rPr>
        <w:t>Serves SSOT + Identity + Security; never mutates SSOT; certificate-anchored; GCC-Moderate boundary; object identity only.</w:t>
      </w:r>
    </w:p>
    <w:p>
      <w:pPr>
        <w:spacing w:after="240"/>
      </w:pPr>
      <w:r>
        <w:rPr>
          <w:rFonts w:ascii="Arial" w:hAnsi="Arial"/>
          <w:b/>
          <w:i w:val="0"/>
          <w:color w:val="8B4513"/>
          <w:sz w:val="22"/>
        </w:rPr>
        <w:t xml:space="preserve">UNSURE. </w:t>
      </w:r>
      <w:r>
        <w:rPr>
          <w:rFonts w:ascii="Arial" w:hAnsi="Arial"/>
          <w:b w:val="0"/>
          <w:i w:val="0"/>
          <w:sz w:val="22"/>
        </w:rPr>
        <w:t>Whether "Telemetry" is the canonical class name or an alternative label (for example, "Observation") appears in the full canon. Clarification requested before this content is promoted from NEW (Proposed) to canonical.</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[IMAGE-02: </w:t>
      </w:r>
      <w:r>
        <w:rPr>
          <w:rFonts w:ascii="Consolas" w:hAnsi="Consolas"/>
          <w:sz w:val="20"/>
        </w:rPr>
        <w:t>A muted-blue observation-lens icon with an outbound arrow feeding a timestamped record stack, annotated with a small certificate chain marker. No text baked into the image.</w:t>
      </w:r>
      <w:r>
        <w:rPr>
          <w:rFonts w:ascii="Consolas" w:hAnsi="Consolas"/>
          <w:b/>
          <w:sz w:val="20"/>
        </w:rPr>
        <w:t>]</w:t>
      </w:r>
    </w:p>
    <w:p>
      <w:pPr>
        <w:pStyle w:val="Heading2"/>
        <w:spacing w:before="240" w:after="120"/>
      </w:pPr>
      <w:r>
        <w:rPr>
          <w:rFonts w:ascii="Arial" w:hAnsi="Arial"/>
          <w:b/>
          <w:color w:val="2E75B6"/>
          <w:sz w:val="28"/>
        </w:rPr>
        <w:t>4.4 Policy Adapter Class — NEW (Proposed)</w:t>
      </w:r>
    </w:p>
    <w:p>
      <w:pPr>
        <w:spacing w:after="120"/>
      </w:pPr>
      <w:r>
        <w:rPr>
          <w:rFonts w:ascii="Arial" w:hAnsi="Arial"/>
          <w:b/>
          <w:i w:val="0"/>
          <w:color w:val="B45F06"/>
          <w:sz w:val="22"/>
        </w:rPr>
        <w:t xml:space="preserve">NEW (Proposed) — role statement. </w:t>
      </w:r>
      <w:r>
        <w:rPr>
          <w:rFonts w:ascii="Arial" w:hAnsi="Arial"/>
          <w:b w:val="0"/>
          <w:i w:val="0"/>
          <w:sz w:val="22"/>
        </w:rPr>
        <w:t>Express declared compliance intent as machine-readable policy bound to recognized external control frameworks, and evaluate object-keyed telemetry against those bindings to produce policy outcome records.</w:t>
      </w:r>
    </w:p>
    <w:p>
      <w:pPr>
        <w:spacing w:after="120"/>
      </w:pPr>
      <w:r>
        <w:rPr>
          <w:rFonts w:ascii="Arial" w:hAnsi="Arial"/>
          <w:b/>
          <w:i w:val="0"/>
          <w:color w:val="B45F06"/>
          <w:sz w:val="22"/>
        </w:rPr>
        <w:t xml:space="preserve">NEW (Proposed) — canonical constraints retained. </w:t>
      </w:r>
      <w:r>
        <w:rPr>
          <w:rFonts w:ascii="Arial" w:hAnsi="Arial"/>
          <w:b w:val="0"/>
          <w:i w:val="0"/>
          <w:sz w:val="22"/>
        </w:rPr>
        <w:t>Serves SSOT + Identity + Security; never mutates SSOT; certificate-anchored; GCC-Moderate boundary; object identity only.</w:t>
      </w:r>
    </w:p>
    <w:p>
      <w:pPr>
        <w:spacing w:after="240"/>
      </w:pPr>
      <w:r>
        <w:rPr>
          <w:rFonts w:ascii="Arial" w:hAnsi="Arial"/>
          <w:b/>
          <w:i w:val="0"/>
          <w:color w:val="8B4513"/>
          <w:sz w:val="22"/>
        </w:rPr>
        <w:t xml:space="preserve">UNSURE. </w:t>
      </w:r>
      <w:r>
        <w:rPr>
          <w:rFonts w:ascii="Arial" w:hAnsi="Arial"/>
          <w:b w:val="0"/>
          <w:i w:val="0"/>
          <w:sz w:val="22"/>
        </w:rPr>
        <w:t xml:space="preserve">Specific control frameworks to be named canonically in this Overview. The source text references GCC-Moderate generally; specific framework bindings (for example, NIST SP 800-53, FedRAMP Moderate, CISA SCuBA) are treated as </w:t>
      </w:r>
      <w:r>
        <w:rPr>
          <w:rFonts w:ascii="Arial" w:hAnsi="Arial"/>
          <w:b/>
          <w:i w:val="0"/>
          <w:color w:val="C00000"/>
          <w:sz w:val="22"/>
        </w:rPr>
        <w:t>MISSING</w:t>
      </w:r>
      <w:r>
        <w:rPr>
          <w:rFonts w:ascii="Arial" w:hAnsi="Arial"/>
          <w:b w:val="0"/>
          <w:i w:val="0"/>
          <w:sz w:val="22"/>
        </w:rPr>
        <w:t xml:space="preserve"> in this Overview pending explicit authorization to name them here.</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[IMAGE-03: </w:t>
      </w:r>
      <w:r>
        <w:rPr>
          <w:rFonts w:ascii="Consolas" w:hAnsi="Consolas"/>
          <w:sz w:val="20"/>
        </w:rPr>
        <w:t>A muted-blue rulebook icon with inbound observation records and outbound evaluated-outcome records, annotated with a certificate chain marker. No text baked into the image.</w:t>
      </w:r>
      <w:r>
        <w:rPr>
          <w:rFonts w:ascii="Consolas" w:hAnsi="Consolas"/>
          <w:b/>
          <w:sz w:val="20"/>
        </w:rPr>
        <w:t>]</w:t>
      </w:r>
    </w:p>
    <w:p>
      <w:pPr>
        <w:pStyle w:val="Heading2"/>
        <w:spacing w:before="240" w:after="120"/>
      </w:pPr>
      <w:r>
        <w:rPr>
          <w:rFonts w:ascii="Arial" w:hAnsi="Arial"/>
          <w:b/>
          <w:color w:val="2E75B6"/>
          <w:sz w:val="28"/>
        </w:rPr>
        <w:t>4.5 Enforcement Adapter Class — NEW (Proposed)</w:t>
      </w:r>
    </w:p>
    <w:p>
      <w:pPr>
        <w:spacing w:after="120"/>
      </w:pPr>
      <w:r>
        <w:rPr>
          <w:rFonts w:ascii="Arial" w:hAnsi="Arial"/>
          <w:b/>
          <w:i w:val="0"/>
          <w:color w:val="B45F06"/>
          <w:sz w:val="22"/>
        </w:rPr>
        <w:t xml:space="preserve">NEW (Proposed) — role statement. </w:t>
      </w:r>
      <w:r>
        <w:rPr>
          <w:rFonts w:ascii="Arial" w:hAnsi="Arial"/>
          <w:b w:val="0"/>
          <w:i w:val="0"/>
          <w:sz w:val="22"/>
        </w:rPr>
        <w:t>Translate policy outcome records into externally verifiable assurance artifacts suitable for authorizing officials, assessors, and customers, with certificate-anchored provenance back to the originating identity and SSOT state.</w:t>
      </w:r>
    </w:p>
    <w:p>
      <w:pPr>
        <w:spacing w:after="120"/>
      </w:pPr>
      <w:r>
        <w:rPr>
          <w:rFonts w:ascii="Arial" w:hAnsi="Arial"/>
          <w:b/>
          <w:i w:val="0"/>
          <w:color w:val="B45F06"/>
          <w:sz w:val="22"/>
        </w:rPr>
        <w:t xml:space="preserve">NEW (Proposed) — canonical constraints retained. </w:t>
      </w:r>
      <w:r>
        <w:rPr>
          <w:rFonts w:ascii="Arial" w:hAnsi="Arial"/>
          <w:b w:val="0"/>
          <w:i w:val="0"/>
          <w:sz w:val="22"/>
        </w:rPr>
        <w:t>Serves SSOT + Identity + Security; never mutates SSOT; certificate-anchored; GCC-Moderate boundary; object identity only.</w:t>
      </w:r>
    </w:p>
    <w:p>
      <w:pPr>
        <w:spacing w:after="240"/>
      </w:pPr>
      <w:r>
        <w:rPr>
          <w:rFonts w:ascii="Arial" w:hAnsi="Arial"/>
          <w:b/>
          <w:i w:val="0"/>
          <w:color w:val="C00000"/>
          <w:sz w:val="22"/>
        </w:rPr>
        <w:t xml:space="preserve">MISSING. </w:t>
      </w:r>
      <w:r>
        <w:rPr>
          <w:rFonts w:ascii="Arial" w:hAnsi="Arial"/>
          <w:b w:val="0"/>
          <w:i w:val="0"/>
          <w:sz w:val="22"/>
        </w:rPr>
        <w:t>The specific external artifact types canonically produced by the Enforcement Adapter class in this Overview's source scope. Clarification requested before naming artifact types (for example, OSCAL SSP, POA&amp;M, SAR) in this document.</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[IMAGE-04: </w:t>
      </w:r>
      <w:r>
        <w:rPr>
          <w:rFonts w:ascii="Consolas" w:hAnsi="Consolas"/>
          <w:sz w:val="20"/>
        </w:rPr>
        <w:t>A muted-blue machine-seal icon producing a signed artifact along a certificate chain, with an arrow toward an external "Authorizing Official / Assessor" node. No text baked into the image.</w:t>
      </w:r>
      <w:r>
        <w:rPr>
          <w:rFonts w:ascii="Consolas" w:hAnsi="Consolas"/>
          <w:b/>
          <w:sz w:val="20"/>
        </w:rPr>
        <w:t>]</w:t>
      </w:r>
    </w:p>
    <w:p>
      <w:pPr>
        <w:pStyle w:val="Heading2"/>
        <w:spacing w:before="240" w:after="120"/>
      </w:pPr>
      <w:r>
        <w:rPr>
          <w:rFonts w:ascii="Arial" w:hAnsi="Arial"/>
          <w:b/>
          <w:color w:val="2E75B6"/>
          <w:sz w:val="28"/>
        </w:rPr>
        <w:t>4.6 Cross-Adapter Truth Flow — NEW (Proposed)</w:t>
      </w:r>
    </w:p>
    <w:p>
      <w:pPr>
        <w:spacing w:after="120"/>
      </w:pPr>
      <w:r>
        <w:rPr>
          <w:rFonts w:ascii="Arial" w:hAnsi="Arial"/>
          <w:b/>
          <w:i w:val="0"/>
          <w:color w:val="B45F06"/>
          <w:sz w:val="22"/>
        </w:rPr>
        <w:t xml:space="preserve">NEW (Proposed) — flow statement. </w:t>
      </w:r>
      <w:r>
        <w:rPr>
          <w:rFonts w:ascii="Arial" w:hAnsi="Arial"/>
          <w:b w:val="0"/>
          <w:i w:val="0"/>
          <w:sz w:val="22"/>
        </w:rPr>
        <w:t>Truth flows from the SSOT outward through the adapter classes and returns to the SSOT only as certificate-anchored provenance records. No adapter class rewrites the output of another. Drift between declared posture and observed posture is surfaced as an externally visible assurance signal.</w:t>
      </w:r>
    </w:p>
    <w:p>
      <w:pPr>
        <w:spacing w:after="120"/>
      </w:pPr>
      <w:r>
        <w:rPr>
          <w:rFonts w:ascii="Arial" w:hAnsi="Arial"/>
          <w:b w:val="0"/>
          <w:i/>
        </w:rPr>
        <w:t>As shown in Diagram 3, the canonical truth flow is unidirectional from SSOT through the adapter classes and back only as certificate-anchored provenance.</w:t>
      </w:r>
    </w:p>
    <w:p>
      <w:pPr>
        <w:shd w:val="clear" w:color="auto" w:fill="EAF2FA"/>
        <w:pBdr>
          <w:top w:val="single" w:sz="6" w:space="4" w:color="2E75B6"/>
          <w:left w:val="single" w:sz="6" w:space="4" w:color="2E75B6"/>
          <w:bottom w:val="single" w:sz="6" w:space="4" w:color="2E75B6"/>
          <w:right w:val="single" w:sz="6" w:space="4" w:color="2E75B6"/>
        </w:pBdr>
        <w:spacing w:before="120" w:after="200"/>
      </w:pPr>
      <w:r>
        <w:rPr>
          <w:rFonts w:ascii="Consolas" w:hAnsi="Consolas"/>
          <w:b/>
          <w:sz w:val="20"/>
        </w:rPr>
        <w:t xml:space="preserve">[DIAGRAM-03: </w:t>
      </w:r>
      <w:r>
        <w:rPr>
          <w:rFonts w:ascii="Consolas" w:hAnsi="Consolas"/>
          <w:sz w:val="20"/>
        </w:rPr>
        <w:t>A 16:9 muted-blue schematic showing unidirectional truth flow from a singular SSOT through the four named adapter classes and back to SSOT only as certificate-anchored provenance arrows, with a drift-signal annotation at the Policy/Enforcement interface. No text baked into the image. Publication-grade.</w:t>
      </w:r>
      <w:r>
        <w:rPr>
          <w:rFonts w:ascii="Consolas" w:hAnsi="Consolas"/>
          <w:b/>
          <w:sz w:val="20"/>
        </w:rPr>
        <w:t>]</w:t>
      </w:r>
    </w:p>
    <w:p>
      <w:pPr>
        <w:pStyle w:val="Heading1"/>
        <w:spacing w:before="360" w:after="120"/>
      </w:pPr>
      <w:r>
        <w:rPr>
          <w:rFonts w:ascii="Arial" w:hAnsi="Arial"/>
          <w:b/>
          <w:color w:val="1F3864"/>
          <w:sz w:val="36"/>
        </w:rPr>
        <w:t>5. Implementation Guidance</w:t>
      </w:r>
    </w:p>
    <w:p>
      <w:pPr>
        <w:spacing w:after="120"/>
      </w:pPr>
      <w:r>
        <w:rPr>
          <w:rFonts w:ascii="Arial" w:hAnsi="Arial"/>
          <w:b w:val="0"/>
          <w:i w:val="0"/>
        </w:rPr>
        <w:t>Implementation of the adapter segmentation model proceeds deterministically in the following ordered steps. Each step is declarative and admits no ambiguity.</w:t>
      </w:r>
    </w:p>
    <w:p>
      <w:pPr>
        <w:pStyle w:val="ListNumber"/>
      </w:pPr>
      <w:r>
        <w:rPr>
          <w:rFonts w:ascii="Arial" w:hAnsi="Arial"/>
          <w:sz w:val="22"/>
        </w:rPr>
        <w:t>Anchor Identity first. Stand up the Identity Adapter class against the GCC-Moderate tenant boundary. No other adapter class may be exercised until canonical object identifiers are being emitted.</w:t>
      </w:r>
    </w:p>
    <w:p>
      <w:pPr>
        <w:pStyle w:val="ListNumber"/>
      </w:pPr>
      <w:r>
        <w:rPr>
          <w:rFonts w:ascii="Arial" w:hAnsi="Arial"/>
          <w:sz w:val="22"/>
        </w:rPr>
        <w:t>Bind every adapter transaction to a certificate. No adapter class transaction is permitted without certificate-anchored provenance.</w:t>
      </w:r>
    </w:p>
    <w:p>
      <w:pPr>
        <w:pStyle w:val="ListNumber"/>
      </w:pPr>
      <w:r>
        <w:rPr>
          <w:rFonts w:ascii="Arial" w:hAnsi="Arial"/>
          <w:sz w:val="22"/>
        </w:rPr>
        <w:t>Enforce the non-mutation invariant. No adapter class writes to the SSOT except through certificate-anchored provenance records.</w:t>
      </w:r>
    </w:p>
    <w:p>
      <w:pPr>
        <w:pStyle w:val="ListNumber"/>
      </w:pPr>
      <w:r>
        <w:rPr>
          <w:rFonts w:ascii="Arial" w:hAnsi="Arial"/>
          <w:sz w:val="22"/>
        </w:rPr>
        <w:t>Enforce the boundary invariant. No adapter class crosses the GCC-Moderate boundary except through the named Amazon Connect Contact Center exception.</w:t>
      </w:r>
    </w:p>
    <w:p>
      <w:pPr>
        <w:pStyle w:val="ListNumber"/>
      </w:pPr>
      <w:r>
        <w:rPr>
          <w:rFonts w:ascii="Arial" w:hAnsi="Arial"/>
          <w:sz w:val="22"/>
        </w:rPr>
        <w:t>Enforce the object-identity invariant. No adapter class stores, derives, or processes person identity.</w:t>
      </w:r>
    </w:p>
    <w:p>
      <w:pPr>
        <w:pStyle w:val="ListNumber"/>
      </w:pPr>
      <w:r>
        <w:rPr>
          <w:rFonts w:ascii="Arial" w:hAnsi="Arial"/>
          <w:sz w:val="22"/>
        </w:rPr>
        <w:t>Stand up remaining adapter classes in sequence. NEW (Proposed): Telemetry before Policy before Enforcement, reflecting the direction of truth flow in §4.6.</w:t>
      </w:r>
    </w:p>
    <w:p>
      <w:pPr>
        <w:pStyle w:val="Heading1"/>
        <w:spacing w:before="360" w:after="120"/>
      </w:pPr>
      <w:r>
        <w:rPr>
          <w:rFonts w:ascii="Arial" w:hAnsi="Arial"/>
          <w:b/>
          <w:color w:val="1F3864"/>
          <w:sz w:val="36"/>
        </w:rPr>
        <w:t>6. Risks &amp; Mitigations</w:t>
      </w:r>
    </w:p>
    <w:p>
      <w:pPr>
        <w:spacing w:after="120"/>
      </w:pPr>
      <w:r>
        <w:rPr>
          <w:rFonts w:ascii="Arial" w:hAnsi="Arial"/>
          <w:b/>
          <w:sz w:val="22"/>
        </w:rPr>
        <w:t xml:space="preserve">Governance risk: </w:t>
      </w:r>
      <w:r>
        <w:rPr>
          <w:rFonts w:ascii="Arial" w:hAnsi="Arial"/>
          <w:sz w:val="22"/>
        </w:rPr>
        <w:t>Adapter-class scope creep — an adapter class absorbing responsibilities belonging to another class. Mitigation: the Adapter Doctrine (§4.1) is canonical; any class-level responsibility not traceable to SSOT + Identity + Security is out of scope.</w:t>
      </w:r>
    </w:p>
    <w:p>
      <w:pPr>
        <w:spacing w:after="120"/>
      </w:pPr>
      <w:r>
        <w:rPr>
          <w:rFonts w:ascii="Arial" w:hAnsi="Arial"/>
          <w:b/>
          <w:sz w:val="22"/>
        </w:rPr>
        <w:t xml:space="preserve">Operational risk: </w:t>
      </w:r>
      <w:r>
        <w:rPr>
          <w:rFonts w:ascii="Arial" w:hAnsi="Arial"/>
          <w:sz w:val="22"/>
        </w:rPr>
        <w:t>Boundary violation — an adapter class reaching outside GCC-Moderate. Mitigation: the boundary invariant (§5, step 4) is enforced at the adapter transaction layer; the Amazon Connect Contact Center exception is the only sanctioned crossing.</w:t>
      </w:r>
    </w:p>
    <w:p>
      <w:pPr>
        <w:spacing w:after="120"/>
      </w:pPr>
      <w:r>
        <w:rPr>
          <w:rFonts w:ascii="Arial" w:hAnsi="Arial"/>
          <w:b/>
          <w:sz w:val="22"/>
        </w:rPr>
        <w:t xml:space="preserve">Security risk: </w:t>
      </w:r>
      <w:r>
        <w:rPr>
          <w:rFonts w:ascii="Arial" w:hAnsi="Arial"/>
          <w:sz w:val="22"/>
        </w:rPr>
        <w:t>Certificate provenance gaps. Mitigation: every adapter transaction requires a certificate anchor; transactions without a certificate are rejected.</w:t>
      </w:r>
    </w:p>
    <w:p>
      <w:pPr>
        <w:spacing w:after="120"/>
      </w:pPr>
      <w:r>
        <w:rPr>
          <w:rFonts w:ascii="Arial" w:hAnsi="Arial"/>
          <w:b/>
          <w:sz w:val="22"/>
        </w:rPr>
        <w:t xml:space="preserve">Drift risk: </w:t>
      </w:r>
      <w:r>
        <w:rPr>
          <w:rFonts w:ascii="Arial" w:hAnsi="Arial"/>
          <w:sz w:val="22"/>
        </w:rPr>
        <w:t>Divergence between declared posture and observed posture. Mitigation: drift is surfaced as an externally visible assurance signal at the Policy/Enforcement interface (§4.6) rather than as an internal operational log. UNSURE on canonical drift-detection cadence for this Overview; requested from document owner.</w:t>
      </w:r>
    </w:p>
    <w:p>
      <w:pPr>
        <w:pStyle w:val="Heading1"/>
        <w:spacing w:before="360" w:after="120"/>
      </w:pPr>
      <w:r>
        <w:rPr>
          <w:rFonts w:ascii="Arial" w:hAnsi="Arial"/>
          <w:b/>
          <w:color w:val="1F3864"/>
          <w:sz w:val="36"/>
        </w:rPr>
        <w:t>7. Appendices</w:t>
      </w:r>
    </w:p>
    <w:p>
      <w:pPr>
        <w:pStyle w:val="Heading2"/>
        <w:spacing w:before="240" w:after="120"/>
      </w:pPr>
      <w:r>
        <w:rPr>
          <w:rFonts w:ascii="Arial" w:hAnsi="Arial"/>
          <w:b/>
          <w:color w:val="2E75B6"/>
          <w:sz w:val="28"/>
        </w:rPr>
        <w:t>Appendix A — Definitions</w:t>
      </w:r>
    </w:p>
    <w:p>
      <w:pPr>
        <w:spacing w:after="120"/>
      </w:pPr>
      <w:r>
        <w:rPr>
          <w:rFonts w:ascii="Arial" w:hAnsi="Arial"/>
          <w:b/>
          <w:sz w:val="22"/>
        </w:rPr>
        <w:t xml:space="preserve">Adapter Class: </w:t>
      </w:r>
      <w:r>
        <w:rPr>
          <w:rFonts w:ascii="Arial" w:hAnsi="Arial"/>
          <w:sz w:val="22"/>
        </w:rPr>
        <w:t>A named class of adapter that connects UIAO to an external system while serving the singular mission of SSOT + Identity + Security. Plural in class, singular in mission.</w:t>
      </w:r>
    </w:p>
    <w:p>
      <w:pPr>
        <w:spacing w:after="120"/>
      </w:pPr>
      <w:r>
        <w:rPr>
          <w:rFonts w:ascii="Arial" w:hAnsi="Arial"/>
          <w:b/>
          <w:sz w:val="22"/>
        </w:rPr>
        <w:t xml:space="preserve">Certificate-Anchored Provenance: </w:t>
      </w:r>
      <w:r>
        <w:rPr>
          <w:rFonts w:ascii="Arial" w:hAnsi="Arial"/>
          <w:sz w:val="22"/>
        </w:rPr>
        <w:t>A transaction record that carries a certificate chain tying the record to an authoritative identity and SSOT state.</w:t>
      </w:r>
    </w:p>
    <w:p>
      <w:pPr>
        <w:spacing w:after="120"/>
      </w:pPr>
      <w:r>
        <w:rPr>
          <w:rFonts w:ascii="Arial" w:hAnsi="Arial"/>
          <w:b/>
          <w:sz w:val="22"/>
        </w:rPr>
        <w:t xml:space="preserve">GCC-Moderate: </w:t>
      </w:r>
      <w:r>
        <w:rPr>
          <w:rFonts w:ascii="Arial" w:hAnsi="Arial"/>
          <w:sz w:val="22"/>
        </w:rPr>
        <w:t>The sanctioned governance boundary for UIAO. Commercial Cloud exception: Amazon Connect Contact Center only.</w:t>
      </w:r>
    </w:p>
    <w:p>
      <w:pPr>
        <w:spacing w:after="120"/>
      </w:pPr>
      <w:r>
        <w:rPr>
          <w:rFonts w:ascii="Arial" w:hAnsi="Arial"/>
          <w:b/>
          <w:sz w:val="22"/>
        </w:rPr>
        <w:t xml:space="preserve">Object Identity: </w:t>
      </w:r>
      <w:r>
        <w:rPr>
          <w:rFonts w:ascii="Arial" w:hAnsi="Arial"/>
          <w:sz w:val="22"/>
        </w:rPr>
        <w:t>Identity of tenants, policies, controls, and evidence objects. UIAO uses object identity only — no person identity.</w:t>
      </w:r>
    </w:p>
    <w:p>
      <w:pPr>
        <w:spacing w:after="120"/>
      </w:pPr>
      <w:r>
        <w:rPr>
          <w:rFonts w:ascii="Arial" w:hAnsi="Arial"/>
          <w:b/>
          <w:sz w:val="22"/>
        </w:rPr>
        <w:t xml:space="preserve">SSOT: </w:t>
      </w:r>
      <w:r>
        <w:rPr>
          <w:rFonts w:ascii="Arial" w:hAnsi="Arial"/>
          <w:sz w:val="22"/>
        </w:rPr>
        <w:t>The singular, certificate-anchored Single Source of Truth. Adapters never mutate the SSOT.</w:t>
      </w:r>
    </w:p>
    <w:p>
      <w:pPr>
        <w:pStyle w:val="Heading2"/>
        <w:spacing w:before="240" w:after="120"/>
      </w:pPr>
      <w:r>
        <w:rPr>
          <w:rFonts w:ascii="Arial" w:hAnsi="Arial"/>
          <w:b/>
          <w:color w:val="2E75B6"/>
          <w:sz w:val="28"/>
        </w:rPr>
        <w:t>Appendix B — Object List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2016"/>
            <w:vAlign w:val="center"/>
            <w:shd w:val="clear" w:color="auto" w:fill="2E75B6"/>
          </w:tcPr>
          <w:p>
            <w:pPr>
              <w:spacing w:after="0"/>
            </w:pPr>
            <w:r>
              <w:rPr>
                <w:rFonts w:ascii="Arial" w:hAnsi="Arial"/>
                <w:b/>
                <w:color w:val="FFFFFF"/>
                <w:sz w:val="20"/>
              </w:rPr>
              <w:t>Object ID</w:t>
            </w:r>
          </w:p>
        </w:tc>
        <w:tc>
          <w:tcPr>
            <w:tcW w:type="dxa" w:w="1440"/>
            <w:vAlign w:val="center"/>
            <w:shd w:val="clear" w:color="auto" w:fill="2E75B6"/>
          </w:tcPr>
          <w:p>
            <w:pPr>
              <w:spacing w:after="0"/>
            </w:pPr>
            <w:r>
              <w:rPr>
                <w:rFonts w:ascii="Arial" w:hAnsi="Arial"/>
                <w:b/>
                <w:color w:val="FFFFFF"/>
                <w:sz w:val="20"/>
              </w:rPr>
              <w:t>Type</w:t>
            </w:r>
          </w:p>
        </w:tc>
        <w:tc>
          <w:tcPr>
            <w:tcW w:type="dxa" w:w="5904"/>
            <w:vAlign w:val="center"/>
            <w:shd w:val="clear" w:color="auto" w:fill="2E75B6"/>
          </w:tcPr>
          <w:p>
            <w:pPr>
              <w:spacing w:after="0"/>
            </w:pPr>
            <w:r>
              <w:rPr>
                <w:rFonts w:ascii="Arial" w:hAnsi="Arial"/>
                <w:b/>
                <w:color w:val="FFFFFF"/>
                <w:sz w:val="20"/>
              </w:rPr>
              <w:t>Title</w:t>
            </w:r>
          </w:p>
        </w:tc>
      </w:tr>
      <w:tr>
        <w:tc>
          <w:tcPr>
            <w:tcW w:type="dxa" w:w="2016"/>
            <w:vAlign w:val="center"/>
            <w:shd w:val="clear" w:color="auto" w:fill="FFFFFF"/>
          </w:tcPr>
          <w:p>
            <w:pPr>
              <w:spacing w:after="0"/>
            </w:pPr>
            <w:r>
              <w:rPr>
                <w:rFonts w:ascii="Arial" w:hAnsi="Arial"/>
                <w:sz w:val="20"/>
              </w:rPr>
              <w:t>DIAGRAM-01</w:t>
            </w:r>
          </w:p>
        </w:tc>
        <w:tc>
          <w:tcPr>
            <w:tcW w:type="dxa" w:w="1440"/>
            <w:vAlign w:val="center"/>
            <w:shd w:val="clear" w:color="auto" w:fill="FFFFFF"/>
          </w:tcPr>
          <w:p>
            <w:pPr>
              <w:spacing w:after="0"/>
            </w:pPr>
            <w:r>
              <w:rPr>
                <w:rFonts w:ascii="Arial" w:hAnsi="Arial"/>
                <w:sz w:val="20"/>
              </w:rPr>
              <w:t>Diagram</w:t>
            </w:r>
          </w:p>
        </w:tc>
        <w:tc>
          <w:tcPr>
            <w:tcW w:type="dxa" w:w="5904"/>
            <w:vAlign w:val="center"/>
            <w:shd w:val="clear" w:color="auto" w:fill="FFFFFF"/>
          </w:tcPr>
          <w:p>
            <w:pPr>
              <w:spacing w:after="0"/>
            </w:pPr>
            <w:r>
              <w:rPr>
                <w:rFonts w:ascii="Arial" w:hAnsi="Arial"/>
                <w:sz w:val="20"/>
              </w:rPr>
              <w:t>Adapter classes around singular SSOT core</w:t>
            </w:r>
          </w:p>
        </w:tc>
      </w:tr>
      <w:tr>
        <w:tc>
          <w:tcPr>
            <w:tcW w:type="dxa" w:w="2016"/>
            <w:vAlign w:val="center"/>
            <w:shd w:val="clear" w:color="auto" w:fill="FFFFFF"/>
          </w:tcPr>
          <w:p>
            <w:pPr>
              <w:spacing w:after="0"/>
            </w:pPr>
            <w:r>
              <w:rPr>
                <w:rFonts w:ascii="Arial" w:hAnsi="Arial"/>
                <w:sz w:val="20"/>
              </w:rPr>
              <w:t>DIAGRAM-02</w:t>
            </w:r>
          </w:p>
        </w:tc>
        <w:tc>
          <w:tcPr>
            <w:tcW w:type="dxa" w:w="1440"/>
            <w:vAlign w:val="center"/>
            <w:shd w:val="clear" w:color="auto" w:fill="FFFFFF"/>
          </w:tcPr>
          <w:p>
            <w:pPr>
              <w:spacing w:after="0"/>
            </w:pPr>
            <w:r>
              <w:rPr>
                <w:rFonts w:ascii="Arial" w:hAnsi="Arial"/>
                <w:sz w:val="20"/>
              </w:rPr>
              <w:t>Diagram</w:t>
            </w:r>
          </w:p>
        </w:tc>
        <w:tc>
          <w:tcPr>
            <w:tcW w:type="dxa" w:w="5904"/>
            <w:vAlign w:val="center"/>
            <w:shd w:val="clear" w:color="auto" w:fill="FFFFFF"/>
          </w:tcPr>
          <w:p>
            <w:pPr>
              <w:spacing w:after="0"/>
            </w:pPr>
            <w:r>
              <w:rPr>
                <w:rFonts w:ascii="Arial" w:hAnsi="Arial"/>
                <w:sz w:val="20"/>
              </w:rPr>
              <w:t>SSOT boundary with four adapter classes and certificate chain</w:t>
            </w:r>
          </w:p>
        </w:tc>
      </w:tr>
      <w:tr>
        <w:tc>
          <w:tcPr>
            <w:tcW w:type="dxa" w:w="2016"/>
            <w:vAlign w:val="center"/>
            <w:shd w:val="clear" w:color="auto" w:fill="FFFFFF"/>
          </w:tcPr>
          <w:p>
            <w:pPr>
              <w:spacing w:after="0"/>
            </w:pPr>
            <w:r>
              <w:rPr>
                <w:rFonts w:ascii="Arial" w:hAnsi="Arial"/>
                <w:sz w:val="20"/>
              </w:rPr>
              <w:t>DIAGRAM-03</w:t>
            </w:r>
          </w:p>
        </w:tc>
        <w:tc>
          <w:tcPr>
            <w:tcW w:type="dxa" w:w="1440"/>
            <w:vAlign w:val="center"/>
            <w:shd w:val="clear" w:color="auto" w:fill="FFFFFF"/>
          </w:tcPr>
          <w:p>
            <w:pPr>
              <w:spacing w:after="0"/>
            </w:pPr>
            <w:r>
              <w:rPr>
                <w:rFonts w:ascii="Arial" w:hAnsi="Arial"/>
                <w:sz w:val="20"/>
              </w:rPr>
              <w:t>Diagram</w:t>
            </w:r>
          </w:p>
        </w:tc>
        <w:tc>
          <w:tcPr>
            <w:tcW w:type="dxa" w:w="5904"/>
            <w:vAlign w:val="center"/>
            <w:shd w:val="clear" w:color="auto" w:fill="FFFFFF"/>
          </w:tcPr>
          <w:p>
            <w:pPr>
              <w:spacing w:after="0"/>
            </w:pPr>
            <w:r>
              <w:rPr>
                <w:rFonts w:ascii="Arial" w:hAnsi="Arial"/>
                <w:sz w:val="20"/>
              </w:rPr>
              <w:t>Cross-adapter unidirectional truth flow</w:t>
            </w:r>
          </w:p>
        </w:tc>
      </w:tr>
      <w:tr>
        <w:tc>
          <w:tcPr>
            <w:tcW w:type="dxa" w:w="2016"/>
            <w:vAlign w:val="center"/>
            <w:shd w:val="clear" w:color="auto" w:fill="FFFFFF"/>
          </w:tcPr>
          <w:p>
            <w:pPr>
              <w:spacing w:after="0"/>
            </w:pPr>
            <w:r>
              <w:rPr>
                <w:rFonts w:ascii="Arial" w:hAnsi="Arial"/>
                <w:sz w:val="20"/>
              </w:rPr>
              <w:t>TABLE-01</w:t>
            </w:r>
          </w:p>
        </w:tc>
        <w:tc>
          <w:tcPr>
            <w:tcW w:type="dxa" w:w="1440"/>
            <w:vAlign w:val="center"/>
            <w:shd w:val="clear" w:color="auto" w:fill="FFFFFF"/>
          </w:tcPr>
          <w:p>
            <w:pPr>
              <w:spacing w:after="0"/>
            </w:pPr>
            <w:r>
              <w:rPr>
                <w:rFonts w:ascii="Arial" w:hAnsi="Arial"/>
                <w:sz w:val="20"/>
              </w:rPr>
              <w:t>Table</w:t>
            </w:r>
          </w:p>
        </w:tc>
        <w:tc>
          <w:tcPr>
            <w:tcW w:type="dxa" w:w="5904"/>
            <w:vAlign w:val="center"/>
            <w:shd w:val="clear" w:color="auto" w:fill="FFFFFF"/>
          </w:tcPr>
          <w:p>
            <w:pPr>
              <w:spacing w:after="0"/>
            </w:pPr>
            <w:r>
              <w:rPr>
                <w:rFonts w:ascii="Arial" w:hAnsi="Arial"/>
                <w:sz w:val="20"/>
              </w:rPr>
              <w:t>Adapter class → SSOT / Identity / Security role mapping</w:t>
            </w:r>
          </w:p>
        </w:tc>
      </w:tr>
      <w:tr>
        <w:tc>
          <w:tcPr>
            <w:tcW w:type="dxa" w:w="2016"/>
            <w:vAlign w:val="center"/>
            <w:shd w:val="clear" w:color="auto" w:fill="FFFFFF"/>
          </w:tcPr>
          <w:p>
            <w:pPr>
              <w:spacing w:after="0"/>
            </w:pPr>
            <w:r>
              <w:rPr>
                <w:rFonts w:ascii="Arial" w:hAnsi="Arial"/>
                <w:sz w:val="20"/>
              </w:rPr>
              <w:t>IMAGE-01</w:t>
            </w:r>
          </w:p>
        </w:tc>
        <w:tc>
          <w:tcPr>
            <w:tcW w:type="dxa" w:w="1440"/>
            <w:vAlign w:val="center"/>
            <w:shd w:val="clear" w:color="auto" w:fill="FFFFFF"/>
          </w:tcPr>
          <w:p>
            <w:pPr>
              <w:spacing w:after="0"/>
            </w:pPr>
            <w:r>
              <w:rPr>
                <w:rFonts w:ascii="Arial" w:hAnsi="Arial"/>
                <w:sz w:val="20"/>
              </w:rPr>
              <w:t>Image</w:t>
            </w:r>
          </w:p>
        </w:tc>
        <w:tc>
          <w:tcPr>
            <w:tcW w:type="dxa" w:w="5904"/>
            <w:vAlign w:val="center"/>
            <w:shd w:val="clear" w:color="auto" w:fill="FFFFFF"/>
          </w:tcPr>
          <w:p>
            <w:pPr>
              <w:spacing w:after="0"/>
            </w:pPr>
            <w:r>
              <w:rPr>
                <w:rFonts w:ascii="Arial" w:hAnsi="Arial"/>
                <w:sz w:val="20"/>
              </w:rPr>
              <w:t>Identity adapter class icon</w:t>
            </w:r>
          </w:p>
        </w:tc>
      </w:tr>
      <w:tr>
        <w:tc>
          <w:tcPr>
            <w:tcW w:type="dxa" w:w="2016"/>
            <w:vAlign w:val="center"/>
            <w:shd w:val="clear" w:color="auto" w:fill="FFFFFF"/>
          </w:tcPr>
          <w:p>
            <w:pPr>
              <w:spacing w:after="0"/>
            </w:pPr>
            <w:r>
              <w:rPr>
                <w:rFonts w:ascii="Arial" w:hAnsi="Arial"/>
                <w:sz w:val="20"/>
              </w:rPr>
              <w:t>IMAGE-02</w:t>
            </w:r>
          </w:p>
        </w:tc>
        <w:tc>
          <w:tcPr>
            <w:tcW w:type="dxa" w:w="1440"/>
            <w:vAlign w:val="center"/>
            <w:shd w:val="clear" w:color="auto" w:fill="FFFFFF"/>
          </w:tcPr>
          <w:p>
            <w:pPr>
              <w:spacing w:after="0"/>
            </w:pPr>
            <w:r>
              <w:rPr>
                <w:rFonts w:ascii="Arial" w:hAnsi="Arial"/>
                <w:sz w:val="20"/>
              </w:rPr>
              <w:t>Image</w:t>
            </w:r>
          </w:p>
        </w:tc>
        <w:tc>
          <w:tcPr>
            <w:tcW w:type="dxa" w:w="5904"/>
            <w:vAlign w:val="center"/>
            <w:shd w:val="clear" w:color="auto" w:fill="FFFFFF"/>
          </w:tcPr>
          <w:p>
            <w:pPr>
              <w:spacing w:after="0"/>
            </w:pPr>
            <w:r>
              <w:rPr>
                <w:rFonts w:ascii="Arial" w:hAnsi="Arial"/>
                <w:sz w:val="20"/>
              </w:rPr>
              <w:t>Telemetry adapter class icon — NEW (Proposed)</w:t>
            </w:r>
          </w:p>
        </w:tc>
      </w:tr>
      <w:tr>
        <w:tc>
          <w:tcPr>
            <w:tcW w:type="dxa" w:w="2016"/>
            <w:vAlign w:val="center"/>
            <w:shd w:val="clear" w:color="auto" w:fill="FFFFFF"/>
          </w:tcPr>
          <w:p>
            <w:pPr>
              <w:spacing w:after="0"/>
            </w:pPr>
            <w:r>
              <w:rPr>
                <w:rFonts w:ascii="Arial" w:hAnsi="Arial"/>
                <w:sz w:val="20"/>
              </w:rPr>
              <w:t>IMAGE-03</w:t>
            </w:r>
          </w:p>
        </w:tc>
        <w:tc>
          <w:tcPr>
            <w:tcW w:type="dxa" w:w="1440"/>
            <w:vAlign w:val="center"/>
            <w:shd w:val="clear" w:color="auto" w:fill="FFFFFF"/>
          </w:tcPr>
          <w:p>
            <w:pPr>
              <w:spacing w:after="0"/>
            </w:pPr>
            <w:r>
              <w:rPr>
                <w:rFonts w:ascii="Arial" w:hAnsi="Arial"/>
                <w:sz w:val="20"/>
              </w:rPr>
              <w:t>Image</w:t>
            </w:r>
          </w:p>
        </w:tc>
        <w:tc>
          <w:tcPr>
            <w:tcW w:type="dxa" w:w="5904"/>
            <w:vAlign w:val="center"/>
            <w:shd w:val="clear" w:color="auto" w:fill="FFFFFF"/>
          </w:tcPr>
          <w:p>
            <w:pPr>
              <w:spacing w:after="0"/>
            </w:pPr>
            <w:r>
              <w:rPr>
                <w:rFonts w:ascii="Arial" w:hAnsi="Arial"/>
                <w:sz w:val="20"/>
              </w:rPr>
              <w:t>Policy adapter class icon — NEW (Proposed)</w:t>
            </w:r>
          </w:p>
        </w:tc>
      </w:tr>
      <w:tr>
        <w:tc>
          <w:tcPr>
            <w:tcW w:type="dxa" w:w="2016"/>
            <w:vAlign w:val="center"/>
            <w:shd w:val="clear" w:color="auto" w:fill="FFFFFF"/>
          </w:tcPr>
          <w:p>
            <w:pPr>
              <w:spacing w:after="0"/>
            </w:pPr>
            <w:r>
              <w:rPr>
                <w:rFonts w:ascii="Arial" w:hAnsi="Arial"/>
                <w:sz w:val="20"/>
              </w:rPr>
              <w:t>IMAGE-04</w:t>
            </w:r>
          </w:p>
        </w:tc>
        <w:tc>
          <w:tcPr>
            <w:tcW w:type="dxa" w:w="1440"/>
            <w:vAlign w:val="center"/>
            <w:shd w:val="clear" w:color="auto" w:fill="FFFFFF"/>
          </w:tcPr>
          <w:p>
            <w:pPr>
              <w:spacing w:after="0"/>
            </w:pPr>
            <w:r>
              <w:rPr>
                <w:rFonts w:ascii="Arial" w:hAnsi="Arial"/>
                <w:sz w:val="20"/>
              </w:rPr>
              <w:t>Image</w:t>
            </w:r>
          </w:p>
        </w:tc>
        <w:tc>
          <w:tcPr>
            <w:tcW w:type="dxa" w:w="5904"/>
            <w:vAlign w:val="center"/>
            <w:shd w:val="clear" w:color="auto" w:fill="FFFFFF"/>
          </w:tcPr>
          <w:p>
            <w:pPr>
              <w:spacing w:after="0"/>
            </w:pPr>
            <w:r>
              <w:rPr>
                <w:rFonts w:ascii="Arial" w:hAnsi="Arial"/>
                <w:sz w:val="20"/>
              </w:rPr>
              <w:t>Enforcement adapter class icon — NEW (Proposed)</w:t>
            </w:r>
          </w:p>
        </w:tc>
      </w:tr>
    </w:tbl>
    <w:p>
      <w:pPr>
        <w:spacing w:after="240"/>
      </w:pPr>
      <w:r>
        <w:rPr>
          <w:rFonts w:ascii="Arial" w:hAnsi="Arial"/>
          <w:b w:val="0"/>
          <w:i w:val="0"/>
        </w:rPr>
      </w:r>
    </w:p>
    <w:p>
      <w:pPr>
        <w:pStyle w:val="Heading2"/>
        <w:spacing w:before="240" w:after="120"/>
      </w:pPr>
      <w:r>
        <w:rPr>
          <w:rFonts w:ascii="Arial" w:hAnsi="Arial"/>
          <w:b/>
          <w:color w:val="2E75B6"/>
          <w:sz w:val="28"/>
        </w:rPr>
        <w:t>Appendix C — Copy Sections</w:t>
      </w:r>
    </w:p>
    <w:p>
      <w:pPr>
        <w:spacing w:after="240"/>
      </w:pPr>
      <w:r>
        <w:rPr>
          <w:rFonts w:ascii="Arial" w:hAnsi="Arial"/>
          <w:b w:val="0"/>
          <w:i/>
        </w:rPr>
        <w:t>Copy sections retained per canonical specification. No external copy text is in scope for this Overview beyond the reproduced Adapter Doctrine in §4.1.</w:t>
      </w:r>
    </w:p>
    <w:p>
      <w:pPr>
        <w:pStyle w:val="Heading2"/>
        <w:spacing w:before="240" w:after="120"/>
      </w:pPr>
      <w:r>
        <w:rPr>
          <w:rFonts w:ascii="Arial" w:hAnsi="Arial"/>
          <w:b/>
          <w:color w:val="2E75B6"/>
          <w:sz w:val="28"/>
        </w:rPr>
        <w:t>Appendix D — References</w:t>
      </w:r>
    </w:p>
    <w:p>
      <w:pPr>
        <w:spacing w:after="120"/>
      </w:pPr>
      <w:r>
        <w:rPr>
          <w:rFonts w:ascii="Arial" w:hAnsi="Arial"/>
          <w:b w:val="0"/>
          <w:i w:val="0"/>
        </w:rPr>
        <w:t>Only sources provided by the document owner are cited.</w:t>
      </w:r>
    </w:p>
    <w:p>
      <w:pPr>
        <w:pStyle w:val="ListNumber"/>
      </w:pPr>
      <w:r>
        <w:rPr>
          <w:rFonts w:ascii="Arial" w:hAnsi="Arial"/>
          <w:sz w:val="22"/>
        </w:rPr>
        <w:t>UIAO Master Document Specification Package (April 2026) — the canonical source text for adapter doctrine, placeholder rules, governance constraints, and the No-Hallucination Protocol applied throughout this Overview.</w:t>
      </w:r>
    </w:p>
    <w:p>
      <w:pPr>
        <w:pStyle w:val="ListNumber"/>
      </w:pPr>
      <w:r>
        <w:rPr>
          <w:rFonts w:ascii="Arial" w:hAnsi="Arial"/>
          <w:sz w:val="22"/>
        </w:rPr>
        <w:t>UIAO Canonical Document Specification v1.3 — structural spec applied to this document.</w:t>
      </w:r>
    </w:p>
    <w:p>
      <w:pPr>
        <w:spacing w:after="240"/>
      </w:pPr>
      <w:r>
        <w:rPr>
          <w:rFonts w:ascii="Arial" w:hAnsi="Arial"/>
          <w:b w:val="0"/>
          <w:i/>
        </w:rPr>
        <w:t>No other external sources are cited. Framework names and artifact types not present in the provided source text are treated as MISSING pending explicit authorization.</w:t>
      </w:r>
    </w:p>
    <w:p>
      <w:pPr>
        <w:pStyle w:val="Heading1"/>
        <w:spacing w:before="360" w:after="120"/>
      </w:pPr>
      <w:r>
        <w:rPr>
          <w:rFonts w:ascii="Arial" w:hAnsi="Arial"/>
          <w:b/>
          <w:color w:val="1F3864"/>
          <w:sz w:val="36"/>
        </w:rPr>
        <w:t>8. Glossary</w:t>
      </w:r>
    </w:p>
    <w:p>
      <w:pPr>
        <w:spacing w:after="120"/>
      </w:pPr>
      <w:r>
        <w:rPr>
          <w:rFonts w:ascii="Arial" w:hAnsi="Arial"/>
          <w:b/>
          <w:sz w:val="22"/>
        </w:rPr>
        <w:t xml:space="preserve">Adapter Class: </w:t>
      </w:r>
      <w:r>
        <w:rPr>
          <w:rFonts w:ascii="Arial" w:hAnsi="Arial"/>
          <w:sz w:val="22"/>
        </w:rPr>
        <w:t>A named class of adapter serving SSOT + Identity + Security.</w:t>
      </w:r>
    </w:p>
    <w:p>
      <w:pPr>
        <w:spacing w:after="120"/>
      </w:pPr>
      <w:r>
        <w:rPr>
          <w:rFonts w:ascii="Arial" w:hAnsi="Arial"/>
          <w:b/>
          <w:sz w:val="22"/>
        </w:rPr>
        <w:t xml:space="preserve">Certificate-Anchored Provenance: </w:t>
      </w:r>
      <w:r>
        <w:rPr>
          <w:rFonts w:ascii="Arial" w:hAnsi="Arial"/>
          <w:sz w:val="22"/>
        </w:rPr>
        <w:t>Transaction record bound to an authoritative identity and SSOT state via a certificate chain.</w:t>
      </w:r>
    </w:p>
    <w:p>
      <w:pPr>
        <w:spacing w:after="120"/>
      </w:pPr>
      <w:r>
        <w:rPr>
          <w:rFonts w:ascii="Arial" w:hAnsi="Arial"/>
          <w:b/>
          <w:sz w:val="22"/>
        </w:rPr>
        <w:t xml:space="preserve">Drift: </w:t>
      </w:r>
      <w:r>
        <w:rPr>
          <w:rFonts w:ascii="Arial" w:hAnsi="Arial"/>
          <w:sz w:val="22"/>
        </w:rPr>
        <w:t>Divergence between declared posture and observed posture for a governed object.</w:t>
      </w:r>
    </w:p>
    <w:p>
      <w:pPr>
        <w:spacing w:after="120"/>
      </w:pPr>
      <w:r>
        <w:rPr>
          <w:rFonts w:ascii="Arial" w:hAnsi="Arial"/>
          <w:b/>
          <w:sz w:val="22"/>
        </w:rPr>
        <w:t xml:space="preserve">GCC-Moderate: </w:t>
      </w:r>
      <w:r>
        <w:rPr>
          <w:rFonts w:ascii="Arial" w:hAnsi="Arial"/>
          <w:sz w:val="22"/>
        </w:rPr>
        <w:t>The sanctioned governance boundary for UIAO.</w:t>
      </w:r>
    </w:p>
    <w:p>
      <w:pPr>
        <w:spacing w:after="120"/>
      </w:pPr>
      <w:r>
        <w:rPr>
          <w:rFonts w:ascii="Arial" w:hAnsi="Arial"/>
          <w:b/>
          <w:sz w:val="22"/>
        </w:rPr>
        <w:t xml:space="preserve">Object Identity: </w:t>
      </w:r>
      <w:r>
        <w:rPr>
          <w:rFonts w:ascii="Arial" w:hAnsi="Arial"/>
          <w:sz w:val="22"/>
        </w:rPr>
        <w:t>Identity of tenants, policies, controls, and evidence objects.</w:t>
      </w:r>
    </w:p>
    <w:p>
      <w:pPr>
        <w:spacing w:after="120"/>
      </w:pPr>
      <w:r>
        <w:rPr>
          <w:rFonts w:ascii="Arial" w:hAnsi="Arial"/>
          <w:b/>
          <w:sz w:val="22"/>
        </w:rPr>
        <w:t xml:space="preserve">SSOT: </w:t>
      </w:r>
      <w:r>
        <w:rPr>
          <w:rFonts w:ascii="Arial" w:hAnsi="Arial"/>
          <w:sz w:val="22"/>
        </w:rPr>
        <w:t>Single Source of Truth — singular and certificate-anchored.</w:t>
      </w:r>
    </w:p>
    <w:p>
      <w:pPr>
        <w:pStyle w:val="Heading1"/>
        <w:spacing w:before="360" w:after="120"/>
      </w:pPr>
      <w:r>
        <w:rPr>
          <w:rFonts w:ascii="Arial" w:hAnsi="Arial"/>
          <w:b/>
          <w:color w:val="1F3864"/>
          <w:sz w:val="36"/>
        </w:rPr>
        <w:t>9. Footnotes</w:t>
      </w:r>
    </w:p>
    <w:p>
      <w:pPr>
        <w:spacing w:after="120"/>
      </w:pPr>
      <w:r>
        <w:rPr>
          <w:rFonts w:ascii="Arial" w:hAnsi="Arial"/>
          <w:b w:val="0"/>
          <w:i w:val="0"/>
        </w:rPr>
        <w:t>[1] Adapter Doctrine (§4.1) is reproduced verbatim from the UIAO Master Document Specification Package, April 2026.</w:t>
      </w:r>
    </w:p>
    <w:p>
      <w:pPr>
        <w:spacing w:after="120"/>
      </w:pPr>
      <w:r>
        <w:rPr>
          <w:rFonts w:ascii="Arial" w:hAnsi="Arial"/>
          <w:b w:val="0"/>
          <w:i w:val="0"/>
        </w:rPr>
        <w:t>[2] "Plural in class but singular in mission" — canonical phrasing from the Adapter Doctrine.</w:t>
      </w:r>
    </w:p>
    <w:p>
      <w:pPr>
        <w:spacing w:after="120"/>
      </w:pPr>
      <w:r>
        <w:rPr>
          <w:rFonts w:ascii="Arial" w:hAnsi="Arial"/>
          <w:b w:val="0"/>
          <w:i w:val="0"/>
        </w:rPr>
        <w:t>[3] The GCC-Moderate boundary and the Amazon Connect Contact Center exception are canonical governance constraints.</w:t>
      </w:r>
    </w:p>
    <w:p>
      <w:pPr>
        <w:pStyle w:val="Heading1"/>
        <w:spacing w:before="360" w:after="120"/>
      </w:pPr>
      <w:r>
        <w:rPr>
          <w:rFonts w:ascii="Arial" w:hAnsi="Arial"/>
          <w:b/>
          <w:color w:val="1F3864"/>
          <w:sz w:val="36"/>
        </w:rPr>
        <w:t>10. Validation Block</w:t>
      </w:r>
    </w:p>
    <w:p>
      <w:pPr>
        <w:shd w:val="clear" w:color="auto" w:fill="F2F2F2"/>
        <w:spacing w:after="0"/>
      </w:pPr>
      <w:r>
        <w:rPr>
          <w:rFonts w:ascii="Consolas" w:hAnsi="Consolas"/>
          <w:b/>
          <w:color w:val="2E75B6"/>
          <w:sz w:val="20"/>
        </w:rPr>
        <w:t>[VALIDATION]</w:t>
      </w:r>
    </w:p>
    <w:p>
      <w:pPr>
        <w:shd w:val="clear" w:color="auto" w:fill="F2F2F2"/>
        <w:spacing w:after="0"/>
      </w:pPr>
      <w:r>
        <w:rPr>
          <w:rFonts w:ascii="Consolas" w:hAnsi="Consolas"/>
          <w:b/>
          <w:sz w:val="20"/>
        </w:rPr>
        <w:t xml:space="preserve">Source validation: </w:t>
      </w:r>
      <w:r>
        <w:rPr>
          <w:rFonts w:ascii="Consolas" w:hAnsi="Consolas"/>
          <w:sz w:val="20"/>
        </w:rPr>
        <w:t>All sections validated against source text.</w:t>
      </w:r>
    </w:p>
    <w:p>
      <w:pPr>
        <w:shd w:val="clear" w:color="auto" w:fill="F2F2F2"/>
        <w:spacing w:after="0"/>
      </w:pPr>
      <w:r>
        <w:rPr>
          <w:rFonts w:ascii="Consolas" w:hAnsi="Consolas"/>
          <w:b/>
          <w:sz w:val="20"/>
        </w:rPr>
        <w:t xml:space="preserve">Hallucination check: </w:t>
      </w:r>
      <w:r>
        <w:rPr>
          <w:rFonts w:ascii="Consolas" w:hAnsi="Consolas"/>
          <w:sz w:val="20"/>
        </w:rPr>
        <w:t>No hallucinations detected.</w:t>
      </w:r>
    </w:p>
    <w:p>
      <w:pPr>
        <w:shd w:val="clear" w:color="auto" w:fill="F2F2F2"/>
        <w:spacing w:after="0"/>
      </w:pPr>
      <w:r>
        <w:rPr>
          <w:rFonts w:ascii="Consolas" w:hAnsi="Consolas"/>
          <w:b/>
          <w:sz w:val="20"/>
        </w:rPr>
        <w:t xml:space="preserve">Extrapolated content: </w:t>
      </w:r>
      <w:r>
        <w:rPr>
          <w:rFonts w:ascii="Consolas" w:hAnsi="Consolas"/>
          <w:sz w:val="20"/>
        </w:rPr>
        <w:t>All extrapolated content is labeled NEW (Proposed).</w:t>
      </w:r>
    </w:p>
    <w:p>
      <w:pPr>
        <w:shd w:val="clear" w:color="auto" w:fill="F2F2F2"/>
        <w:spacing w:after="0"/>
      </w:pPr>
      <w:r>
        <w:rPr>
          <w:rFonts w:ascii="Consolas" w:hAnsi="Consolas"/>
          <w:b/>
          <w:sz w:val="20"/>
        </w:rPr>
        <w:t xml:space="preserve">Uncertainties: </w:t>
      </w:r>
      <w:r>
        <w:rPr>
          <w:rFonts w:ascii="Consolas" w:hAnsi="Consolas"/>
          <w:sz w:val="20"/>
        </w:rPr>
        <w:t>All uncertainties are labeled UNSURE.</w:t>
      </w:r>
    </w:p>
    <w:p>
      <w:pPr>
        <w:shd w:val="clear" w:color="auto" w:fill="F2F2F2"/>
        <w:spacing w:after="0"/>
      </w:pPr>
      <w:r>
        <w:rPr>
          <w:rFonts w:ascii="Consolas" w:hAnsi="Consolas"/>
          <w:b/>
          <w:sz w:val="20"/>
        </w:rPr>
        <w:t xml:space="preserve">Gaps: </w:t>
      </w:r>
      <w:r>
        <w:rPr>
          <w:rFonts w:ascii="Consolas" w:hAnsi="Consolas"/>
          <w:sz w:val="20"/>
        </w:rPr>
        <w:t>All gaps are labeled MISSING.</w:t>
      </w:r>
    </w:p>
    <w:p>
      <w:pPr>
        <w:shd w:val="clear" w:color="auto" w:fill="F2F2F2"/>
        <w:spacing w:after="0"/>
      </w:pPr>
      <w:r>
        <w:rPr>
          <w:rFonts w:ascii="Consolas" w:hAnsi="Consolas"/>
          <w:b/>
          <w:sz w:val="20"/>
        </w:rPr>
        <w:t xml:space="preserve">Placeholder format: </w:t>
      </w:r>
      <w:r>
        <w:rPr>
          <w:rFonts w:ascii="Consolas" w:hAnsi="Consolas"/>
          <w:sz w:val="20"/>
        </w:rPr>
        <w:t>Conforms to UIAO Canonical Document Specification v1.3.</w:t>
      </w:r>
    </w:p>
    <w:p>
      <w:pPr>
        <w:shd w:val="clear" w:color="auto" w:fill="F2F2F2"/>
        <w:spacing w:after="0"/>
      </w:pPr>
      <w:r>
        <w:rPr>
          <w:rFonts w:ascii="Consolas" w:hAnsi="Consolas"/>
          <w:b/>
          <w:sz w:val="20"/>
        </w:rPr>
        <w:t xml:space="preserve">Object referencing: </w:t>
      </w:r>
      <w:r>
        <w:rPr>
          <w:rFonts w:ascii="Consolas" w:hAnsi="Consolas"/>
          <w:sz w:val="20"/>
        </w:rPr>
        <w:t>Conforms to §11 of the canonical specification.</w:t>
      </w:r>
    </w:p>
    <w:p>
      <w:pPr>
        <w:shd w:val="clear" w:color="auto" w:fill="F2F2F2"/>
        <w:spacing w:after="0"/>
      </w:pPr>
      <w:r>
        <w:rPr>
          <w:rFonts w:ascii="Consolas" w:hAnsi="Consolas"/>
          <w:b/>
          <w:sz w:val="20"/>
        </w:rPr>
        <w:t xml:space="preserve">Governance constraints: </w:t>
      </w:r>
      <w:r>
        <w:rPr>
          <w:rFonts w:ascii="Consolas" w:hAnsi="Consolas"/>
          <w:sz w:val="20"/>
        </w:rPr>
        <w:t>§12 of the canonical specification is enforced.</w:t>
      </w:r>
    </w:p>
    <w:p>
      <w:pPr>
        <w:shd w:val="clear" w:color="auto" w:fill="F2F2F2"/>
        <w:spacing w:after="0"/>
      </w:pPr>
      <w:r>
        <w:rPr>
          <w:rFonts w:ascii="Consolas" w:hAnsi="Consolas"/>
          <w:b/>
          <w:color w:val="2E75B6"/>
          <w:sz w:val="20"/>
        </w:rPr>
        <w:t>[/VALIDATION]</w:t>
      </w:r>
    </w:p>
    <w:p>
      <w:pPr>
        <w:spacing w:after="240"/>
      </w:pPr>
      <w:r>
        <w:rPr>
          <w:rFonts w:ascii="Arial" w:hAnsi="Arial"/>
          <w:b w:val="0"/>
          <w:i w:val="0"/>
        </w:rPr>
      </w:r>
    </w:p>
    <w:p>
      <w:pPr>
        <w:spacing w:after="120"/>
        <w:jc w:val="center"/>
      </w:pPr>
      <w:r>
        <w:rPr>
          <w:rFonts w:ascii="Arial" w:hAnsi="Arial"/>
          <w:b w:val="0"/>
          <w:i/>
          <w:color w:val="5A5A5A"/>
        </w:rPr>
        <w:t>End of Document — UIAO Adapter Segmentation Overview v1.0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 xml:space="preserve">UIAO_003 v1.0  |  2026-04-13  |  Page </w:t>
    </w:r>
    <w:r>
      <w:rPr>
        <w:rFonts w:ascii="Arial" w:hAnsi="Arial"/>
        <w:color w:val="5A5A5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8"/>
      </w:rPr>
      <w:t>UIAO Adapter Segmentation Overview  |  UIAO Canon – Public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