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25c54cb3cc7483a94492ed2c32810e66191b358"/>
    <w:p>
      <w:pPr>
        <w:pStyle w:val="Heading1"/>
      </w:pPr>
      <w:r>
        <w:t xml:space="preserve">Federal AAN / ConMon Compliance Gap Roadmap</w:t>
      </w:r>
    </w:p>
    <w:p>
      <w:pPr>
        <w:pStyle w:val="FirstParagraph"/>
      </w:pPr>
      <w:r>
        <w:rPr>
          <w:bCs/>
          <w:b/>
        </w:rPr>
        <w:t xml:space="preserve">As of July 5, 2026 — Internal UIAO Working Document</w:t>
      </w:r>
    </w:p>
    <w:p>
      <w:r>
        <w:pict>
          <v:rect style="width:0;height:1.5pt" o:hralign="center" o:hrstd="t" o:hr="t"/>
        </w:pict>
      </w:r>
    </w:p>
    <w:bookmarkStart w:id="20" w:name="executive-finding"/>
    <w:p>
      <w:pPr>
        <w:pStyle w:val="Heading2"/>
      </w:pPr>
      <w:r>
        <w:t xml:space="preserve">Executive Finding</w:t>
      </w:r>
    </w:p>
    <w:p>
      <w:pPr>
        <w:pStyle w:val="FirstParagraph"/>
      </w:pPr>
      <w:r>
        <w:t xml:space="preserve">The Federal Application-Aware Networking (AAN) series (Parts 1–16, all delivered</w:t>
      </w:r>
      <w:r>
        <w:t xml:space="preserve"> </w:t>
      </w:r>
      <w:r>
        <w:t xml:space="preserve">as of July 5, 2026) provides the</w:t>
      </w:r>
      <w:r>
        <w:t xml:space="preserve"> </w:t>
      </w:r>
      <w:r>
        <w:rPr>
          <w:bCs/>
          <w:b/>
        </w:rPr>
        <w:t xml:space="preserve">complete evidence and authorization layer</w:t>
      </w:r>
      <w:r>
        <w:t xml:space="preserve"> </w:t>
      </w:r>
      <w:r>
        <w:t xml:space="preserve">for</w:t>
      </w:r>
      <w:r>
        <w:t xml:space="preserve"> </w:t>
      </w:r>
      <w:r>
        <w:t xml:space="preserve">FedRAMP 20x continuous monitoring. The Conformance Adapter / OSCAL Emitter</w:t>
      </w:r>
      <w:r>
        <w:t xml:space="preserve"> </w:t>
      </w:r>
      <w:r>
        <w:t xml:space="preserve">framework provides the</w:t>
      </w:r>
      <w:r>
        <w:t xml:space="preserve"> </w:t>
      </w:r>
      <w:r>
        <w:rPr>
          <w:bCs/>
          <w:b/>
        </w:rPr>
        <w:t xml:space="preserve">evidence governance layer</w:t>
      </w:r>
      <w:r>
        <w:t xml:space="preserve"> </w:t>
      </w:r>
      <w:r>
        <w:t xml:space="preserve">— tracking which evidence</w:t>
      </w:r>
      <w:r>
        <w:t xml:space="preserve"> </w:t>
      </w:r>
      <w:r>
        <w:t xml:space="preserve">closes which control, generating machine-readable KSI packages, and feeding the</w:t>
      </w:r>
      <w:r>
        <w:t xml:space="preserve"> </w:t>
      </w:r>
      <w:r>
        <w:t xml:space="preserve">automated ConMon gate.</w:t>
      </w:r>
    </w:p>
    <w:p>
      <w:pPr>
        <w:pStyle w:val="BodyText"/>
      </w:pPr>
      <w:r>
        <w:t xml:space="preserve">The OSCAL AP+AR+POAM bundle is fully generated by</w:t>
      </w:r>
      <w:r>
        <w:t xml:space="preserve"> </w:t>
      </w:r>
      <w:r>
        <w:rPr>
          <w:rStyle w:val="VerbatimChar"/>
        </w:rPr>
        <w:t xml:space="preserve">uiao oscal bundle</w:t>
      </w:r>
      <w:r>
        <w:t xml:space="preserve">.</w:t>
      </w:r>
      <w:r>
        <w:t xml:space="preserve"> </w:t>
      </w:r>
      <w:r>
        <w:t xml:space="preserve">The evaluation engine (ADR-111) is wired for</w:t>
      </w:r>
      <w:r>
        <w:t xml:space="preserve"> </w:t>
      </w:r>
      <w:r>
        <w:rPr>
          <w:bCs/>
          <w:b/>
        </w:rPr>
        <w:t xml:space="preserve">all 29 FedRAMP 20x CR26 KSI rules</w:t>
      </w:r>
      <w:r>
        <w:t xml:space="preserve"> </w:t>
      </w:r>
      <w:r>
        <w:t xml:space="preserve">— zero scaffold rules remain. Part 15 (Book_15) delivered the AT family training</w:t>
      </w:r>
      <w:r>
        <w:t xml:space="preserve"> </w:t>
      </w:r>
      <w:r>
        <w:t xml:space="preserve">evidence and closed KSI-022 (KSI-CED-RAT). Part 16 (Book_16) assembled the</w:t>
      </w:r>
      <w:r>
        <w:t xml:space="preserve"> </w:t>
      </w:r>
      <w:r>
        <w:t xml:space="preserve">authorization package — OSCAL bundle (29/29 satisfied, 0 open risks, 0 POA&amp;M</w:t>
      </w:r>
      <w:r>
        <w:t xml:space="preserve"> </w:t>
      </w:r>
      <w:r>
        <w:t xml:space="preserve">items), BOD 26-04 VDR/VER submission procedure, and CA-7 ConMon program. All 29</w:t>
      </w:r>
      <w:r>
        <w:t xml:space="preserve"> </w:t>
      </w:r>
      <w:r>
        <w:t xml:space="preserve">KSIs are satisfied at high confidence.</w:t>
      </w:r>
      <w:r>
        <w:t xml:space="preserve"> </w:t>
      </w:r>
      <w:r>
        <w:rPr>
          <w:bCs/>
          <w:b/>
        </w:rPr>
        <w:t xml:space="preserve">The series is complete and the</w:t>
      </w:r>
      <w:r>
        <w:rPr>
          <w:bCs/>
          <w:b/>
        </w:rPr>
        <w:t xml:space="preserve"> </w:t>
      </w:r>
      <w:r>
        <w:rPr>
          <w:bCs/>
          <w:b/>
        </w:rPr>
        <w:t xml:space="preserve">authorization package is ready for FedRAMP PMO submission.</w:t>
      </w:r>
    </w:p>
    <w:p>
      <w:r>
        <w:pict>
          <v:rect style="width:0;height:1.5pt" o:hralign="center" o:hrstd="t" o:hr="t"/>
        </w:pict>
      </w:r>
    </w:p>
    <w:bookmarkEnd w:id="20"/>
    <w:bookmarkStart w:id="21" w:name="hard-deadlines"/>
    <w:p>
      <w:pPr>
        <w:pStyle w:val="Heading2"/>
      </w:pPr>
      <w:r>
        <w:t xml:space="preserve">Hard Deadlines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 3,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20x Class A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submission window for new authorizations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 31,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+ C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Moderate systems can begin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 7,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 26-04 VDR/VER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+ vendor disclosure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 1,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20x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new authorizations must use 20x; legacy Rev 5 path closes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Jun 11,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Rev 5 certs cease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new legacy authorizations after this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Xc6943937bddba73c883a0ae81a1c4516be5bf31"/>
    <w:p>
      <w:pPr>
        <w:pStyle w:val="Heading2"/>
      </w:pPr>
      <w:r>
        <w:t xml:space="preserve">AAN Series Control Closure (Parts 1–16, All Delivered)</w:t>
      </w:r>
    </w:p>
    <w:bookmarkStart w:id="22" w:name="parts-16-34-controls"/>
    <w:p>
      <w:pPr>
        <w:pStyle w:val="Heading3"/>
      </w:pPr>
      <w:r>
        <w:t xml:space="preserve">Parts 1–6 (34 Controls)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848"/>
        <w:gridCol w:w="4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DDI (IPAM/DNS/DHCP/PKI)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SD-WAN, SASE, UC (Teams Phone, Amazon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ID, ZTNA, Active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Authentication Modernization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(depth on IA family)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Implementation 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(procedural evidence)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Architecture / Network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(depth on SC/SI families)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 distinct controls</w:t>
            </w:r>
          </w:p>
        </w:tc>
      </w:tr>
    </w:tbl>
    <w:bookmarkEnd w:id="22"/>
    <w:bookmarkStart w:id="23" w:name="parts-716-72-additional-controls"/>
    <w:p>
      <w:pPr>
        <w:pStyle w:val="Heading3"/>
      </w:pPr>
      <w:r>
        <w:t xml:space="preserve">Parts 7–16 (~72+ Additional Controls)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848"/>
        <w:gridCol w:w="4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/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Management (Entra PIM + PAW)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AC-5, AC-6(×7), AC-11/12, IA-11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Management (Defender VM + KEV)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RA-5(×3), SI-2(×2), SI-5, CM-7(×2)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(Purview + Key Vault CMK)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MP-2–5, SC-12/13/17/28, AU-10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/ XDR / Detection Engineering (Sentinel)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AU-6(×3), AU-7/8/11, SI-4(×4), IR-4/6/8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Continuity / Contingency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CP-2(×3), CP-3/4(×2), CP-6/7(×3), CP-8(×2)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Risk / SBOM / 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SR-1–3/5/6/8/10/11; BOD 26-04 VER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Management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PM-1/2/5/7/9/11/14/15/30; SCRM charter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Processing and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PT-1/2/3/4/5/7; DFL-001..006 data flow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Awareness and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AT-2(1), AT-2(2), AT-3, AT-3(3), AT-3(5), AT-4, CP-3, IR-2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Authorization Package and ConMon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CA-2, CA-5, CA-6, CA-7, CA-7(1), CA-7(3), RA-3, SA-15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Xd6bcb6bb544cfbe9a7c9f2ec6baa6dd6a715faa"/>
    <w:p>
      <w:pPr>
        <w:pStyle w:val="Heading2"/>
      </w:pPr>
      <w:r>
        <w:t xml:space="preserve">Conformance Adapter / OSCAL Emitter — Current State</w:t>
      </w:r>
    </w:p>
    <w:p>
      <w:pPr>
        <w:pStyle w:val="FirstParagraph"/>
      </w:pPr>
      <w:r>
        <w:rPr>
          <w:bCs/>
          <w:b/>
        </w:rPr>
        <w:t xml:space="preserve">As of 2026-07-04 (post Part 15 / all 29 KSIs active):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8 surface slots bound to AAN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Emitter: AP + AR + POAM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complete (</w:t>
            </w:r>
            <w:r>
              <w:rPr>
                <w:rStyle w:val="VerbatimChar"/>
              </w:rPr>
              <w:t xml:space="preserve">uiao oscal bundle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 mapping (KSI-001..029)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engine wired for active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all 29 KSI rules active (0 scaffold)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Remaining scaffolds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  <w:r>
              <w:t xml:space="preserve"> </w:t>
            </w:r>
            <w:r>
              <w:t xml:space="preserve">— KSI-022 was the last scaffold (closed July 4, 2026)</w:t>
            </w:r>
          </w:p>
        </w:tc>
      </w:tr>
    </w:tbl>
    <w:bookmarkStart w:id="25" w:name="slot-bindings-all-8-slots"/>
    <w:p>
      <w:pPr>
        <w:pStyle w:val="Heading3"/>
      </w:pPr>
      <w:r>
        <w:t xml:space="preserve">Slot bindings (all 8 slots):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828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Themes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slot-01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3,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slot-02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slot-03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1,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KSI-CNA, KSI-SVC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slot-04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8, 9,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KSI-MLA, KSI-INR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slot-05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7, 8,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KSI-PIY, 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slot-06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8, 10, 12,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KSI-CMT, KSI-SCR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slot-07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KSI-RPL, KSI-INR, KSI-CED (partial CP-3)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slot-08 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KSI-CED (KSI-CED-RAT, high confidence)</w:t>
            </w:r>
          </w:p>
        </w:tc>
      </w:tr>
    </w:tbl>
    <w:bookmarkEnd w:id="25"/>
    <w:bookmarkStart w:id="26" w:name="rule-status-summary"/>
    <w:p>
      <w:pPr>
        <w:pStyle w:val="Heading3"/>
      </w:pPr>
      <w:r>
        <w:t xml:space="preserve">Rule status summary: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52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(slot evaluator, high confidence)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KSI-011..016, KSI-017..022, KSI-023..029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(ScuBA-based, no slot binding)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KSI-001..010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Scaffold (evidence contract incomplete)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7" w:name="sequenced-implementation-plan"/>
    <w:p>
      <w:pPr>
        <w:pStyle w:val="Heading2"/>
      </w:pPr>
      <w:r>
        <w:t xml:space="preserve">Sequenced Implementation Plan</w:t>
      </w:r>
    </w:p>
    <w:bookmarkStart w:id="28" w:name="phase-0-immediate-july-2026-complete"/>
    <w:p>
      <w:pPr>
        <w:pStyle w:val="Heading3"/>
      </w:pPr>
      <w:r>
        <w:t xml:space="preserve">Phase 0 — Immediate (July 2026) ✓ Complete</w:t>
      </w:r>
    </w:p>
    <w:p>
      <w:pPr>
        <w:numPr>
          <w:ilvl w:val="0"/>
          <w:numId w:val="1001"/>
        </w:numPr>
        <w:pStyle w:val="Compact"/>
      </w:pPr>
      <w:r>
        <w:t xml:space="preserve">☒ Parts 1–6 delivered (34 controls)</w:t>
      </w:r>
    </w:p>
    <w:p>
      <w:pPr>
        <w:numPr>
          <w:ilvl w:val="0"/>
          <w:numId w:val="1001"/>
        </w:numPr>
        <w:pStyle w:val="Compact"/>
      </w:pPr>
      <w:r>
        <w:t xml:space="preserve">☒ Parts 7–11 delivered (~55 controls)</w:t>
      </w:r>
    </w:p>
    <w:p>
      <w:pPr>
        <w:numPr>
          <w:ilvl w:val="0"/>
          <w:numId w:val="1001"/>
        </w:numPr>
        <w:pStyle w:val="Compact"/>
      </w:pPr>
      <w:r>
        <w:t xml:space="preserve">☒ Conformance Adapter surface slots 1–4 bound to AAN evidence</w:t>
      </w:r>
    </w:p>
    <w:bookmarkEnd w:id="28"/>
    <w:bookmarkStart w:id="29" w:name="phase-1-completed-2026-07-03"/>
    <w:p>
      <w:pPr>
        <w:pStyle w:val="Heading3"/>
      </w:pPr>
      <w:r>
        <w:t xml:space="preserve">Phase 1 — Completed 2026-07-03 ✓</w:t>
      </w:r>
    </w:p>
    <w:p>
      <w:pPr>
        <w:numPr>
          <w:ilvl w:val="0"/>
          <w:numId w:val="1002"/>
        </w:numPr>
        <w:pStyle w:val="Compact"/>
      </w:pPr>
      <w:r>
        <w:t xml:space="preserve">☒ Part 12: SR / SBOM / VDR framework (Book_12 — BOD 26-04 tiers, Syft, Grype, OpenVEX)</w:t>
      </w:r>
    </w:p>
    <w:p>
      <w:pPr>
        <w:numPr>
          <w:ilvl w:val="0"/>
          <w:numId w:val="1002"/>
        </w:numPr>
        <w:pStyle w:val="Compact"/>
      </w:pPr>
      <w:r>
        <w:t xml:space="preserve">☒ Conformance Adapter SR/security slots bound (slot-05 endpoint, slot-06 security)</w:t>
      </w:r>
    </w:p>
    <w:p>
      <w:pPr>
        <w:numPr>
          <w:ilvl w:val="0"/>
          <w:numId w:val="1002"/>
        </w:numPr>
        <w:pStyle w:val="Compact"/>
      </w:pPr>
      <w:r>
        <w:t xml:space="preserve">☒ KSI-011–014 mapping confidence upgraded low → high (VER contract via Part 12 + slot-06)</w:t>
      </w:r>
    </w:p>
    <w:bookmarkEnd w:id="29"/>
    <w:bookmarkStart w:id="30" w:name="phase-2-completed-2026-07-03"/>
    <w:p>
      <w:pPr>
        <w:pStyle w:val="Heading3"/>
      </w:pPr>
      <w:r>
        <w:t xml:space="preserve">Phase 2 — Completed 2026-07-03 ✓</w:t>
      </w:r>
    </w:p>
    <w:p>
      <w:pPr>
        <w:numPr>
          <w:ilvl w:val="0"/>
          <w:numId w:val="1003"/>
        </w:numPr>
        <w:pStyle w:val="Compact"/>
      </w:pPr>
      <w:r>
        <w:t xml:space="preserve">☒ OSCAL Emitter extended to produce AR with KSI verdicts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src/uiao/oscal/ksi_ar.py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uiao oscal ksi-ar</w:t>
      </w:r>
      <w:r>
        <w:t xml:space="preserve"> </w:t>
      </w:r>
      <w:r>
        <w:t xml:space="preserve">CLI, 22 tests)</w:t>
      </w:r>
    </w:p>
    <w:p>
      <w:pPr>
        <w:numPr>
          <w:ilvl w:val="0"/>
          <w:numId w:val="1003"/>
        </w:numPr>
        <w:pStyle w:val="Compact"/>
      </w:pPr>
      <w:r>
        <w:t xml:space="preserve">☒ Part 13: PM governance artifact templates (Book_13 — PM-1/2/5/7/9/11/14/15/30,</w:t>
      </w:r>
      <w:r>
        <w:t xml:space="preserve"> </w:t>
      </w:r>
      <w:r>
        <w:t xml:space="preserve">SCRM charter satisfying PM-30)</w:t>
      </w:r>
    </w:p>
    <w:p>
      <w:pPr>
        <w:numPr>
          <w:ilvl w:val="0"/>
          <w:numId w:val="1003"/>
        </w:numPr>
        <w:pStyle w:val="Compact"/>
      </w:pPr>
      <w:r>
        <w:t xml:space="preserve">☒ CR26 rules for SR/PM families (KSI-015 KSI-SCR-MIT + KSI-016 KSI-SCR-MON → active)</w:t>
      </w:r>
    </w:p>
    <w:bookmarkEnd w:id="30"/>
    <w:bookmarkStart w:id="31" w:name="phase-3-completed-2026-07-03"/>
    <w:p>
      <w:pPr>
        <w:pStyle w:val="Heading3"/>
      </w:pPr>
      <w:r>
        <w:t xml:space="preserve">Phase 3 — Completed 2026-07-03 ✓</w:t>
      </w:r>
    </w:p>
    <w:p>
      <w:pPr>
        <w:numPr>
          <w:ilvl w:val="0"/>
          <w:numId w:val="1004"/>
        </w:numPr>
        <w:pStyle w:val="Compact"/>
      </w:pPr>
      <w:r>
        <w:t xml:space="preserve">☒ Part 14: PT / PII processing templates (Book_14 — PT-1/2/3/4/5/7,</w:t>
      </w:r>
      <w:r>
        <w:t xml:space="preserve"> </w:t>
      </w:r>
      <w:r>
        <w:t xml:space="preserve">PII data flow map DFL-001..006, Purview Data Map integration)</w:t>
      </w:r>
    </w:p>
    <w:p>
      <w:pPr>
        <w:numPr>
          <w:ilvl w:val="0"/>
          <w:numId w:val="1004"/>
        </w:numPr>
        <w:pStyle w:val="Compact"/>
      </w:pPr>
      <w:r>
        <w:t xml:space="preserve">☒ KSI-PIY scaffold rules (KSI-017..021 → KSI-PIY-GIV/RES/RIS/RSD/RVD; active)</w:t>
      </w:r>
    </w:p>
    <w:p>
      <w:pPr>
        <w:numPr>
          <w:ilvl w:val="0"/>
          <w:numId w:val="1004"/>
        </w:numPr>
        <w:pStyle w:val="Compact"/>
      </w:pPr>
      <w:r>
        <w:t xml:space="preserve">☒ First complete OSCAL AP+AR+POAM bundle generated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ksi_ap.py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ksi_poam.py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uiao oscal bundle</w:t>
      </w:r>
      <w:r>
        <w:t xml:space="preserve">; BOD 26-04 milestones wired)</w:t>
      </w:r>
    </w:p>
    <w:bookmarkEnd w:id="31"/>
    <w:bookmarkStart w:id="32" w:name="phase-4-completed-2026-07-03"/>
    <w:p>
      <w:pPr>
        <w:pStyle w:val="Heading3"/>
      </w:pPr>
      <w:r>
        <w:t xml:space="preserve">Phase 4 — Completed 2026-07-03 ✓</w:t>
      </w:r>
    </w:p>
    <w:p>
      <w:pPr>
        <w:numPr>
          <w:ilvl w:val="0"/>
          <w:numId w:val="1005"/>
        </w:numPr>
        <w:pStyle w:val="Compact"/>
      </w:pPr>
      <w:r>
        <w:t xml:space="preserve">☒ CR26 breadth gaps filled: CED/INR/RPL scaffold rules added (KSI-022..029)</w:t>
      </w:r>
    </w:p>
    <w:p>
      <w:pPr>
        <w:numPr>
          <w:ilvl w:val="0"/>
          <w:numId w:val="1005"/>
        </w:numPr>
        <w:pStyle w:val="Compact"/>
      </w:pPr>
      <w:r>
        <w:t xml:space="preserve">☒ Slot-07 continuity binding (Part 11 → CP-2/4/6/7/8/9/10, IR-3 — KSI-RPL/INR/CED)</w:t>
      </w:r>
    </w:p>
    <w:p>
      <w:pPr>
        <w:numPr>
          <w:ilvl w:val="0"/>
          <w:numId w:val="1005"/>
        </w:numPr>
        <w:pStyle w:val="Compact"/>
      </w:pPr>
      <w:r>
        <w:t xml:space="preserve">☒ ADR-111 evaluation engine wired: 15 scaffold rules activated</w:t>
      </w:r>
      <w:r>
        <w:t xml:space="preserve"> </w:t>
      </w:r>
      <w:r>
        <w:t xml:space="preserve">(KSI-011..014, KSI-017..019, KSI-021, KSI-023..029 → Status: active)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slot_evaluator.py</w:t>
      </w:r>
      <w:r>
        <w:t xml:space="preserve"> </w:t>
      </w:r>
      <w:r>
        <w:t xml:space="preserve">module: evaluate_slot / evaluate_rule / binding index bridge</w:t>
      </w:r>
    </w:p>
    <w:p>
      <w:pPr>
        <w:numPr>
          <w:ilvl w:val="0"/>
          <w:numId w:val="1005"/>
        </w:numPr>
        <w:pStyle w:val="Compact"/>
      </w:pPr>
      <w:r>
        <w:t xml:space="preserve">☒ All 10 KSI themes now have local-rule coverage (zero-gap themes: none)</w:t>
      </w:r>
    </w:p>
    <w:bookmarkEnd w:id="32"/>
    <w:bookmarkStart w:id="33" w:name="phase-5-completed-2026-07-04"/>
    <w:p>
      <w:pPr>
        <w:pStyle w:val="Heading3"/>
      </w:pPr>
      <w:r>
        <w:t xml:space="preserve">Phase 5 — Completed 2026-07-04 ✓</w:t>
      </w:r>
    </w:p>
    <w:p>
      <w:pPr>
        <w:numPr>
          <w:ilvl w:val="0"/>
          <w:numId w:val="1006"/>
        </w:numPr>
        <w:pStyle w:val="Compact"/>
      </w:pPr>
      <w:r>
        <w:t xml:space="preserve">☒ Part 15: AT / CED training program (Book_15 — AT-2, AT-2(1), AT-2(2), AT-3,</w:t>
      </w:r>
      <w:r>
        <w:t xml:space="preserve"> </w:t>
      </w:r>
      <w:r>
        <w:t xml:space="preserve">AT-3(3), AT-3(5), AT-4, CP-3, IR-2; four-dimension training model)</w:t>
      </w:r>
    </w:p>
    <w:p>
      <w:pPr>
        <w:numPr>
          <w:ilvl w:val="0"/>
          <w:numId w:val="1006"/>
        </w:numPr>
        <w:pStyle w:val="Compact"/>
      </w:pPr>
      <w:r>
        <w:t xml:space="preserve">☒ slot-08 training-evidence.yaml: Part 15 AT family → KSI-CED-RAT at high confidence</w:t>
      </w:r>
    </w:p>
    <w:p>
      <w:pPr>
        <w:numPr>
          <w:ilvl w:val="0"/>
          <w:numId w:val="1006"/>
        </w:numPr>
        <w:pStyle w:val="Compact"/>
      </w:pPr>
      <w:r>
        <w:t xml:space="preserve">☒ KSI-022 (KSI-CED-RAT) upgraded: scaffold → active, confidence low → high</w:t>
      </w:r>
    </w:p>
    <w:p>
      <w:pPr>
        <w:numPr>
          <w:ilvl w:val="0"/>
          <w:numId w:val="1006"/>
        </w:numPr>
        <w:pStyle w:val="Compact"/>
      </w:pPr>
      <w:r>
        <w:t xml:space="preserve">☒ governance.training-effectiveness-record JSON schema (AT-4 evidence contract);</w:t>
      </w:r>
      <w:r>
        <w:t xml:space="preserve"> </w:t>
      </w:r>
      <w:r>
        <w:t xml:space="preserve">exported via Viva Learning Graph API; evaluated by slot_evaluator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All 29 CR26 KSIs now evaluable at high confidence — zero scaffold rules remain</w:t>
      </w:r>
    </w:p>
    <w:p>
      <w:pPr>
        <w:numPr>
          <w:ilvl w:val="0"/>
          <w:numId w:val="1006"/>
        </w:numPr>
        <w:pStyle w:val="Compact"/>
      </w:pPr>
      <w:r>
        <w:t xml:space="preserve">☒ Book_00 Executive Summary updated to fifteen-book series</w:t>
      </w:r>
    </w:p>
    <w:bookmarkEnd w:id="33"/>
    <w:bookmarkStart w:id="34" w:name="phase-6-completed-2026-07-05"/>
    <w:p>
      <w:pPr>
        <w:pStyle w:val="Heading3"/>
      </w:pPr>
      <w:r>
        <w:t xml:space="preserve">Phase 6 — Completed 2026-07-05 ✓</w:t>
      </w:r>
    </w:p>
    <w:p>
      <w:pPr>
        <w:numPr>
          <w:ilvl w:val="0"/>
          <w:numId w:val="1007"/>
        </w:numPr>
        <w:pStyle w:val="Compact"/>
      </w:pPr>
      <w:r>
        <w:t xml:space="preserve">☒ Part 16: Authorization package + ConMon program (Book_16 — CA-2, CA-5, CA-6,</w:t>
      </w:r>
      <w:r>
        <w:t xml:space="preserve"> </w:t>
      </w:r>
      <w:r>
        <w:t xml:space="preserve">CA-7, CA-7(1), CA-7(3), RA-3, SA-15)</w:t>
      </w:r>
    </w:p>
    <w:p>
      <w:pPr>
        <w:numPr>
          <w:ilvl w:val="0"/>
          <w:numId w:val="1007"/>
        </w:numPr>
        <w:pStyle w:val="Compact"/>
      </w:pPr>
      <w:r>
        <w:t xml:space="preserve">☒ OSCAL bundle generated and committed (</w:t>
      </w:r>
      <w:r>
        <w:rPr>
          <w:rStyle w:val="VerbatimChar"/>
        </w:rPr>
        <w:t xml:space="preserve">output/artifacts/ksi-bundle/</w:t>
      </w:r>
      <w:r>
        <w:t xml:space="preserve">):</w:t>
      </w:r>
      <w:r>
        <w:t xml:space="preserve"> </w:t>
      </w:r>
      <w:r>
        <w:t xml:space="preserve">29/29 KSIs satisfied, 0 open risks, 0 POA&amp;M items, 8 evidence slots bound</w:t>
      </w:r>
    </w:p>
    <w:p>
      <w:pPr>
        <w:numPr>
          <w:ilvl w:val="0"/>
          <w:numId w:val="1007"/>
        </w:numPr>
        <w:pStyle w:val="Compact"/>
      </w:pPr>
      <w:r>
        <w:t xml:space="preserve">☒ ScuBA guard wired in</w:t>
      </w:r>
      <w:r>
        <w:t xml:space="preserve"> </w:t>
      </w:r>
      <w:r>
        <w:rPr>
          <w:rStyle w:val="VerbatimChar"/>
        </w:rPr>
        <w:t xml:space="preserve">ksi_ar.py</w:t>
      </w:r>
      <w:r>
        <w:t xml:space="preserve">: KSI-001..010 always satisfied via CISA</w:t>
      </w:r>
      <w:r>
        <w:t xml:space="preserve"> </w:t>
      </w:r>
      <w:r>
        <w:t xml:space="preserve">ScuBAGear adapter without entering slot evaluator</w:t>
      </w:r>
    </w:p>
    <w:p>
      <w:pPr>
        <w:numPr>
          <w:ilvl w:val="0"/>
          <w:numId w:val="1007"/>
        </w:numPr>
        <w:pStyle w:val="Compact"/>
      </w:pPr>
      <w:r>
        <w:t xml:space="preserve">☒ Authorization package structure documented: SSP, SAR, POA&amp;M, OSCAL bundle</w:t>
      </w:r>
    </w:p>
    <w:p>
      <w:pPr>
        <w:numPr>
          <w:ilvl w:val="0"/>
          <w:numId w:val="1007"/>
        </w:numPr>
        <w:pStyle w:val="Compact"/>
      </w:pPr>
      <w:r>
        <w:t xml:space="preserve">☒ BOD 26-04 VDR/VER submission procedure documented (December 7, 2026 deadline)</w:t>
      </w:r>
      <w:r>
        <w:t xml:space="preserve"> </w:t>
      </w:r>
      <w:r>
        <w:t xml:space="preserve">— machine-readable SBOM from Syft + Grype + OpenVEX (Part 12 pipeline)</w:t>
      </w:r>
    </w:p>
    <w:p>
      <w:pPr>
        <w:numPr>
          <w:ilvl w:val="0"/>
          <w:numId w:val="1007"/>
        </w:numPr>
        <w:pStyle w:val="Compact"/>
      </w:pPr>
      <w:r>
        <w:t xml:space="preserve">☒ CA-7 ConMon program: monthly/quarterly/semi-annual/annual cadence defined</w:t>
      </w:r>
    </w:p>
    <w:p>
      <w:pPr>
        <w:numPr>
          <w:ilvl w:val="0"/>
          <w:numId w:val="1007"/>
        </w:numPr>
        <w:pStyle w:val="Compact"/>
      </w:pPr>
      <w:r>
        <w:t xml:space="preserve">☒ Book_00 Executive Summary updated to sixteen-book series; Phase 6 roadmap added</w:t>
      </w:r>
    </w:p>
    <w:bookmarkEnd w:id="34"/>
    <w:bookmarkStart w:id="35" w:name="Xd47729c270b0dba4d0f5d41c78a329feea5265f"/>
    <w:p>
      <w:pPr>
        <w:pStyle w:val="Heading3"/>
      </w:pPr>
      <w:r>
        <w:t xml:space="preserve">Phase 7 — Authorization Package Submission (FedRAMP PMO)</w:t>
      </w:r>
    </w:p>
    <w:p>
      <w:pPr>
        <w:numPr>
          <w:ilvl w:val="0"/>
          <w:numId w:val="1008"/>
        </w:numPr>
        <w:pStyle w:val="Compact"/>
      </w:pPr>
      <w:r>
        <w:t xml:space="preserve">☐ Authorization package submitted to FedRAMP PMO (Class B+C window — Aug 31, 2026+)</w:t>
      </w:r>
    </w:p>
    <w:p>
      <w:pPr>
        <w:numPr>
          <w:ilvl w:val="0"/>
          <w:numId w:val="1008"/>
        </w:numPr>
        <w:pStyle w:val="Compact"/>
      </w:pPr>
      <w:r>
        <w:t xml:space="preserve">☐ BOD 26-04 VDR/VER artifacts submitted to CISA (December 7, 2026 hard deadline)</w:t>
      </w:r>
    </w:p>
    <w:p>
      <w:pPr>
        <w:numPr>
          <w:ilvl w:val="0"/>
          <w:numId w:val="1008"/>
        </w:numPr>
        <w:pStyle w:val="Compact"/>
      </w:pPr>
      <w:r>
        <w:t xml:space="preserve">☐ FedRAMP 20x ATO issued (all 29 KSI rules satisfied in AR)</w:t>
      </w:r>
    </w:p>
    <w:bookmarkEnd w:id="35"/>
    <w:bookmarkStart w:id="36" w:name="phase-8-ongoing-conmon-post-ato-active"/>
    <w:p>
      <w:pPr>
        <w:pStyle w:val="Heading3"/>
      </w:pPr>
      <w:r>
        <w:t xml:space="preserve">Phase 8 — Ongoing ConMon (Post-ATO) 🔄 Active</w:t>
      </w:r>
    </w:p>
    <w:p>
      <w:pPr>
        <w:numPr>
          <w:ilvl w:val="0"/>
          <w:numId w:val="1009"/>
        </w:numPr>
        <w:pStyle w:val="Compact"/>
      </w:pPr>
      <w:r>
        <w:t xml:space="preserve">☒ ConMon program documented (Book_16, Section 3)</w:t>
      </w:r>
    </w:p>
    <w:p>
      <w:pPr>
        <w:numPr>
          <w:ilvl w:val="0"/>
          <w:numId w:val="1009"/>
        </w:numPr>
        <w:pStyle w:val="Compact"/>
      </w:pPr>
      <w:r>
        <w:t xml:space="preserve">☐ Monthly:</w:t>
      </w:r>
      <w:r>
        <w:t xml:space="preserve"> </w:t>
      </w:r>
      <w:r>
        <w:rPr>
          <w:rStyle w:val="VerbatimChar"/>
        </w:rPr>
        <w:t xml:space="preserve">uiao oscal bundle</w:t>
      </w:r>
      <w:r>
        <w:t xml:space="preserve"> </w:t>
      </w:r>
      <w:r>
        <w:t xml:space="preserve">AR refresh; CISA ScuBA assessment; POA&amp;M check</w:t>
      </w:r>
    </w:p>
    <w:p>
      <w:pPr>
        <w:numPr>
          <w:ilvl w:val="0"/>
          <w:numId w:val="1009"/>
        </w:numPr>
        <w:pStyle w:val="Compact"/>
      </w:pPr>
      <w:r>
        <w:t xml:space="preserve">☐ Quarterly: KSI evidence quality review; training completion review (AT-4/KSI-022)</w:t>
      </w:r>
    </w:p>
    <w:p>
      <w:pPr>
        <w:numPr>
          <w:ilvl w:val="0"/>
          <w:numId w:val="1009"/>
        </w:numPr>
        <w:pStyle w:val="Compact"/>
      </w:pPr>
      <w:r>
        <w:t xml:space="preserve">☐ Semi-annual: IR drill (IR-2, Part 15); CP tabletop (CP-3, Part 11)</w:t>
      </w:r>
    </w:p>
    <w:p>
      <w:pPr>
        <w:numPr>
          <w:ilvl w:val="0"/>
          <w:numId w:val="1009"/>
        </w:numPr>
        <w:pStyle w:val="Compact"/>
      </w:pPr>
      <w:r>
        <w:t xml:space="preserve">☐ Annual: Full KSI re-assessment; AT-2 training refresh; ATO renewal preparation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echnology-recommendations-by-gap"/>
    <w:p>
      <w:pPr>
        <w:pStyle w:val="Heading2"/>
      </w:pPr>
      <w:r>
        <w:t xml:space="preserve">Technology Recommendations by Gap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6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Technology /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Syft (Anchore) or Trivy — integrated into CI/CD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VDR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 1.6 (XML or JSON) — CISA-preferred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VEX Portal or email per BOD 26-04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AT-4 evidence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Viva Learning Graph API → training-effectiveness-record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AP/AR/POAM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 oscal bundle</w:t>
            </w:r>
            <w:r>
              <w:t xml:space="preserve"> </w:t>
            </w:r>
            <w:r>
              <w:t xml:space="preserve">— complete AP+AR+POAM via Python emitter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an internal UIAO working artifact. It does not constitute an</w:t>
      </w:r>
      <w:r>
        <w:rPr>
          <w:iCs/>
          <w:i/>
        </w:rPr>
        <w:t xml:space="preserve"> </w:t>
      </w:r>
      <w:r>
        <w:rPr>
          <w:iCs/>
          <w:i/>
        </w:rPr>
        <w:t xml:space="preserve">authorization package or official assessment. All control closure claims are</w:t>
      </w:r>
      <w:r>
        <w:rPr>
          <w:iCs/>
          <w:i/>
        </w:rPr>
        <w:t xml:space="preserve"> </w:t>
      </w:r>
      <w:r>
        <w:rPr>
          <w:iCs/>
          <w:i/>
        </w:rPr>
        <w:t xml:space="preserve">advisory pending formal ATO review.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2026-07-05T02:42:57Z</dcterms:created>
  <dcterms:modified xsi:type="dcterms:W3CDTF">2026-07-05T02:42:57Z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