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04 Fedramp20X Phase2 Summary</w:t>
      </w:r>
    </w:p>
    <w:p>
      <w:pPr>
        <w:pStyle w:val="Author"/>
      </w:pPr>
      <w:r>
        <w:t xml:space="preserve">UIAO Modernization Program</w:t>
      </w:r>
    </w:p>
    <w:p>
      <w:pPr>
        <w:pStyle w:val="Date"/>
      </w:pPr>
      <w:r>
        <w:t xml:space="preserve">March 31,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8" w:name="X97ebc968037ea5a380857af41de744d5207758a"/>
    <w:p>
      <w:pPr>
        <w:pStyle w:val="Heading1"/>
      </w:pPr>
      <w:r>
        <w:t xml:space="preserve">1. UIAO FedRAMP 20x Phase 2 Compliance Summary</w:t>
      </w:r>
    </w:p>
    <w:bookmarkStart w:id="20" w:name="title-page"/>
    <w:p>
      <w:pPr>
        <w:pStyle w:val="Heading2"/>
      </w:pPr>
      <w:r>
        <w:t xml:space="preserve">1.1 1. Title Page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March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CUI/FOUO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Source Planes</w:t>
            </w:r>
          </w:p>
        </w:tc>
        <w:tc>
          <w:tcPr/>
          <w:p>
            <w:pPr>
              <w:pStyle w:val="Compact"/>
            </w:pPr>
            <w:r>
              <w:t xml:space="preserve">Identity, Network, Addressing, Telemetry, Security,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Type</w:t>
            </w:r>
          </w:p>
        </w:tc>
        <w:tc>
          <w:tcPr/>
          <w:p>
            <w:pPr>
              <w:pStyle w:val="Compact"/>
            </w:pPr>
            <w:r>
              <w:t xml:space="preserve">Compliance Summary (02_Appendices)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purpose"/>
    <w:p>
      <w:pPr>
        <w:pStyle w:val="Heading2"/>
      </w:pPr>
      <w:r>
        <w:t xml:space="preserve">1.2 2. Purpose</w:t>
      </w:r>
    </w:p>
    <w:p>
      <w:pPr>
        <w:pStyle w:val="FirstParagraph"/>
      </w:pPr>
      <w:r>
        <w:t xml:space="preserve">This document provides the authoritative summary of how the Unified Identity-Addressing-Overlay (UIAO) architecture satisfies the requirements of FedRAMP 20x Phase 2. It explains the modernization drivers, architectural alignment, control-plane contributions, and compliance outcomes required for a telemetry-based, identity-anchored, Zero Trust-aligned federal enterprise.</w:t>
      </w:r>
    </w:p>
    <w:p>
      <w:r>
        <w:pict>
          <v:rect style="width:0;height:1.5pt" o:hralign="center" o:hrstd="t" o:hr="t"/>
        </w:pict>
      </w:r>
    </w:p>
    <w:bookmarkEnd w:id="21"/>
    <w:bookmarkStart w:id="24" w:name="scope"/>
    <w:p>
      <w:pPr>
        <w:pStyle w:val="Heading2"/>
      </w:pPr>
      <w:r>
        <w:t xml:space="preserve">1.3 3. Scope</w:t>
      </w:r>
    </w:p>
    <w:bookmarkStart w:id="22" w:name="included"/>
    <w:p>
      <w:pPr>
        <w:pStyle w:val="Heading3"/>
      </w:pPr>
      <w:r>
        <w:t xml:space="preserve">1.3.1 Included</w:t>
      </w:r>
    </w:p>
    <w:p>
      <w:pPr>
        <w:pStyle w:val="Compact"/>
        <w:numPr>
          <w:ilvl w:val="0"/>
          <w:numId w:val="1001"/>
        </w:numPr>
      </w:pPr>
      <w:r>
        <w:t xml:space="preserve">Phase 2 modernization drivers</w:t>
      </w:r>
    </w:p>
    <w:p>
      <w:pPr>
        <w:pStyle w:val="Compact"/>
        <w:numPr>
          <w:ilvl w:val="0"/>
          <w:numId w:val="1001"/>
        </w:numPr>
      </w:pPr>
      <w:r>
        <w:t xml:space="preserve">Architectural alignment across all six control planes</w:t>
      </w:r>
    </w:p>
    <w:p>
      <w:pPr>
        <w:pStyle w:val="Compact"/>
        <w:numPr>
          <w:ilvl w:val="0"/>
          <w:numId w:val="1001"/>
        </w:numPr>
      </w:pPr>
      <w:r>
        <w:t xml:space="preserve">Core concepts supporting FedRAMP 20x</w:t>
      </w:r>
    </w:p>
    <w:p>
      <w:pPr>
        <w:pStyle w:val="Compact"/>
        <w:numPr>
          <w:ilvl w:val="0"/>
          <w:numId w:val="1001"/>
        </w:numPr>
      </w:pPr>
      <w:r>
        <w:t xml:space="preserve">Frozen state compliance risks</w:t>
      </w:r>
    </w:p>
    <w:p>
      <w:pPr>
        <w:pStyle w:val="Compact"/>
        <w:numPr>
          <w:ilvl w:val="0"/>
          <w:numId w:val="1001"/>
        </w:numPr>
      </w:pPr>
      <w:r>
        <w:t xml:space="preserve">Compliance outcomes and mission impact</w:t>
      </w:r>
    </w:p>
    <w:bookmarkEnd w:id="22"/>
    <w:bookmarkStart w:id="23" w:name="excluded"/>
    <w:p>
      <w:pPr>
        <w:pStyle w:val="Heading3"/>
      </w:pPr>
      <w:r>
        <w:t xml:space="preserve">1.3.2 Excluded</w:t>
      </w:r>
    </w:p>
    <w:p>
      <w:pPr>
        <w:pStyle w:val="Compact"/>
        <w:numPr>
          <w:ilvl w:val="0"/>
          <w:numId w:val="1002"/>
        </w:numPr>
      </w:pPr>
      <w:r>
        <w:t xml:space="preserve">Detailed crosswalk mappings (see</w:t>
      </w:r>
      <w:r>
        <w:t xml:space="preserve"> </w:t>
      </w:r>
      <w:r>
        <w:rPr>
          <w:rStyle w:val="VerbatimChar"/>
        </w:rPr>
        <w:t xml:space="preserve">03_FedRAMP20x_Crosswalk.md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Project plan sequencing (see</w:t>
      </w:r>
      <w:r>
        <w:t xml:space="preserve"> </w:t>
      </w:r>
      <w:r>
        <w:rPr>
          <w:rStyle w:val="VerbatimChar"/>
        </w:rPr>
        <w:t xml:space="preserve">08_ModernizationTimeline.md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Vendor-specific deployment instructions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control-plane-alignment"/>
    <w:p>
      <w:pPr>
        <w:pStyle w:val="Heading2"/>
      </w:pPr>
      <w:r>
        <w:t xml:space="preserve">1.4 4. Control Plane Alignment</w:t>
      </w:r>
    </w:p>
    <w:p>
      <w:pPr>
        <w:pStyle w:val="FirstParagraph"/>
      </w:pPr>
      <w:r>
        <w:t xml:space="preserve">FedRAMP 20x Phase 2 compliance is achieved through coordinated operation of all six UIAO control planes: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Plane</w:t>
            </w:r>
          </w:p>
        </w:tc>
        <w:tc>
          <w:tcPr/>
          <w:p>
            <w:pPr>
              <w:pStyle w:val="Compact"/>
            </w:pPr>
            <w:r>
              <w:t xml:space="preserve">Phase 2 Compliance 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MFA, lifecycle governance, identity assurance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</w:t>
            </w:r>
          </w:p>
        </w:tc>
        <w:tc>
          <w:tcPr/>
          <w:p>
            <w:pPr>
              <w:pStyle w:val="Compact"/>
            </w:pPr>
            <w:r>
              <w:t xml:space="preserve">Cloud-first routing, segmentation, mTLS overlay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Addressing</w:t>
            </w:r>
          </w:p>
        </w:tc>
        <w:tc>
          <w:tcPr/>
          <w:p>
            <w:pPr>
              <w:pStyle w:val="Compact"/>
            </w:pPr>
            <w:r>
              <w:t xml:space="preserve">Deterministic IPAM, DNS/DHCP modernization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Telemetry and Location</w:t>
            </w:r>
          </w:p>
        </w:tc>
        <w:tc>
          <w:tcPr/>
          <w:p>
            <w:pPr>
              <w:pStyle w:val="Compact"/>
            </w:pPr>
            <w:r>
              <w:t xml:space="preserve">Real-time KSI generation, INR/E911 readiness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and Compliance</w:t>
            </w:r>
          </w:p>
        </w:tc>
        <w:tc>
          <w:tcPr/>
          <w:p>
            <w:pPr>
              <w:pStyle w:val="Compact"/>
            </w:pPr>
            <w:r>
              <w:t xml:space="preserve">Zero Trust enforcement, FedRAMP alignment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Management</w:t>
            </w:r>
          </w:p>
        </w:tc>
        <w:tc>
          <w:tcPr/>
          <w:p>
            <w:pPr>
              <w:pStyle w:val="Compact"/>
            </w:pPr>
            <w:r>
              <w:t xml:space="preserve">Drift detection, CMDB integrity, device compliance</w:t>
            </w:r>
          </w:p>
        </w:tc>
      </w:tr>
    </w:tbl>
    <w:p>
      <w:pPr>
        <w:pStyle w:val="BodyText"/>
      </w:pPr>
      <w:r>
        <w:t xml:space="preserve">Each plane contributes mandatory telemetry and evidence for FedRAMP 20x validation.</w:t>
      </w:r>
    </w:p>
    <w:p>
      <w:r>
        <w:pict>
          <v:rect style="width:0;height:1.5pt" o:hralign="center" o:hrstd="t" o:hr="t"/>
        </w:pict>
      </w:r>
    </w:p>
    <w:bookmarkEnd w:id="25"/>
    <w:bookmarkStart w:id="26" w:name="core-concepts"/>
    <w:p>
      <w:pPr>
        <w:pStyle w:val="Heading2"/>
      </w:pPr>
      <w:r>
        <w:t xml:space="preserve">1.5 5. Core Concepts</w:t>
      </w:r>
    </w:p>
    <w:p>
      <w:pPr>
        <w:pStyle w:val="FirstParagraph"/>
      </w:pPr>
      <w:r>
        <w:t xml:space="preserve">FedRAMP 20x Phase 2 is supported by the Seven Core Concepts of UIAO: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Conversation as the atomic unit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Identity as the root namespace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Deterministic addressing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Certificate-anchored overlay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Telemetry as control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Embedded governance and automation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Public service first</w:t>
      </w:r>
    </w:p>
    <w:p>
      <w:pPr>
        <w:pStyle w:val="FirstParagraph"/>
      </w:pPr>
      <w:r>
        <w:t xml:space="preserve">These concepts ensure that compliance is continuous, automated, and identity-anchored.</w:t>
      </w:r>
    </w:p>
    <w:p>
      <w:r>
        <w:pict>
          <v:rect style="width:0;height:1.5pt" o:hralign="center" o:hrstd="t" o:hr="t"/>
        </w:pict>
      </w:r>
    </w:p>
    <w:bookmarkEnd w:id="26"/>
    <w:bookmarkStart w:id="34" w:name="architecture-model"/>
    <w:p>
      <w:pPr>
        <w:pStyle w:val="Heading2"/>
      </w:pPr>
      <w:r>
        <w:t xml:space="preserve">1.6 6. Architecture Model</w:t>
      </w:r>
    </w:p>
    <w:bookmarkStart w:id="27" w:name="modernization-drivers"/>
    <w:p>
      <w:pPr>
        <w:pStyle w:val="Heading3"/>
      </w:pPr>
      <w:r>
        <w:t xml:space="preserve">1.6.1 6.1 Modernization Drivers</w:t>
      </w:r>
    </w:p>
    <w:p>
      <w:pPr>
        <w:pStyle w:val="FirstParagraph"/>
      </w:pPr>
      <w:r>
        <w:t xml:space="preserve">The agency’s legacy environment exhibits structural constraints that prevent compliance with FedRAMP 20x Phase 2:</w:t>
      </w:r>
    </w:p>
    <w:p>
      <w:pPr>
        <w:pStyle w:val="Compact"/>
        <w:numPr>
          <w:ilvl w:val="0"/>
          <w:numId w:val="1004"/>
        </w:numPr>
      </w:pPr>
      <w:r>
        <w:t xml:space="preserve">TIC 2.0 hairpinning degrades M365 performance</w:t>
      </w:r>
    </w:p>
    <w:p>
      <w:pPr>
        <w:pStyle w:val="Compact"/>
        <w:numPr>
          <w:ilvl w:val="0"/>
          <w:numId w:val="1004"/>
        </w:numPr>
      </w:pPr>
      <w:r>
        <w:t xml:space="preserve">Identity anchored in on-prem AD with inconsistent governance</w:t>
      </w:r>
    </w:p>
    <w:p>
      <w:pPr>
        <w:pStyle w:val="Compact"/>
        <w:numPr>
          <w:ilvl w:val="0"/>
          <w:numId w:val="1004"/>
        </w:numPr>
      </w:pPr>
      <w:r>
        <w:t xml:space="preserve">Fragmented IPAM across spreadsheets and disconnected tools</w:t>
      </w:r>
    </w:p>
    <w:p>
      <w:pPr>
        <w:pStyle w:val="Compact"/>
        <w:numPr>
          <w:ilvl w:val="0"/>
          <w:numId w:val="1004"/>
        </w:numPr>
      </w:pPr>
      <w:r>
        <w:t xml:space="preserve">Siloed telemetry preventing conversation-level correlation</w:t>
      </w:r>
    </w:p>
    <w:p>
      <w:pPr>
        <w:pStyle w:val="Compact"/>
        <w:numPr>
          <w:ilvl w:val="0"/>
          <w:numId w:val="1004"/>
        </w:numPr>
      </w:pPr>
      <w:r>
        <w:t xml:space="preserve">Manual governance processes incompatible with continuous monitoring</w:t>
      </w:r>
    </w:p>
    <w:p>
      <w:pPr>
        <w:pStyle w:val="Compact"/>
        <w:numPr>
          <w:ilvl w:val="0"/>
          <w:numId w:val="1004"/>
        </w:numPr>
      </w:pPr>
      <w:r>
        <w:t xml:space="preserve">Perimeter-centric security models unable to enforce Zero Trust</w:t>
      </w:r>
    </w:p>
    <w:p>
      <w:pPr>
        <w:pStyle w:val="FirstParagraph"/>
      </w:pPr>
      <w:r>
        <w:t xml:space="preserve">These constraints create direct mission impact:</w:t>
      </w:r>
    </w:p>
    <w:p>
      <w:pPr>
        <w:pStyle w:val="Compact"/>
        <w:numPr>
          <w:ilvl w:val="0"/>
          <w:numId w:val="1005"/>
        </w:numPr>
      </w:pPr>
      <w:r>
        <w:t xml:space="preserve">Poor cloud performance</w:t>
      </w:r>
    </w:p>
    <w:p>
      <w:pPr>
        <w:pStyle w:val="Compact"/>
        <w:numPr>
          <w:ilvl w:val="0"/>
          <w:numId w:val="1005"/>
        </w:numPr>
      </w:pPr>
      <w:r>
        <w:t xml:space="preserve">Increased cyber risk</w:t>
      </w:r>
    </w:p>
    <w:p>
      <w:pPr>
        <w:pStyle w:val="Compact"/>
        <w:numPr>
          <w:ilvl w:val="0"/>
          <w:numId w:val="1005"/>
        </w:numPr>
      </w:pPr>
      <w:r>
        <w:t xml:space="preserve">Compliance gaps (TIC 3.0, FedRAMP 20x, SCuBA)</w:t>
      </w:r>
    </w:p>
    <w:p>
      <w:pPr>
        <w:pStyle w:val="Compact"/>
        <w:numPr>
          <w:ilvl w:val="0"/>
          <w:numId w:val="1005"/>
        </w:numPr>
      </w:pPr>
      <w:r>
        <w:t xml:space="preserve">Operational inefficiencies</w:t>
      </w:r>
    </w:p>
    <w:p>
      <w:pPr>
        <w:pStyle w:val="FirstParagraph"/>
      </w:pPr>
      <w:r>
        <w:t xml:space="preserve">UIAO resolves these constraints through identity-driven, telemetry-informed modernization.</w:t>
      </w:r>
    </w:p>
    <w:bookmarkEnd w:id="27"/>
    <w:bookmarkStart w:id="33" w:name="Xbd6c3a18fdfbb31a92ed2405524763146fea4b4"/>
    <w:p>
      <w:pPr>
        <w:pStyle w:val="Heading3"/>
      </w:pPr>
      <w:r>
        <w:t xml:space="preserve">1.6.2 6.2 Architecture Supporting FedRAMP 20x Phase 2</w:t>
      </w:r>
    </w:p>
    <w:bookmarkStart w:id="28" w:name="identity-control-plane"/>
    <w:p>
      <w:pPr>
        <w:pStyle w:val="Heading4"/>
      </w:pPr>
      <w:r>
        <w:t xml:space="preserve">1.6.2.1 Identity Control Plane</w:t>
      </w:r>
    </w:p>
    <w:p>
      <w:pPr>
        <w:pStyle w:val="Compact"/>
        <w:numPr>
          <w:ilvl w:val="0"/>
          <w:numId w:val="1006"/>
        </w:numPr>
      </w:pPr>
      <w:r>
        <w:t xml:space="preserve">Entra ID as authoritative identity</w:t>
      </w:r>
    </w:p>
    <w:p>
      <w:pPr>
        <w:pStyle w:val="Compact"/>
        <w:numPr>
          <w:ilvl w:val="0"/>
          <w:numId w:val="1006"/>
        </w:numPr>
      </w:pPr>
      <w:r>
        <w:t xml:space="preserve">ICAM governance (NIST 800-63, OMB M-19-17)</w:t>
      </w:r>
    </w:p>
    <w:p>
      <w:pPr>
        <w:pStyle w:val="Compact"/>
        <w:numPr>
          <w:ilvl w:val="0"/>
          <w:numId w:val="1006"/>
        </w:numPr>
      </w:pPr>
      <w:r>
        <w:t xml:space="preserve">Conditional Access enforcing device trust</w:t>
      </w:r>
    </w:p>
    <w:p>
      <w:pPr>
        <w:pStyle w:val="Compact"/>
        <w:numPr>
          <w:ilvl w:val="0"/>
          <w:numId w:val="1006"/>
        </w:numPr>
      </w:pPr>
      <w:r>
        <w:t xml:space="preserve">PIM for privileged access</w:t>
      </w:r>
    </w:p>
    <w:p>
      <w:pPr>
        <w:pStyle w:val="Compact"/>
        <w:numPr>
          <w:ilvl w:val="0"/>
          <w:numId w:val="1006"/>
        </w:numPr>
      </w:pPr>
      <w:r>
        <w:t xml:space="preserve">Automated lifecycle (joiner/mover/leaver)</w:t>
      </w:r>
    </w:p>
    <w:bookmarkEnd w:id="28"/>
    <w:bookmarkStart w:id="29" w:name="network-control-plane"/>
    <w:p>
      <w:pPr>
        <w:pStyle w:val="Heading4"/>
      </w:pPr>
      <w:r>
        <w:t xml:space="preserve">1.6.2.2 Network Control Plane</w:t>
      </w:r>
    </w:p>
    <w:p>
      <w:pPr>
        <w:pStyle w:val="Compact"/>
        <w:numPr>
          <w:ilvl w:val="0"/>
          <w:numId w:val="1007"/>
        </w:numPr>
      </w:pPr>
      <w:r>
        <w:t xml:space="preserve">Cisco SD-WAN for cloud-first routing</w:t>
      </w:r>
    </w:p>
    <w:p>
      <w:pPr>
        <w:pStyle w:val="Compact"/>
        <w:numPr>
          <w:ilvl w:val="0"/>
          <w:numId w:val="1007"/>
        </w:numPr>
      </w:pPr>
      <w:r>
        <w:t xml:space="preserve">Identity-aware segmentation</w:t>
      </w:r>
    </w:p>
    <w:p>
      <w:pPr>
        <w:pStyle w:val="Compact"/>
        <w:numPr>
          <w:ilvl w:val="0"/>
          <w:numId w:val="1007"/>
        </w:numPr>
      </w:pPr>
      <w:r>
        <w:t xml:space="preserve">Cloud OnRamp for M365</w:t>
      </w:r>
    </w:p>
    <w:p>
      <w:pPr>
        <w:pStyle w:val="Compact"/>
        <w:numPr>
          <w:ilvl w:val="0"/>
          <w:numId w:val="1007"/>
        </w:numPr>
      </w:pPr>
      <w:r>
        <w:t xml:space="preserve">INR integration for location-aware routing</w:t>
      </w:r>
    </w:p>
    <w:bookmarkEnd w:id="29"/>
    <w:bookmarkStart w:id="30" w:name="addressing-control-plane"/>
    <w:p>
      <w:pPr>
        <w:pStyle w:val="Heading4"/>
      </w:pPr>
      <w:r>
        <w:t xml:space="preserve">1.6.2.3 Addressing Control Plane</w:t>
      </w:r>
    </w:p>
    <w:p>
      <w:pPr>
        <w:pStyle w:val="Compact"/>
        <w:numPr>
          <w:ilvl w:val="0"/>
          <w:numId w:val="1008"/>
        </w:numPr>
      </w:pPr>
      <w:r>
        <w:t xml:space="preserve">Infoblox IPAM replacing spreadsheets</w:t>
      </w:r>
    </w:p>
    <w:p>
      <w:pPr>
        <w:pStyle w:val="Compact"/>
        <w:numPr>
          <w:ilvl w:val="0"/>
          <w:numId w:val="1008"/>
        </w:numPr>
      </w:pPr>
      <w:r>
        <w:t xml:space="preserve">Deterministic, identity-derived addressing</w:t>
      </w:r>
    </w:p>
    <w:p>
      <w:pPr>
        <w:pStyle w:val="Compact"/>
        <w:numPr>
          <w:ilvl w:val="0"/>
          <w:numId w:val="1008"/>
        </w:numPr>
      </w:pPr>
      <w:r>
        <w:t xml:space="preserve">Unified DNS/DHCP across cloud and on-prem</w:t>
      </w:r>
    </w:p>
    <w:p>
      <w:pPr>
        <w:pStyle w:val="Compact"/>
        <w:numPr>
          <w:ilvl w:val="0"/>
          <w:numId w:val="1008"/>
        </w:numPr>
      </w:pPr>
      <w:r>
        <w:t xml:space="preserve">Accurate telemetry correlation</w:t>
      </w:r>
    </w:p>
    <w:bookmarkEnd w:id="30"/>
    <w:bookmarkStart w:id="31" w:name="telemetry-and-location-control-plane"/>
    <w:p>
      <w:pPr>
        <w:pStyle w:val="Heading4"/>
      </w:pPr>
      <w:r>
        <w:t xml:space="preserve">1.6.2.4 Telemetry and Location Control Plane</w:t>
      </w:r>
    </w:p>
    <w:p>
      <w:pPr>
        <w:pStyle w:val="Compact"/>
        <w:numPr>
          <w:ilvl w:val="0"/>
          <w:numId w:val="1009"/>
        </w:numPr>
      </w:pPr>
      <w:r>
        <w:t xml:space="preserve">M365, SD-WAN, DNS, endpoint telemetry</w:t>
      </w:r>
    </w:p>
    <w:p>
      <w:pPr>
        <w:pStyle w:val="Compact"/>
        <w:numPr>
          <w:ilvl w:val="0"/>
          <w:numId w:val="1009"/>
        </w:numPr>
      </w:pPr>
      <w:r>
        <w:t xml:space="preserve">Conversation-level correlation</w:t>
      </w:r>
    </w:p>
    <w:p>
      <w:pPr>
        <w:pStyle w:val="Compact"/>
        <w:numPr>
          <w:ilvl w:val="0"/>
          <w:numId w:val="1009"/>
        </w:numPr>
      </w:pPr>
      <w:r>
        <w:t xml:space="preserve">E911 dynamic location mapping</w:t>
      </w:r>
    </w:p>
    <w:p>
      <w:pPr>
        <w:pStyle w:val="Compact"/>
        <w:numPr>
          <w:ilvl w:val="0"/>
          <w:numId w:val="1009"/>
        </w:numPr>
      </w:pPr>
      <w:r>
        <w:t xml:space="preserve">IPAM-based location inference</w:t>
      </w:r>
    </w:p>
    <w:bookmarkEnd w:id="31"/>
    <w:bookmarkStart w:id="32" w:name="security-and-compliance-plane"/>
    <w:p>
      <w:pPr>
        <w:pStyle w:val="Heading4"/>
      </w:pPr>
      <w:r>
        <w:t xml:space="preserve">1.6.2.5 Security and Compliance Plane</w:t>
      </w:r>
    </w:p>
    <w:p>
      <w:pPr>
        <w:pStyle w:val="Compact"/>
        <w:numPr>
          <w:ilvl w:val="0"/>
          <w:numId w:val="1010"/>
        </w:numPr>
      </w:pPr>
      <w:r>
        <w:t xml:space="preserve">TIC 3.0 Cloud + Branch</w:t>
      </w:r>
    </w:p>
    <w:p>
      <w:pPr>
        <w:pStyle w:val="Compact"/>
        <w:numPr>
          <w:ilvl w:val="0"/>
          <w:numId w:val="1010"/>
        </w:numPr>
      </w:pPr>
      <w:r>
        <w:t xml:space="preserve">Zero Trust enforcement</w:t>
      </w:r>
    </w:p>
    <w:p>
      <w:pPr>
        <w:pStyle w:val="Compact"/>
        <w:numPr>
          <w:ilvl w:val="0"/>
          <w:numId w:val="1010"/>
        </w:numPr>
      </w:pPr>
      <w:r>
        <w:t xml:space="preserve">FedRAMP 20x telemetry validation</w:t>
      </w:r>
    </w:p>
    <w:p>
      <w:pPr>
        <w:pStyle w:val="Compact"/>
        <w:numPr>
          <w:ilvl w:val="0"/>
          <w:numId w:val="1010"/>
        </w:numPr>
      </w:pPr>
      <w:r>
        <w:t xml:space="preserve">NIST 800-63 identity governance</w:t>
      </w:r>
    </w:p>
    <w:p>
      <w:pPr>
        <w:pStyle w:val="FirstParagraph"/>
      </w:pPr>
      <w:r>
        <w:t xml:space="preserve">Together, these planes produce continuous, machine-generated evidence.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38" w:name="runtime-model"/>
    <w:p>
      <w:pPr>
        <w:pStyle w:val="Heading2"/>
      </w:pPr>
      <w:r>
        <w:t xml:space="preserve">1.7 7. Runtime Model</w:t>
      </w:r>
    </w:p>
    <w:p>
      <w:pPr>
        <w:pStyle w:val="FirstParagraph"/>
      </w:pPr>
      <w:r>
        <w:t xml:space="preserve">UIAO’s runtime model directly satisfies FedRAMP 20x Phase 2 requirements.</w:t>
      </w:r>
    </w:p>
    <w:bookmarkStart w:id="35" w:name="conversation-level-telemetry"/>
    <w:p>
      <w:pPr>
        <w:pStyle w:val="Heading3"/>
      </w:pPr>
      <w:r>
        <w:t xml:space="preserve">1.7.1 7.1 Conversation-Level Telemetry</w:t>
      </w:r>
    </w:p>
    <w:p>
      <w:pPr>
        <w:pStyle w:val="FirstParagraph"/>
      </w:pPr>
      <w:r>
        <w:t xml:space="preserve">Every interaction produces:</w:t>
      </w:r>
    </w:p>
    <w:p>
      <w:pPr>
        <w:pStyle w:val="Compact"/>
        <w:numPr>
          <w:ilvl w:val="0"/>
          <w:numId w:val="1011"/>
        </w:numPr>
      </w:pPr>
      <w:r>
        <w:t xml:space="preserve">Identity metadata</w:t>
      </w:r>
    </w:p>
    <w:p>
      <w:pPr>
        <w:pStyle w:val="Compact"/>
        <w:numPr>
          <w:ilvl w:val="0"/>
          <w:numId w:val="1011"/>
        </w:numPr>
      </w:pPr>
      <w:r>
        <w:t xml:space="preserve">Addressing metadata</w:t>
      </w:r>
    </w:p>
    <w:p>
      <w:pPr>
        <w:pStyle w:val="Compact"/>
        <w:numPr>
          <w:ilvl w:val="0"/>
          <w:numId w:val="1011"/>
        </w:numPr>
      </w:pPr>
      <w:r>
        <w:t xml:space="preserve">Certificate metadata</w:t>
      </w:r>
    </w:p>
    <w:p>
      <w:pPr>
        <w:pStyle w:val="Compact"/>
        <w:numPr>
          <w:ilvl w:val="0"/>
          <w:numId w:val="1011"/>
        </w:numPr>
      </w:pPr>
      <w:r>
        <w:t xml:space="preserve">Path and QoS telemetry</w:t>
      </w:r>
    </w:p>
    <w:p>
      <w:pPr>
        <w:pStyle w:val="Compact"/>
        <w:numPr>
          <w:ilvl w:val="0"/>
          <w:numId w:val="1011"/>
        </w:numPr>
      </w:pPr>
      <w:r>
        <w:t xml:space="preserve">Device posture</w:t>
      </w:r>
    </w:p>
    <w:p>
      <w:pPr>
        <w:pStyle w:val="Compact"/>
        <w:numPr>
          <w:ilvl w:val="0"/>
          <w:numId w:val="1011"/>
        </w:numPr>
      </w:pPr>
      <w:r>
        <w:t xml:space="preserve">Location inference</w:t>
      </w:r>
    </w:p>
    <w:bookmarkEnd w:id="35"/>
    <w:bookmarkStart w:id="36" w:name="deterministic-behavior"/>
    <w:p>
      <w:pPr>
        <w:pStyle w:val="Heading3"/>
      </w:pPr>
      <w:r>
        <w:t xml:space="preserve">1.7.2 7.2 Deterministic Behavior</w:t>
      </w:r>
    </w:p>
    <w:p>
      <w:pPr>
        <w:pStyle w:val="FirstParagraph"/>
      </w:pPr>
      <w:r>
        <w:t xml:space="preserve">Given identical inputs, UIAO produces identical telemetry outputs — enabling reproducible compliance.</w:t>
      </w:r>
    </w:p>
    <w:bookmarkEnd w:id="36"/>
    <w:bookmarkStart w:id="37" w:name="continuous-evaluation"/>
    <w:p>
      <w:pPr>
        <w:pStyle w:val="Heading3"/>
      </w:pPr>
      <w:r>
        <w:t xml:space="preserve">1.7.3 7.3 Continuous Evaluation</w:t>
      </w:r>
    </w:p>
    <w:p>
      <w:pPr>
        <w:pStyle w:val="FirstParagraph"/>
      </w:pPr>
      <w:r>
        <w:t xml:space="preserve">Telemetry drives:</w:t>
      </w:r>
    </w:p>
    <w:p>
      <w:pPr>
        <w:pStyle w:val="Compact"/>
        <w:numPr>
          <w:ilvl w:val="0"/>
          <w:numId w:val="1012"/>
        </w:numPr>
      </w:pPr>
      <w:r>
        <w:t xml:space="preserve">Routing decisions</w:t>
      </w:r>
    </w:p>
    <w:p>
      <w:pPr>
        <w:pStyle w:val="Compact"/>
        <w:numPr>
          <w:ilvl w:val="0"/>
          <w:numId w:val="1012"/>
        </w:numPr>
      </w:pPr>
      <w:r>
        <w:t xml:space="preserve">Access decisions</w:t>
      </w:r>
    </w:p>
    <w:p>
      <w:pPr>
        <w:pStyle w:val="Compact"/>
        <w:numPr>
          <w:ilvl w:val="0"/>
          <w:numId w:val="1012"/>
        </w:numPr>
      </w:pPr>
      <w:r>
        <w:t xml:space="preserve">Segmentation decisions</w:t>
      </w:r>
    </w:p>
    <w:p>
      <w:pPr>
        <w:pStyle w:val="Compact"/>
        <w:numPr>
          <w:ilvl w:val="0"/>
          <w:numId w:val="1012"/>
        </w:numPr>
      </w:pPr>
      <w:r>
        <w:t xml:space="preserve">Compliance posture</w:t>
      </w:r>
    </w:p>
    <w:p>
      <w:pPr>
        <w:pStyle w:val="FirstParagraph"/>
      </w:pPr>
      <w:r>
        <w:t xml:space="preserve">This satisfies CA-7 continuous monitoring and SI-4 anomaly detection.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compliance-mapping"/>
    <w:p>
      <w:pPr>
        <w:pStyle w:val="Heading2"/>
      </w:pPr>
      <w:r>
        <w:t xml:space="preserve">1.8 8. Compliance Mapping</w:t>
      </w:r>
    </w:p>
    <w:bookmarkStart w:id="39" w:name="frozen-state-compliance-risks"/>
    <w:p>
      <w:pPr>
        <w:pStyle w:val="Heading3"/>
      </w:pPr>
      <w:r>
        <w:t xml:space="preserve">1.8.1 8.1 Frozen State Compliance Risks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Frozen State</w:t>
            </w:r>
          </w:p>
        </w:tc>
        <w:tc>
          <w:tcPr/>
          <w:p>
            <w:pPr>
              <w:pStyle w:val="Compact"/>
            </w:pPr>
            <w:r>
              <w:t xml:space="preserve">Compliance 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Siloed AD</w:t>
            </w:r>
          </w:p>
        </w:tc>
        <w:tc>
          <w:tcPr/>
          <w:p>
            <w:pPr>
              <w:pStyle w:val="Compact"/>
            </w:pPr>
            <w:r>
              <w:t xml:space="preserve">Inconsistent governance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Addressing</w:t>
            </w:r>
          </w:p>
        </w:tc>
        <w:tc>
          <w:tcPr/>
          <w:p>
            <w:pPr>
              <w:pStyle w:val="Compact"/>
            </w:pPr>
            <w:r>
              <w:t xml:space="preserve">Static spreadsheets</w:t>
            </w:r>
          </w:p>
        </w:tc>
        <w:tc>
          <w:tcPr/>
          <w:p>
            <w:pPr>
              <w:pStyle w:val="Compact"/>
            </w:pPr>
            <w:r>
              <w:t xml:space="preserve">No correlation or inventory integrity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Security</w:t>
            </w:r>
          </w:p>
        </w:tc>
        <w:tc>
          <w:tcPr/>
          <w:p>
            <w:pPr>
              <w:pStyle w:val="Compact"/>
            </w:pPr>
            <w:r>
              <w:t xml:space="preserve">L3/L4 firewalls</w:t>
            </w:r>
          </w:p>
        </w:tc>
        <w:tc>
          <w:tcPr/>
          <w:p>
            <w:pPr>
              <w:pStyle w:val="Compact"/>
            </w:pPr>
            <w:r>
              <w:t xml:space="preserve">No identity-aware segmentation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Mixed tooling</w:t>
            </w:r>
          </w:p>
        </w:tc>
        <w:tc>
          <w:tcPr/>
          <w:p>
            <w:pPr>
              <w:pStyle w:val="Compact"/>
            </w:pPr>
            <w:r>
              <w:t xml:space="preserve">No unified posture signal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Delivery</w:t>
            </w:r>
          </w:p>
        </w:tc>
        <w:tc>
          <w:tcPr/>
          <w:p>
            <w:pPr>
              <w:pStyle w:val="Compact"/>
            </w:pPr>
            <w:r>
              <w:t xml:space="preserve">Local auth</w:t>
            </w:r>
          </w:p>
        </w:tc>
        <w:tc>
          <w:tcPr/>
          <w:p>
            <w:pPr>
              <w:pStyle w:val="Compact"/>
            </w:pPr>
            <w:r>
              <w:t xml:space="preserve">No workload identity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Telemetry</w:t>
            </w:r>
          </w:p>
        </w:tc>
        <w:tc>
          <w:tcPr/>
          <w:p>
            <w:pPr>
              <w:pStyle w:val="Compact"/>
            </w:pPr>
            <w:r>
              <w:t xml:space="preserve">Siloed logs</w:t>
            </w:r>
          </w:p>
        </w:tc>
        <w:tc>
          <w:tcPr/>
          <w:p>
            <w:pPr>
              <w:pStyle w:val="Compact"/>
            </w:pPr>
            <w:r>
              <w:t xml:space="preserve">No conversation-level visibility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Governance</w:t>
            </w:r>
          </w:p>
        </w:tc>
        <w:tc>
          <w:tcPr/>
          <w:p>
            <w:pPr>
              <w:pStyle w:val="Compact"/>
            </w:pPr>
            <w:r>
              <w:t xml:space="preserve">Email/tickets</w:t>
            </w:r>
          </w:p>
        </w:tc>
        <w:tc>
          <w:tcPr/>
          <w:p>
            <w:pPr>
              <w:pStyle w:val="Compact"/>
            </w:pPr>
            <w:r>
              <w:t xml:space="preserve">No automated enforcement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Protection</w:t>
            </w:r>
          </w:p>
        </w:tc>
        <w:tc>
          <w:tcPr/>
          <w:p>
            <w:pPr>
              <w:pStyle w:val="Compact"/>
            </w:pPr>
            <w:r>
              <w:t xml:space="preserve">Manual classification</w:t>
            </w:r>
          </w:p>
        </w:tc>
        <w:tc>
          <w:tcPr/>
          <w:p>
            <w:pPr>
              <w:pStyle w:val="Compact"/>
            </w:pPr>
            <w:r>
              <w:t xml:space="preserve">No data-aware routing</w:t>
            </w:r>
          </w:p>
        </w:tc>
      </w:tr>
    </w:tbl>
    <w:p>
      <w:pPr>
        <w:pStyle w:val="BodyText"/>
      </w:pPr>
      <w:r>
        <w:t xml:space="preserve">UIAO resolves these risks through deterministic, identity-anchored modernization.</w:t>
      </w:r>
    </w:p>
    <w:bookmarkEnd w:id="39"/>
    <w:bookmarkStart w:id="40" w:name="compliance-outcomes"/>
    <w:p>
      <w:pPr>
        <w:pStyle w:val="Heading3"/>
      </w:pPr>
      <w:r>
        <w:t xml:space="preserve">1.8.2 8.2 Compliance Outcomes</w:t>
      </w:r>
    </w:p>
    <w:p>
      <w:pPr>
        <w:pStyle w:val="FirstParagraph"/>
      </w:pPr>
      <w:r>
        <w:t xml:space="preserve">UIAO delivers measurable improvements: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Performance:</w:t>
      </w:r>
      <w:r>
        <w:t xml:space="preserve"> </w:t>
      </w:r>
      <w:r>
        <w:t xml:space="preserve">Cloud-first routing improves M365 performance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Security:</w:t>
      </w:r>
      <w:r>
        <w:t xml:space="preserve"> </w:t>
      </w:r>
      <w:r>
        <w:t xml:space="preserve">Identity-driven segmentation reduces attack surface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Compliance:</w:t>
      </w:r>
      <w:r>
        <w:t xml:space="preserve"> </w:t>
      </w:r>
      <w:r>
        <w:t xml:space="preserve">Telemetry enables FedRAMP 20x validation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Governance:</w:t>
      </w:r>
      <w:r>
        <w:t xml:space="preserve"> </w:t>
      </w:r>
      <w:r>
        <w:t xml:space="preserve">Automated workflows replace manual tickets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Mission Readiness:</w:t>
      </w:r>
      <w:r>
        <w:t xml:space="preserve"> </w:t>
      </w:r>
      <w:r>
        <w:t xml:space="preserve">Faster, more reliable, more secure services</w:t>
      </w:r>
    </w:p>
    <w:p>
      <w:pPr>
        <w:pStyle w:val="FirstParagraph"/>
      </w:pPr>
      <w:r>
        <w:t xml:space="preserve">These outcomes satisfy the intent and requirements of FedRAMP 20x Phase 2.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dependencies-and-sequencing"/>
    <w:p>
      <w:pPr>
        <w:pStyle w:val="Heading2"/>
      </w:pPr>
      <w:r>
        <w:t xml:space="preserve">1.9 9. Dependencies and Sequencing</w:t>
      </w:r>
    </w:p>
    <w:bookmarkStart w:id="42" w:name="upstream-dependencies"/>
    <w:p>
      <w:pPr>
        <w:pStyle w:val="Heading3"/>
      </w:pPr>
      <w:r>
        <w:t xml:space="preserve">1.9.1 Upstream Dependencies</w:t>
      </w:r>
    </w:p>
    <w:p>
      <w:pPr>
        <w:pStyle w:val="Compact"/>
        <w:numPr>
          <w:ilvl w:val="0"/>
          <w:numId w:val="1014"/>
        </w:numPr>
      </w:pPr>
      <w:r>
        <w:t xml:space="preserve">Identity modernization (Workstream A)</w:t>
      </w:r>
    </w:p>
    <w:p>
      <w:pPr>
        <w:pStyle w:val="Compact"/>
        <w:numPr>
          <w:ilvl w:val="0"/>
          <w:numId w:val="1014"/>
        </w:numPr>
      </w:pPr>
      <w:r>
        <w:t xml:space="preserve">SD-WAN HLD/LLD (Workstream B)</w:t>
      </w:r>
    </w:p>
    <w:p>
      <w:pPr>
        <w:pStyle w:val="Compact"/>
        <w:numPr>
          <w:ilvl w:val="0"/>
          <w:numId w:val="1014"/>
        </w:numPr>
      </w:pPr>
      <w:r>
        <w:t xml:space="preserve">IPAM modernization (Workstream C)</w:t>
      </w:r>
    </w:p>
    <w:p>
      <w:pPr>
        <w:pStyle w:val="Compact"/>
        <w:numPr>
          <w:ilvl w:val="0"/>
          <w:numId w:val="1014"/>
        </w:numPr>
      </w:pPr>
      <w:r>
        <w:t xml:space="preserve">Telemetry integration (Workstream D)</w:t>
      </w:r>
    </w:p>
    <w:bookmarkEnd w:id="42"/>
    <w:bookmarkStart w:id="43" w:name="downstream-dependencies"/>
    <w:p>
      <w:pPr>
        <w:pStyle w:val="Heading3"/>
      </w:pPr>
      <w:r>
        <w:t xml:space="preserve">1.9.2 Downstream Dependencies</w:t>
      </w:r>
    </w:p>
    <w:p>
      <w:pPr>
        <w:pStyle w:val="Compact"/>
        <w:numPr>
          <w:ilvl w:val="0"/>
          <w:numId w:val="1015"/>
        </w:numPr>
      </w:pPr>
      <w:r>
        <w:t xml:space="preserve">TIC 3.0 Cloud Use Case Package</w:t>
      </w:r>
    </w:p>
    <w:p>
      <w:pPr>
        <w:pStyle w:val="Compact"/>
        <w:numPr>
          <w:ilvl w:val="0"/>
          <w:numId w:val="1015"/>
        </w:numPr>
      </w:pPr>
      <w:r>
        <w:t xml:space="preserve">TIC 3.0 Branch Use Case Package</w:t>
      </w:r>
    </w:p>
    <w:p>
      <w:pPr>
        <w:pStyle w:val="Compact"/>
        <w:numPr>
          <w:ilvl w:val="0"/>
          <w:numId w:val="1015"/>
        </w:numPr>
      </w:pPr>
      <w:r>
        <w:t xml:space="preserve">CDM/CLAW integration</w:t>
      </w:r>
    </w:p>
    <w:p>
      <w:pPr>
        <w:pStyle w:val="Compact"/>
        <w:numPr>
          <w:ilvl w:val="0"/>
          <w:numId w:val="1015"/>
        </w:numPr>
      </w:pPr>
      <w:r>
        <w:t xml:space="preserve">Annual FedRAMP assessment</w:t>
      </w:r>
    </w:p>
    <w:bookmarkEnd w:id="43"/>
    <w:bookmarkStart w:id="44" w:name="timeline-alignment"/>
    <w:p>
      <w:pPr>
        <w:pStyle w:val="Heading3"/>
      </w:pPr>
      <w:r>
        <w:t xml:space="preserve">1.9.3 Timeline Alignment</w:t>
      </w:r>
    </w:p>
    <w:p>
      <w:pPr>
        <w:pStyle w:val="FirstParagraph"/>
      </w:pPr>
      <w:r>
        <w:t xml:space="preserve">This document aligns with Months 3-6 of the modernization timeline.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governance-and-drift-controls"/>
    <w:p>
      <w:pPr>
        <w:pStyle w:val="Heading2"/>
      </w:pPr>
      <w:r>
        <w:t xml:space="preserve">1.10 10. Governance and Drift Controls</w:t>
      </w:r>
    </w:p>
    <w:bookmarkStart w:id="46" w:name="source-of-authority"/>
    <w:p>
      <w:pPr>
        <w:pStyle w:val="Heading3"/>
      </w:pPr>
      <w:r>
        <w:t xml:space="preserve">1.10.1 Source of Authority</w:t>
      </w:r>
    </w:p>
    <w:p>
      <w:pPr>
        <w:pStyle w:val="Compact"/>
        <w:numPr>
          <w:ilvl w:val="0"/>
          <w:numId w:val="1016"/>
        </w:numPr>
      </w:pPr>
      <w:r>
        <w:t xml:space="preserve">HR — identity lifecycle</w:t>
      </w:r>
    </w:p>
    <w:p>
      <w:pPr>
        <w:pStyle w:val="Compact"/>
        <w:numPr>
          <w:ilvl w:val="0"/>
          <w:numId w:val="1016"/>
        </w:numPr>
      </w:pPr>
      <w:r>
        <w:t xml:space="preserve">Network architecture — addressing</w:t>
      </w:r>
    </w:p>
    <w:p>
      <w:pPr>
        <w:pStyle w:val="Compact"/>
        <w:numPr>
          <w:ilvl w:val="0"/>
          <w:numId w:val="1016"/>
        </w:numPr>
      </w:pPr>
      <w:r>
        <w:t xml:space="preserve">PKI — certificate trust</w:t>
      </w:r>
    </w:p>
    <w:p>
      <w:pPr>
        <w:pStyle w:val="Compact"/>
        <w:numPr>
          <w:ilvl w:val="0"/>
          <w:numId w:val="1016"/>
        </w:numPr>
      </w:pPr>
      <w:r>
        <w:t xml:space="preserve">System owners — configuration baselines</w:t>
      </w:r>
    </w:p>
    <w:bookmarkEnd w:id="46"/>
    <w:bookmarkStart w:id="47" w:name="drift-detection"/>
    <w:p>
      <w:pPr>
        <w:pStyle w:val="Heading3"/>
      </w:pPr>
      <w:r>
        <w:t xml:space="preserve">1.10.2 Drift Detection</w:t>
      </w:r>
    </w:p>
    <w:p>
      <w:pPr>
        <w:pStyle w:val="Compact"/>
        <w:numPr>
          <w:ilvl w:val="0"/>
          <w:numId w:val="1017"/>
        </w:numPr>
      </w:pPr>
      <w:r>
        <w:t xml:space="preserve">ServiceNow CMDB reconciliation</w:t>
      </w:r>
    </w:p>
    <w:p>
      <w:pPr>
        <w:pStyle w:val="Compact"/>
        <w:numPr>
          <w:ilvl w:val="0"/>
          <w:numId w:val="1017"/>
        </w:numPr>
      </w:pPr>
      <w:r>
        <w:t xml:space="preserve">Intune compliance</w:t>
      </w:r>
    </w:p>
    <w:p>
      <w:pPr>
        <w:pStyle w:val="Compact"/>
        <w:numPr>
          <w:ilvl w:val="0"/>
          <w:numId w:val="1017"/>
        </w:numPr>
      </w:pPr>
      <w:r>
        <w:t xml:space="preserve">SD-WAN overlay validation</w:t>
      </w:r>
    </w:p>
    <w:p>
      <w:pPr>
        <w:pStyle w:val="Compact"/>
        <w:numPr>
          <w:ilvl w:val="0"/>
          <w:numId w:val="1017"/>
        </w:numPr>
      </w:pPr>
      <w:r>
        <w:t xml:space="preserve">IPAM reconciliation</w:t>
      </w:r>
    </w:p>
    <w:bookmarkEnd w:id="47"/>
    <w:bookmarkStart w:id="48" w:name="remediation-workflow"/>
    <w:p>
      <w:pPr>
        <w:pStyle w:val="Heading3"/>
      </w:pPr>
      <w:r>
        <w:t xml:space="preserve">1.10.3 Remediation Workflow</w:t>
      </w:r>
    </w:p>
    <w:p>
      <w:pPr>
        <w:pStyle w:val="Compact"/>
        <w:numPr>
          <w:ilvl w:val="0"/>
          <w:numId w:val="1018"/>
        </w:numPr>
      </w:pPr>
      <w:r>
        <w:t xml:space="preserve">Automated ServiceNow change</w:t>
      </w:r>
    </w:p>
    <w:p>
      <w:pPr>
        <w:pStyle w:val="Compact"/>
        <w:numPr>
          <w:ilvl w:val="0"/>
          <w:numId w:val="1018"/>
        </w:numPr>
      </w:pPr>
      <w:r>
        <w:t xml:space="preserve">Conditional Access enforcement</w:t>
      </w:r>
    </w:p>
    <w:p>
      <w:pPr>
        <w:pStyle w:val="Compact"/>
        <w:numPr>
          <w:ilvl w:val="0"/>
          <w:numId w:val="1018"/>
        </w:numPr>
      </w:pPr>
      <w:r>
        <w:t xml:space="preserve">Certificate renewal</w:t>
      </w:r>
    </w:p>
    <w:p>
      <w:pPr>
        <w:pStyle w:val="Compact"/>
        <w:numPr>
          <w:ilvl w:val="0"/>
          <w:numId w:val="1018"/>
        </w:numPr>
      </w:pPr>
      <w:r>
        <w:t xml:space="preserve">IPAM correction</w:t>
      </w:r>
    </w:p>
    <w:bookmarkEnd w:id="48"/>
    <w:bookmarkStart w:id="49" w:name="audit-anchors"/>
    <w:p>
      <w:pPr>
        <w:pStyle w:val="Heading3"/>
      </w:pPr>
      <w:r>
        <w:t xml:space="preserve">1.10.4 Audit Anchors</w:t>
      </w:r>
    </w:p>
    <w:p>
      <w:pPr>
        <w:pStyle w:val="Compact"/>
        <w:numPr>
          <w:ilvl w:val="0"/>
          <w:numId w:val="1019"/>
        </w:numPr>
      </w:pPr>
      <w:r>
        <w:t xml:space="preserve">Entra ID logs</w:t>
      </w:r>
    </w:p>
    <w:p>
      <w:pPr>
        <w:pStyle w:val="Compact"/>
        <w:numPr>
          <w:ilvl w:val="0"/>
          <w:numId w:val="1019"/>
        </w:numPr>
      </w:pPr>
      <w:r>
        <w:t xml:space="preserve">Infoblox API records</w:t>
      </w:r>
    </w:p>
    <w:p>
      <w:pPr>
        <w:pStyle w:val="Compact"/>
        <w:numPr>
          <w:ilvl w:val="0"/>
          <w:numId w:val="1019"/>
        </w:numPr>
      </w:pPr>
      <w:r>
        <w:t xml:space="preserve">SD-WAN telemetry</w:t>
      </w:r>
    </w:p>
    <w:p>
      <w:pPr>
        <w:pStyle w:val="Compact"/>
        <w:numPr>
          <w:ilvl w:val="0"/>
          <w:numId w:val="1019"/>
        </w:numPr>
      </w:pPr>
      <w:r>
        <w:t xml:space="preserve">Intune compliance reports</w:t>
      </w:r>
    </w:p>
    <w:p>
      <w:pPr>
        <w:pStyle w:val="Compact"/>
        <w:numPr>
          <w:ilvl w:val="0"/>
          <w:numId w:val="1019"/>
        </w:numPr>
      </w:pPr>
      <w:r>
        <w:t xml:space="preserve">ServiceNow audit trails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6" w:name="appendices"/>
    <w:p>
      <w:pPr>
        <w:pStyle w:val="Heading2"/>
      </w:pPr>
      <w:r>
        <w:t xml:space="preserve">1.11 11. Appendices</w:t>
      </w:r>
    </w:p>
    <w:bookmarkStart w:id="51" w:name="appendix-a-definitions"/>
    <w:p>
      <w:pPr>
        <w:pStyle w:val="Heading3"/>
      </w:pPr>
      <w:r>
        <w:t xml:space="preserve">1.11.1 Appendix A: Definitions</w:t>
      </w:r>
    </w:p>
    <w:p>
      <w:pPr>
        <w:pStyle w:val="FirstParagraph"/>
      </w:pPr>
      <w:r>
        <w:rPr>
          <w:i/>
          <w:iCs/>
        </w:rPr>
        <w:t xml:space="preserve">See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docs/11_GlossaryAndDefinitions.md</w:t>
      </w:r>
    </w:p>
    <w:bookmarkEnd w:id="51"/>
    <w:bookmarkStart w:id="52" w:name="appendix-b-tables"/>
    <w:p>
      <w:pPr>
        <w:pStyle w:val="Heading3"/>
      </w:pPr>
      <w:r>
        <w:t xml:space="preserve">1.11.2 Appendix B: Tables</w:t>
      </w:r>
    </w:p>
    <w:p>
      <w:pPr>
        <w:pStyle w:val="FirstParagraph"/>
      </w:pPr>
      <w:r>
        <w:rPr>
          <w:i/>
          <w:iCs/>
        </w:rPr>
        <w:t xml:space="preserve">Frozen State Compliance Risks table is in Section 8.1. Control Plane Alignment table is in Section 4.</w:t>
      </w:r>
    </w:p>
    <w:bookmarkEnd w:id="52"/>
    <w:bookmarkStart w:id="53" w:name="appendix-c-diagram-references"/>
    <w:p>
      <w:pPr>
        <w:pStyle w:val="Heading3"/>
      </w:pPr>
      <w:r>
        <w:t xml:space="preserve">1.11.3 Appendix C: Diagram References</w:t>
      </w:r>
    </w:p>
    <w:p>
      <w:pPr>
        <w:pStyle w:val="FirstParagraph"/>
      </w:pPr>
      <w:r>
        <w:rPr>
          <w:i/>
          <w:iCs/>
        </w:rPr>
        <w:t xml:space="preserve">See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docs/images/</w:t>
      </w:r>
      <w:r>
        <w:rPr>
          <w:i/>
          <w:iCs/>
        </w:rPr>
        <w:t xml:space="preserve"> </w:t>
      </w:r>
      <w:r>
        <w:rPr>
          <w:i/>
          <w:iCs/>
        </w:rPr>
        <w:t xml:space="preserve">for all referenced architecture diagrams.</w:t>
      </w:r>
    </w:p>
    <w:bookmarkEnd w:id="53"/>
    <w:bookmarkStart w:id="54" w:name="appendix-d-evidence-sources"/>
    <w:p>
      <w:pPr>
        <w:pStyle w:val="Heading3"/>
      </w:pPr>
      <w:r>
        <w:t xml:space="preserve">1.11.4 Appendix D: Evidence Sources</w:t>
      </w:r>
    </w:p>
    <w:p>
      <w:pPr>
        <w:pStyle w:val="FirstParagraph"/>
      </w:pPr>
      <w:r>
        <w:rPr>
          <w:i/>
          <w:iCs/>
        </w:rPr>
        <w:t xml:space="preserve">See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data/parameters.yml</w:t>
      </w:r>
      <w:r>
        <w:rPr>
          <w:i/>
          <w:iCs/>
        </w:rPr>
        <w:t xml:space="preserve"> </w:t>
      </w:r>
      <w:r>
        <w:rPr>
          <w:i/>
          <w:iCs/>
        </w:rPr>
        <w:t xml:space="preserve">and control-library entries for evidence source catalogs.</w:t>
      </w:r>
    </w:p>
    <w:bookmarkEnd w:id="54"/>
    <w:bookmarkStart w:id="55" w:name="appendix-e-ksi-reference-model"/>
    <w:p>
      <w:pPr>
        <w:pStyle w:val="Heading3"/>
      </w:pPr>
      <w:r>
        <w:t xml:space="preserve">1.11.5 Appendix E: KSI Reference Model</w:t>
      </w:r>
    </w:p>
    <w:p>
      <w:pPr>
        <w:pStyle w:val="FirstParagraph"/>
      </w:pPr>
      <w:r>
        <w:rPr>
          <w:i/>
          <w:iCs/>
        </w:rPr>
        <w:t xml:space="preserve">See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03_FedRAMP20x_Crosswalk.md</w:t>
      </w:r>
      <w:r>
        <w:rPr>
          <w:i/>
          <w:iCs/>
        </w:rPr>
        <w:t xml:space="preserve"> </w:t>
      </w:r>
      <w:r>
        <w:rPr>
          <w:i/>
          <w:iCs/>
        </w:rPr>
        <w:t xml:space="preserve">Section 8 for KSI definitions and mappings.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revision-history"/>
    <w:p>
      <w:pPr>
        <w:pStyle w:val="Heading2"/>
      </w:pPr>
      <w:r>
        <w:t xml:space="preserve">1.12 12. Revision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2026-03</w:t>
            </w:r>
          </w:p>
        </w:tc>
        <w:tc>
          <w:tcPr/>
          <w:p>
            <w:pPr>
              <w:pStyle w:val="Compact"/>
            </w:pPr>
            <w:r>
              <w:t xml:space="preserve">UIAO Canon Engine</w:t>
            </w:r>
          </w:p>
        </w:tc>
        <w:tc>
          <w:tcPr/>
          <w:p>
            <w:pPr>
              <w:pStyle w:val="Compact"/>
            </w:pPr>
            <w:r>
              <w:t xml:space="preserve">Initial canonical release</w:t>
            </w:r>
          </w:p>
        </w:tc>
      </w:tr>
    </w:tbl>
    <w:bookmarkEnd w:id="57"/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 Fedramp20X Phase2 Summary</dc:title>
  <dc:creator>UIAO Modernization Program</dc:creator>
  <dc:language>en</dc:language>
  <cp:keywords/>
  <dcterms:created xsi:type="dcterms:W3CDTF">2026-03-31T16:54:39Z</dcterms:created>
  <dcterms:modified xsi:type="dcterms:W3CDTF">2026-03-31T16:54:39Z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rossref">
    <vt:lpwstr/>
  </property>
  <property fmtid="{D5CDD505-2E9C-101B-9397-08002B2CF9AE}" pid="6" name="date">
    <vt:lpwstr>March 31, 2026</vt:lpwstr>
  </property>
  <property fmtid="{D5CDD505-2E9C-101B-9397-08002B2CF9AE}" pid="7" name="date-format">
    <vt:lpwstr>MMMM D, YYYY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mermaid">
    <vt:lpwstr/>
  </property>
  <property fmtid="{D5CDD505-2E9C-101B-9397-08002B2CF9AE}" pid="13" name="toc-title">
    <vt:lpwstr>Table of contents</vt:lpwstr>
  </property>
</Properties>
</file>